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107315</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113665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8" w:lineRule="exact"/>
        <w:rPr>
          <w:sz w:val="24"/>
          <w:szCs w:val="24"/>
          <w:color w:val="auto"/>
        </w:rPr>
      </w:pPr>
    </w:p>
    <w:p>
      <w:pPr>
        <w:jc w:val="center"/>
        <w:ind w:left="3200" w:right="40" w:hanging="3155"/>
        <w:spacing w:after="0" w:line="313" w:lineRule="auto"/>
        <w:tabs>
          <w:tab w:leader="none" w:pos="216"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ind w:left="380"/>
        <w:spacing w:after="0" w:line="347" w:lineRule="auto"/>
        <w:rPr>
          <w:sz w:val="20"/>
          <w:szCs w:val="20"/>
          <w:color w:val="auto"/>
        </w:rPr>
      </w:pPr>
      <w:r>
        <w:rPr>
          <w:rFonts w:ascii="Arial" w:cs="Arial" w:eastAsia="Arial" w:hAnsi="Arial"/>
          <w:sz w:val="18"/>
          <w:szCs w:val="18"/>
          <w:color w:val="auto"/>
        </w:rPr>
        <w:t xml:space="preserve">o </w:t>
      </w:r>
      <w:r>
        <w:rPr>
          <w:rFonts w:ascii="Arial" w:cs="Arial" w:eastAsia="Arial" w:hAnsi="Arial"/>
          <w:sz w:val="21"/>
          <w:szCs w:val="21"/>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21"/>
          <w:szCs w:val="21"/>
          <w:b w:val="1"/>
          <w:bCs w:val="1"/>
          <w:color w:val="auto"/>
        </w:rPr>
        <w:t xml:space="preserve">Commission File Number </w:t>
      </w:r>
      <w:r>
        <w:rPr>
          <w:rFonts w:ascii="Arial" w:cs="Arial" w:eastAsia="Arial" w:hAnsi="Arial"/>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-5080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96" w:lineRule="exact"/>
        <w:rPr>
          <w:sz w:val="24"/>
          <w:szCs w:val="24"/>
          <w:color w:val="auto"/>
        </w:rPr>
      </w:pPr>
    </w:p>
    <w:p>
      <w:pPr>
        <w:ind w:left="3400"/>
        <w:spacing w:after="0"/>
        <w:rPr>
          <w:sz w:val="20"/>
          <w:szCs w:val="20"/>
          <w:color w:val="auto"/>
        </w:rPr>
      </w:pPr>
      <w:r>
        <w:rPr>
          <w:rFonts w:ascii="Arial" w:cs="Arial" w:eastAsia="Arial" w:hAnsi="Arial"/>
          <w:sz w:val="25"/>
          <w:szCs w:val="25"/>
          <w:b w:val="1"/>
          <w:bCs w:val="1"/>
          <w:color w:val="auto"/>
        </w:rPr>
        <w:t>LOUISIANA-PACIFIC CORPORATION</w:t>
      </w:r>
    </w:p>
    <w:p>
      <w:pPr>
        <w:spacing w:after="0" w:line="38" w:lineRule="exact"/>
        <w:rPr>
          <w:sz w:val="24"/>
          <w:szCs w:val="24"/>
          <w:color w:val="auto"/>
        </w:rPr>
      </w:pPr>
    </w:p>
    <w:p>
      <w:pPr>
        <w:ind w:left="2840"/>
        <w:spacing w:after="0"/>
        <w:rPr>
          <w:sz w:val="20"/>
          <w:szCs w:val="20"/>
          <w:color w:val="auto"/>
        </w:rPr>
      </w:pPr>
      <w:r>
        <w:rPr>
          <w:rFonts w:ascii="Arial" w:cs="Arial" w:eastAsia="Arial" w:hAnsi="Arial"/>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80010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83"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93-0609074</w:t>
      </w:r>
    </w:p>
    <w:p>
      <w:pPr>
        <w:spacing w:after="0" w:line="31" w:lineRule="exact"/>
        <w:rPr>
          <w:sz w:val="24"/>
          <w:szCs w:val="24"/>
          <w:color w:val="auto"/>
        </w:rPr>
      </w:pPr>
    </w:p>
    <w:p>
      <w:pPr>
        <w:sectPr>
          <w:pgSz w:w="11900" w:h="16838" w:orient="portrait"/>
          <w:cols w:equalWidth="0" w:num="2">
            <w:col w:w="7280" w:space="720"/>
            <w:col w:w="3240"/>
          </w:cols>
          <w:pgMar w:left="320" w:top="1440" w:right="33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4"/>
          <w:szCs w:val="14"/>
          <w:b w:val="1"/>
          <w:bCs w:val="1"/>
          <w:color w:val="auto"/>
        </w:rPr>
        <w:t>(IRS Employer</w:t>
      </w:r>
    </w:p>
    <w:p>
      <w:pPr>
        <w:jc w:val="center"/>
        <w:ind w:right="2240"/>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140" w:space="720"/>
            <w:col w:w="3380"/>
          </w:cols>
          <w:pgMar w:left="320" w:top="1440" w:right="339" w:bottom="1440" w:gutter="0" w:footer="0" w:header="0"/>
          <w:type w:val="continuous"/>
        </w:sectPr>
      </w:pPr>
    </w:p>
    <w:p>
      <w:pPr>
        <w:ind w:left="3720"/>
        <w:spacing w:after="0"/>
        <w:rPr>
          <w:sz w:val="20"/>
          <w:szCs w:val="20"/>
          <w:color w:val="auto"/>
        </w:rPr>
      </w:pPr>
      <w:r>
        <w:rPr>
          <w:rFonts w:ascii="Arial" w:cs="Arial" w:eastAsia="Arial" w:hAnsi="Arial"/>
          <w:sz w:val="16"/>
          <w:szCs w:val="16"/>
          <w:b w:val="1"/>
          <w:bCs w:val="1"/>
          <w:color w:val="auto"/>
        </w:rPr>
        <w:t>414 Union Street, Suite 2000, Nashville, TN 37219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40"/>
          </w:cols>
          <w:pgMar w:left="320" w:top="1440"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81915</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LPX</w:t>
            </w: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9"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6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5"/>
        </w:trPr>
        <w:tc>
          <w:tcPr>
            <w:tcW w:w="264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2340" w:type="dxa"/>
            <w:vAlign w:val="bottom"/>
          </w:tcPr>
          <w:p>
            <w:pPr>
              <w:ind w:left="660"/>
              <w:spacing w:after="0" w:line="205" w:lineRule="exact"/>
              <w:rPr>
                <w:sz w:val="20"/>
                <w:szCs w:val="20"/>
                <w:color w:val="auto"/>
              </w:rPr>
            </w:pPr>
            <w:r>
              <w:rPr>
                <w:rFonts w:ascii="Arial" w:cs="Arial" w:eastAsia="Arial" w:hAnsi="Arial"/>
                <w:sz w:val="18"/>
                <w:szCs w:val="18"/>
                <w:color w:val="auto"/>
              </w:rPr>
              <w:t>x</w:t>
            </w:r>
          </w:p>
        </w:tc>
        <w:tc>
          <w:tcPr>
            <w:tcW w:w="4120" w:type="dxa"/>
            <w:vAlign w:val="bottom"/>
          </w:tcPr>
          <w:p>
            <w:pPr>
              <w:ind w:left="1540"/>
              <w:spacing w:after="0" w:line="205" w:lineRule="exact"/>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205" w:lineRule="exact"/>
              <w:rPr>
                <w:sz w:val="20"/>
                <w:szCs w:val="20"/>
                <w:color w:val="auto"/>
              </w:rPr>
            </w:pPr>
            <w:r>
              <w:rPr>
                <w:rFonts w:ascii="Arial" w:cs="Arial" w:eastAsia="Arial" w:hAnsi="Arial"/>
                <w:sz w:val="18"/>
                <w:szCs w:val="18"/>
                <w:color w:val="auto"/>
              </w:rPr>
              <w:t>o</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660"/>
              <w:spacing w:after="0"/>
              <w:rPr>
                <w:sz w:val="20"/>
                <w:szCs w:val="20"/>
                <w:color w:val="auto"/>
              </w:rPr>
            </w:pPr>
            <w:r>
              <w:rPr>
                <w:rFonts w:ascii="Arial" w:cs="Arial" w:eastAsia="Arial" w:hAnsi="Arial"/>
                <w:sz w:val="18"/>
                <w:szCs w:val="18"/>
                <w:color w:val="auto"/>
              </w:rPr>
              <w:t>o</w:t>
            </w:r>
          </w:p>
        </w:tc>
        <w:tc>
          <w:tcPr>
            <w:tcW w:w="412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87,989,162 shares of Common Stock, $1 par value, outstanding as of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00"/>
          </w:cols>
          <w:pgMar w:left="320" w:top="1070" w:right="5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FORWARD-LOOKING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197" w:lineRule="exact"/>
        <w:rPr>
          <w:sz w:val="20"/>
          <w:szCs w:val="20"/>
          <w:color w:val="auto"/>
        </w:rPr>
      </w:pPr>
    </w:p>
    <w:p>
      <w:pPr>
        <w:ind w:left="660" w:hanging="328"/>
        <w:spacing w:after="0" w:line="274"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impacts from public health issues (including global pandemics, such as the ongoing COVID-19 pandemic) on the economy, demand for our products or our operations, including the actions and recommendations of governmental authorities to contain such public health issues;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governmental fiscal and monetary policies, including tariffs, and levels of employment;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impacts from the ongoing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and availability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level of home construction and repair and remodel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competitive conditions and prices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relationship between supply of and demand for building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financial or business conditions of third-party wholesale distributors and dealers;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relationship between supply of and demand for raw materials, including wood fiber and resins, used in manufacturing our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of and availability of energy, primarily natural gas, electricity, and diesel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cost of and availability of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manufacturing our products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the launch or production ramp-up of newly introduced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other significant operating expenses;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currency values and exchange rates between the U.S. dollar and other currencies, particularly the Canadian dollar, Brazilian real and Chilean peso;</w:t>
      </w: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circumstances giving rise to environmental liabilities or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warranty costs exceeding our warranty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 or exploitation of our intellectual property or other proprietary information by others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funding requirements of our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existing and future product-related litigation and other legal proceedings;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 of covenants and events of default contained in our debt instruments;</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any repurchases of our common stock and the payment of dividends on our common stock, which will depend on market and business conditions and other considerations;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acts of public authorities, war, civil unrest, natural disasters, fire, floods, earthquakes, inclement weather and other matters beyond our control.</w:t>
      </w:r>
    </w:p>
    <w:p>
      <w:pPr>
        <w:spacing w:after="0" w:line="2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THIRD-PARTY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80" w:type="dxa"/>
            <w:vAlign w:val="bottom"/>
            <w:gridSpan w:val="4"/>
          </w:tcPr>
          <w:p>
            <w:pPr>
              <w:jc w:val="center"/>
              <w:ind w:left="293"/>
              <w:spacing w:after="0"/>
              <w:rPr>
                <w:sz w:val="20"/>
                <w:szCs w:val="20"/>
                <w:color w:val="auto"/>
              </w:rPr>
            </w:pPr>
            <w:r>
              <w:rPr>
                <w:rFonts w:ascii="Arial" w:cs="Arial" w:eastAsia="Arial" w:hAnsi="Arial"/>
                <w:sz w:val="18"/>
                <w:szCs w:val="18"/>
                <w:b w:val="1"/>
                <w:bCs w:val="1"/>
                <w:color w:val="auto"/>
              </w:rPr>
              <w:t>PART I - FINANCIAL INFORMATION</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Condensed Consolidated Statements of Income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gridSpan w:val="5"/>
          </w:tcPr>
          <w:p>
            <w:pPr>
              <w:jc w:val="center"/>
              <w:spacing w:after="0"/>
              <w:rPr>
                <w:sz w:val="20"/>
                <w:szCs w:val="20"/>
                <w:color w:val="auto"/>
              </w:rPr>
            </w:pPr>
            <w:r>
              <w:rPr>
                <w:rFonts w:ascii="Arial" w:cs="Arial" w:eastAsia="Arial" w:hAnsi="Arial"/>
                <w:sz w:val="18"/>
                <w:szCs w:val="18"/>
                <w:color w:val="auto"/>
                <w:w w:val="90"/>
              </w:rPr>
              <w:t>Dollar amounts in millions, except per share amounts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80" w:type="dxa"/>
            <w:vAlign w:val="bottom"/>
            <w:gridSpan w:val="4"/>
          </w:tcPr>
          <w:p>
            <w:pPr>
              <w:jc w:val="center"/>
              <w:ind w:left="293"/>
              <w:spacing w:after="0"/>
              <w:rPr>
                <w:sz w:val="20"/>
                <w:szCs w:val="20"/>
                <w:color w:val="auto"/>
              </w:rPr>
            </w:pPr>
            <w:r>
              <w:rPr>
                <w:rFonts w:ascii="Arial" w:cs="Arial" w:eastAsia="Arial" w:hAnsi="Arial"/>
                <w:sz w:val="18"/>
                <w:szCs w:val="18"/>
                <w:color w:val="auto"/>
                <w:w w:val="93"/>
              </w:rPr>
              <w:t>(Unaudited)</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26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1,928</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w w:val="92"/>
              </w:rPr>
              <w:t>Cost of sales</w:t>
            </w:r>
          </w:p>
        </w:tc>
        <w:tc>
          <w:tcPr>
            <w:tcW w:w="240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26"/>
        </w:trPr>
        <w:tc>
          <w:tcPr>
            <w:tcW w:w="1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4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3"/>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on impairment</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36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operating credits and charges, net</w:t>
            </w:r>
          </w:p>
        </w:tc>
        <w:tc>
          <w:tcPr>
            <w:tcW w:w="2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w:t>
            </w:r>
          </w:p>
        </w:tc>
        <w:tc>
          <w:tcPr>
            <w:tcW w:w="0" w:type="dxa"/>
            <w:vAlign w:val="bottom"/>
          </w:tcPr>
          <w:p>
            <w:pPr>
              <w:spacing w:after="0"/>
              <w:rPr>
                <w:sz w:val="1"/>
                <w:szCs w:val="1"/>
                <w:color w:val="auto"/>
              </w:rPr>
            </w:pPr>
          </w:p>
        </w:tc>
      </w:tr>
      <w:tr>
        <w:trPr>
          <w:trHeight w:val="213"/>
        </w:trPr>
        <w:tc>
          <w:tcPr>
            <w:tcW w:w="364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 income</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640" w:type="dxa"/>
            <w:vAlign w:val="bottom"/>
            <w:gridSpan w:val="2"/>
          </w:tcPr>
          <w:p>
            <w:pPr>
              <w:ind w:left="340"/>
              <w:spacing w:after="0"/>
              <w:rPr>
                <w:sz w:val="20"/>
                <w:szCs w:val="20"/>
                <w:color w:val="auto"/>
              </w:rPr>
            </w:pPr>
            <w:r>
              <w:rPr>
                <w:rFonts w:ascii="Arial" w:cs="Arial" w:eastAsia="Arial" w:hAnsi="Arial"/>
                <w:sz w:val="16"/>
                <w:szCs w:val="16"/>
                <w:color w:val="auto"/>
              </w:rPr>
              <w:t>Other non-operating items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329</w:t>
            </w:r>
          </w:p>
        </w:tc>
        <w:tc>
          <w:tcPr>
            <w:tcW w:w="0" w:type="dxa"/>
            <w:vAlign w:val="bottom"/>
          </w:tcPr>
          <w:p>
            <w:pPr>
              <w:spacing w:after="0"/>
              <w:rPr>
                <w:sz w:val="1"/>
                <w:szCs w:val="1"/>
                <w:color w:val="auto"/>
              </w:rPr>
            </w:pPr>
          </w:p>
        </w:tc>
      </w:tr>
      <w:tr>
        <w:trPr>
          <w:trHeight w:val="213"/>
        </w:trPr>
        <w:tc>
          <w:tcPr>
            <w:tcW w:w="3640" w:type="dxa"/>
            <w:vAlign w:val="bottom"/>
            <w:gridSpan w:val="2"/>
          </w:tcPr>
          <w:p>
            <w:pPr>
              <w:ind w:left="360"/>
              <w:spacing w:after="0"/>
              <w:rPr>
                <w:sz w:val="20"/>
                <w:szCs w:val="20"/>
                <w:color w:val="auto"/>
              </w:rPr>
            </w:pPr>
            <w:r>
              <w:rPr>
                <w:rFonts w:ascii="Arial" w:cs="Arial" w:eastAsia="Arial" w:hAnsi="Arial"/>
                <w:sz w:val="16"/>
                <w:szCs w:val="16"/>
                <w:color w:val="auto"/>
              </w:rPr>
              <w:t>Provision for income taxes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Equity in unconsolidated affiliate</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2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loss attributed to noncontrolling interest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attributed to LP</w:t>
            </w:r>
          </w:p>
        </w:tc>
        <w:tc>
          <w:tcPr>
            <w:tcW w:w="2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1,183</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Basic net income per share of common stock:</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per share - basic</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w w:val="99"/>
              </w:rPr>
              <w:t>Diluted net income per share of common stock:</w:t>
            </w: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40" w:type="dxa"/>
            <w:vAlign w:val="bottom"/>
            <w:gridSpan w:val="2"/>
            <w:vMerge w:val="continue"/>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per share - diluted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Average shares of common stock used to compute net income per share: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Arial" w:cs="Arial" w:eastAsia="Arial" w:hAnsi="Arial"/>
                <w:sz w:val="16"/>
                <w:szCs w:val="16"/>
                <w:color w:val="auto"/>
              </w:rPr>
              <w:t>Basic</w:t>
            </w:r>
          </w:p>
        </w:tc>
        <w:tc>
          <w:tcPr>
            <w:tcW w:w="2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4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840" w:type="dxa"/>
            <w:vAlign w:val="bottom"/>
            <w:gridSpan w:val="6"/>
          </w:tcPr>
          <w:p>
            <w:pPr>
              <w:ind w:left="120"/>
              <w:spacing w:after="0"/>
              <w:rPr>
                <w:sz w:val="20"/>
                <w:szCs w:val="20"/>
                <w:color w:val="auto"/>
              </w:rPr>
            </w:pPr>
            <w:r>
              <w:rPr>
                <w:rFonts w:ascii="Arial" w:cs="Arial" w:eastAsia="Arial" w:hAnsi="Arial"/>
                <w:sz w:val="16"/>
                <w:szCs w:val="16"/>
                <w:b w:val="1"/>
                <w:bCs w:val="1"/>
                <w:color w:val="auto"/>
                <w:w w:val="99"/>
              </w:rPr>
              <w:t>Three Months Ended September 30,</w:t>
            </w:r>
          </w:p>
        </w:tc>
        <w:tc>
          <w:tcPr>
            <w:tcW w:w="100" w:type="dxa"/>
            <w:vAlign w:val="bottom"/>
          </w:tcPr>
          <w:p>
            <w:pPr>
              <w:spacing w:after="0"/>
              <w:rPr>
                <w:sz w:val="18"/>
                <w:szCs w:val="18"/>
                <w:color w:val="auto"/>
              </w:rPr>
            </w:pPr>
          </w:p>
        </w:tc>
        <w:tc>
          <w:tcPr>
            <w:tcW w:w="25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0" w:type="dxa"/>
            <w:vAlign w:val="bottom"/>
          </w:tcPr>
          <w:p>
            <w:pPr>
              <w:spacing w:after="0"/>
              <w:rPr>
                <w:sz w:val="1"/>
                <w:szCs w:val="1"/>
                <w:color w:val="auto"/>
              </w:rPr>
            </w:pPr>
          </w:p>
        </w:tc>
      </w:tr>
      <w:tr>
        <w:trPr>
          <w:trHeight w:val="193"/>
        </w:trPr>
        <w:tc>
          <w:tcPr>
            <w:tcW w:w="578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5780" w:type="dxa"/>
            <w:vAlign w:val="bottom"/>
          </w:tcPr>
          <w:p>
            <w:pPr>
              <w:ind w:left="360"/>
              <w:spacing w:after="0"/>
              <w:rPr>
                <w:sz w:val="20"/>
                <w:szCs w:val="20"/>
                <w:color w:val="auto"/>
              </w:rPr>
            </w:pPr>
            <w:r>
              <w:rPr>
                <w:rFonts w:ascii="Arial" w:cs="Arial" w:eastAsia="Arial" w:hAnsi="Arial"/>
                <w:sz w:val="16"/>
                <w:szCs w:val="16"/>
                <w:color w:val="auto"/>
              </w:rPr>
              <w:t>Unrealized gains on securities, net of reversals</w:t>
            </w:r>
          </w:p>
        </w:tc>
        <w:tc>
          <w:tcPr>
            <w:tcW w:w="9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pension and post-retirement prior service costs and net loss</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loss associated with noncontrolling interest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attributed to LP</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Receivables, net of allowance for doubtful accounts of $2 million at September 30, 2021, and December 31, 2020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w:t>
            </w:r>
          </w:p>
        </w:tc>
        <w:tc>
          <w:tcPr>
            <w:tcW w:w="0" w:type="dxa"/>
            <w:vAlign w:val="bottom"/>
          </w:tcPr>
          <w:p>
            <w:pPr>
              <w:spacing w:after="0"/>
              <w:rPr>
                <w:sz w:val="1"/>
                <w:szCs w:val="1"/>
                <w:color w:val="auto"/>
              </w:rPr>
            </w:pPr>
          </w:p>
        </w:tc>
      </w:tr>
      <w:tr>
        <w:trPr>
          <w:trHeight w:val="239"/>
        </w:trPr>
        <w:tc>
          <w:tcPr>
            <w:tcW w:w="7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Timber and timberlands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other intangible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Investments in and advances to affiliates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7580" w:type="dxa"/>
            <w:vAlign w:val="bottom"/>
          </w:tcPr>
          <w:p>
            <w:pPr>
              <w:ind w:left="3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2,086</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payable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contingency reserves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w:t>
            </w:r>
          </w:p>
        </w:tc>
        <w:tc>
          <w:tcPr>
            <w:tcW w:w="0" w:type="dxa"/>
            <w:vAlign w:val="bottom"/>
          </w:tcPr>
          <w:p>
            <w:pPr>
              <w:spacing w:after="0"/>
              <w:rPr>
                <w:sz w:val="1"/>
                <w:szCs w:val="1"/>
                <w:color w:val="auto"/>
              </w:rPr>
            </w:pPr>
          </w:p>
        </w:tc>
      </w:tr>
      <w:tr>
        <w:trPr>
          <w:trHeight w:val="239"/>
        </w:trPr>
        <w:tc>
          <w:tcPr>
            <w:tcW w:w="7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Contingency reserves, excluding current portion</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842</w:t>
            </w:r>
          </w:p>
        </w:tc>
        <w:tc>
          <w:tcPr>
            <w:tcW w:w="0" w:type="dxa"/>
            <w:vAlign w:val="bottom"/>
          </w:tcPr>
          <w:p>
            <w:pPr>
              <w:spacing w:after="0"/>
              <w:rPr>
                <w:sz w:val="1"/>
                <w:szCs w:val="1"/>
                <w:color w:val="auto"/>
              </w:rPr>
            </w:pPr>
          </w:p>
        </w:tc>
      </w:tr>
      <w:tr>
        <w:trPr>
          <w:trHeight w:val="239"/>
        </w:trPr>
        <w:tc>
          <w:tcPr>
            <w:tcW w:w="7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Redeemable noncontrolling interest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7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58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5"/>
              </w:rPr>
              <w:t>Common stock, $1 par value, 200,000,000 shares authorized; 107,035,818 and 90,222,524 shares issued and</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8"/>
              </w:rPr>
              <w:t>outstanding, respectively, as of September 30, 2021; and 123,547,974 and 106,240,030 shares issued and</w:t>
            </w: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respectively, as of December 31, 2020</w:t>
            </w: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166"/>
        </w:trPr>
        <w:tc>
          <w:tcPr>
            <w:tcW w:w="7580" w:type="dxa"/>
            <w:vAlign w:val="bottom"/>
          </w:tcPr>
          <w:p>
            <w:pPr>
              <w:ind w:left="140"/>
              <w:spacing w:after="0" w:line="166" w:lineRule="exact"/>
              <w:rPr>
                <w:sz w:val="20"/>
                <w:szCs w:val="20"/>
                <w:color w:val="auto"/>
              </w:rPr>
            </w:pPr>
            <w:r>
              <w:rPr>
                <w:rFonts w:ascii="Arial" w:cs="Arial" w:eastAsia="Arial" w:hAnsi="Arial"/>
                <w:sz w:val="16"/>
                <w:szCs w:val="16"/>
                <w:color w:val="auto"/>
                <w:w w:val="92"/>
              </w:rPr>
              <w:t>Treasury stock, 16,813,294 shares and 17,307,944 shares, at cost as of September 30, 2021, and December 31,</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2020, respectively</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1,234</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2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net income:</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Loss on impairment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6"/>
                <w:szCs w:val="16"/>
                <w:color w:val="auto"/>
              </w:rPr>
              <w:t>Deferred taxes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Loss on early debt extinguishment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6"/>
                <w:szCs w:val="16"/>
                <w:color w:val="auto"/>
              </w:rPr>
              <w:t>Other adjustments, net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6"/>
                <w:szCs w:val="16"/>
                <w:color w:val="auto"/>
              </w:rPr>
              <w:t>Receivables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Income taxes payable, net of receivables</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plant, and equipment additions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6"/>
                <w:szCs w:val="16"/>
                <w:color w:val="auto"/>
              </w:rPr>
              <w:t>Proceeds from business divestiture</w:t>
            </w:r>
          </w:p>
        </w:tc>
        <w:tc>
          <w:tcPr>
            <w:tcW w:w="8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Redemption of insurance cash surrender value</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6"/>
                <w:szCs w:val="16"/>
                <w:color w:val="auto"/>
              </w:rPr>
              <w:t>Other investing activities</w:t>
            </w:r>
          </w:p>
        </w:tc>
        <w:tc>
          <w:tcPr>
            <w:tcW w:w="8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cash used in investing activities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Borrowing of long-term debt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6"/>
                <w:szCs w:val="16"/>
                <w:color w:val="auto"/>
              </w:rPr>
              <w:t>Repayment of long-term debt, including redemption premium</w:t>
            </w:r>
          </w:p>
        </w:tc>
        <w:tc>
          <w:tcPr>
            <w:tcW w:w="8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 of cash dividends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ind w:left="120"/>
              <w:spacing w:after="0"/>
              <w:rPr>
                <w:sz w:val="20"/>
                <w:szCs w:val="20"/>
                <w:color w:val="auto"/>
              </w:rPr>
            </w:pPr>
            <w:r>
              <w:rPr>
                <w:rFonts w:ascii="Arial" w:cs="Arial" w:eastAsia="Arial" w:hAnsi="Arial"/>
                <w:sz w:val="16"/>
                <w:szCs w:val="16"/>
                <w:color w:val="auto"/>
              </w:rPr>
              <w:t>Purchase of stock</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financing activities</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i w:val="1"/>
                <w:iCs w:val="1"/>
                <w:color w:val="auto"/>
              </w:rPr>
              <w:t>Net cash used in financing activities</w:t>
            </w:r>
          </w:p>
        </w:tc>
        <w:tc>
          <w:tcPr>
            <w:tcW w:w="8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(1,058)</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80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EFFECT OF EXCHANGE RATE ON CASH, CASH EQUIVALENTS AND</w:t>
            </w:r>
          </w:p>
        </w:tc>
        <w:tc>
          <w:tcPr>
            <w:tcW w:w="8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Supplemental cash flow information:</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income taxes, net of cash received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6"/>
                <w:szCs w:val="16"/>
                <w:color w:val="auto"/>
              </w:rPr>
              <w:t>Cash paid for interest, net of cash received</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Unpaid capital expenditures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60" w:type="dxa"/>
            <w:vAlign w:val="bottom"/>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1,234</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w w:val="93"/>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2"/>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1,404</w:t>
            </w:r>
          </w:p>
        </w:tc>
        <w:tc>
          <w:tcPr>
            <w:tcW w:w="0" w:type="dxa"/>
            <w:vAlign w:val="bottom"/>
          </w:tcPr>
          <w:p>
            <w:pPr>
              <w:spacing w:after="0"/>
              <w:rPr>
                <w:sz w:val="1"/>
                <w:szCs w:val="1"/>
                <w:color w:val="auto"/>
              </w:rPr>
            </w:pPr>
          </w:p>
        </w:tc>
      </w:tr>
      <w:tr>
        <w:trPr>
          <w:trHeight w:val="207"/>
        </w:trPr>
        <w:tc>
          <w:tcPr>
            <w:tcW w:w="2640" w:type="dxa"/>
            <w:vAlign w:val="bottom"/>
          </w:tcPr>
          <w:p>
            <w:pPr>
              <w:ind w:left="14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w w:val="93"/>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line="166" w:lineRule="exact"/>
              <w:rPr>
                <w:sz w:val="20"/>
                <w:szCs w:val="20"/>
                <w:color w:val="auto"/>
              </w:rPr>
            </w:pPr>
            <w:r>
              <w:rPr>
                <w:rFonts w:ascii="Arial" w:cs="Arial" w:eastAsia="Arial" w:hAnsi="Arial"/>
                <w:sz w:val="16"/>
                <w:szCs w:val="16"/>
                <w:color w:val="auto"/>
                <w:w w:val="99"/>
              </w:rPr>
              <w:t>Compensation expense associated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2640" w:type="dxa"/>
            <w:vAlign w:val="bottom"/>
          </w:tcPr>
          <w:p>
            <w:pPr>
              <w:ind w:left="14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Dividends paid ($0.18 per share)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stock</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166"/>
        </w:trPr>
        <w:tc>
          <w:tcPr>
            <w:tcW w:w="2640" w:type="dxa"/>
            <w:vAlign w:val="bottom"/>
          </w:tcPr>
          <w:p>
            <w:pPr>
              <w:ind w:left="140"/>
              <w:spacing w:after="0" w:line="166" w:lineRule="exact"/>
              <w:rPr>
                <w:sz w:val="20"/>
                <w:szCs w:val="20"/>
                <w:color w:val="auto"/>
              </w:rPr>
            </w:pPr>
            <w:r>
              <w:rPr>
                <w:rFonts w:ascii="Arial" w:cs="Arial" w:eastAsia="Arial" w:hAnsi="Arial"/>
                <w:sz w:val="16"/>
                <w:szCs w:val="16"/>
                <w:color w:val="auto"/>
                <w:w w:val="99"/>
              </w:rPr>
              <w:t>Compensation expense associated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640" w:type="dxa"/>
            <w:vAlign w:val="bottom"/>
          </w:tcPr>
          <w:p>
            <w:pPr>
              <w:ind w:left="14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4"/>
                <w:szCs w:val="4"/>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00" w:type="dxa"/>
            <w:vAlign w:val="bottom"/>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1"/>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991</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($0.145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w w:val="94"/>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tcPr>
          <w:p>
            <w:pPr>
              <w:ind w:left="120"/>
              <w:spacing w:after="0" w:line="166"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680" w:type="dxa"/>
            <w:vAlign w:val="bottom"/>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26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984</w:t>
            </w:r>
          </w:p>
        </w:tc>
        <w:tc>
          <w:tcPr>
            <w:tcW w:w="0" w:type="dxa"/>
            <w:vAlign w:val="bottom"/>
          </w:tcPr>
          <w:p>
            <w:pPr>
              <w:spacing w:after="0"/>
              <w:rPr>
                <w:sz w:val="1"/>
                <w:szCs w:val="1"/>
                <w:color w:val="auto"/>
              </w:rPr>
            </w:pPr>
          </w:p>
        </w:tc>
      </w:tr>
      <w:tr>
        <w:trPr>
          <w:trHeight w:val="226"/>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Dividends paid ($0.145 per share)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2680" w:type="dxa"/>
            <w:vAlign w:val="bottom"/>
          </w:tcPr>
          <w:p>
            <w:pPr>
              <w:ind w:left="120"/>
              <w:spacing w:after="0" w:line="166"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680" w:type="dxa"/>
            <w:vAlign w:val="bottom"/>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Noncontrolling interest redemption</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value adjustment</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7"/>
        </w:trPr>
        <w:tc>
          <w:tcPr>
            <w:tcW w:w="2680" w:type="dxa"/>
            <w:vAlign w:val="bottom"/>
          </w:tcPr>
          <w:p>
            <w:pPr>
              <w:ind w:left="120"/>
              <w:spacing w:after="0"/>
              <w:rPr>
                <w:sz w:val="20"/>
                <w:szCs w:val="20"/>
                <w:color w:val="auto"/>
              </w:rPr>
            </w:pPr>
            <w:r>
              <w:rPr>
                <w:rFonts w:ascii="Arial" w:cs="Arial" w:eastAsia="Arial" w:hAnsi="Arial"/>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($0.145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Arial" w:cs="Arial" w:eastAsia="Arial" w:hAnsi="Arial"/>
                <w:sz w:val="16"/>
                <w:szCs w:val="16"/>
                <w:color w:val="auto"/>
                <w:w w:val="96"/>
              </w:rPr>
              <w:t>Issuance of shares under stock plans</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6"/>
        </w:trPr>
        <w:tc>
          <w:tcPr>
            <w:tcW w:w="2680" w:type="dxa"/>
            <w:vAlign w:val="bottom"/>
          </w:tcPr>
          <w:p>
            <w:pPr>
              <w:ind w:left="120"/>
              <w:spacing w:after="0" w:line="166" w:lineRule="exact"/>
              <w:rPr>
                <w:sz w:val="20"/>
                <w:szCs w:val="20"/>
                <w:color w:val="auto"/>
              </w:rPr>
            </w:pPr>
            <w:r>
              <w:rPr>
                <w:rFonts w:ascii="Arial" w:cs="Arial" w:eastAsia="Arial" w:hAnsi="Arial"/>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680" w:type="dxa"/>
            <w:vAlign w:val="bottom"/>
          </w:tcPr>
          <w:p>
            <w:pPr>
              <w:ind w:left="120"/>
              <w:spacing w:after="0"/>
              <w:rPr>
                <w:sz w:val="20"/>
                <w:szCs w:val="20"/>
                <w:color w:val="auto"/>
              </w:rPr>
            </w:pPr>
            <w:r>
              <w:rPr>
                <w:rFonts w:ascii="Arial" w:cs="Arial" w:eastAsia="Arial" w:hAnsi="Arial"/>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2680" w:type="dxa"/>
            <w:vAlign w:val="bottom"/>
          </w:tcPr>
          <w:p>
            <w:pPr>
              <w:spacing w:after="0"/>
              <w:rPr>
                <w:sz w:val="20"/>
                <w:szCs w:val="20"/>
                <w:color w:val="auto"/>
              </w:rPr>
            </w:pPr>
            <w:r>
              <w:rPr>
                <w:rFonts w:ascii="Arial" w:cs="Arial" w:eastAsia="Arial" w:hAnsi="Arial"/>
                <w:sz w:val="16"/>
                <w:szCs w:val="16"/>
                <w:b w:val="1"/>
                <w:bCs w:val="1"/>
                <w:color w:val="auto"/>
              </w:rPr>
              <w:t>Balance,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1,142</w:t>
            </w: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7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FOR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Louisiana-Pacific Corporation and our subsidiaries is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In addition to our U.S. operations, the Company also maintains manufacturing facilities in Canada, Chile, and Brazil through foreign subsidiaries, and operates facilities through joint ventures. The principal customers for our building solutions are retailers, wholesalers, and homebuilding and industrial businesses in North America and South America, with limited sales to Asia, Australia, and Europe. References to "LP," "the Company," "we," "our," and "us" refer to Louisiana-Pacific Corporation and its consolidated subsidiaries as a whole.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Presentation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Notes hereto should be read in conjunction with our Annual Report on Form 10-K for the fiscal year ended December 31, 2020, filed with the SEC on February 18, 2021 (2020 Annual Report on Form 10-K). Results of operations for interim periods are not necessarily indicative of results to be expected for an entire year. All dollar amounts are shown in millions except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2019, the FASB issued ASU No. 2019-12, Simplifying the Accounting for Income Taxes (Topic 740). This ASU simplifies the accounting for income taxes by, among other things, eliminating certain existing exceptions related to the general approach in ASC 740 relating to franchise taxes, reducing complexity in the interim-period accounting for year-to-date loss limitations and changes in tax laws, and clarifying the accounting for transactions outside of business combinations that result in a step-up in the tax basis of goodwill. The Company adopted ASU 2019-12 effective as of January 1, 2021. There was no impact on our Condensed Consolidated Financial Statements upon adoption.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our reportable segment revenues, disaggregated by revenue source. We disaggregate revenue from contracts with customers into major product lines. We have determined that disaggregating revenue into these categories achieves the disclosure objective to depict how the nature, amount, timing, and uncertainty of revenue and cash flows are affected by economic factors.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in the segment reporting information in Note 18 below, our reportable segments are Siding, Oriented Strand Board (OSB), Engineered Wood Products (EWP), and South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7"/>
          </w:tcPr>
          <w:p>
            <w:pPr>
              <w:ind w:left="80"/>
              <w:spacing w:after="0"/>
              <w:rPr>
                <w:sz w:val="20"/>
                <w:szCs w:val="20"/>
                <w:color w:val="auto"/>
              </w:rPr>
            </w:pPr>
            <w:r>
              <w:rPr>
                <w:rFonts w:ascii="Arial" w:cs="Arial" w:eastAsia="Arial" w:hAnsi="Arial"/>
                <w:sz w:val="16"/>
                <w:szCs w:val="16"/>
                <w:b w:val="1"/>
                <w:bCs w:val="1"/>
                <w:color w:val="auto"/>
                <w:w w:val="90"/>
              </w:rPr>
              <w:t>Three Months Ended September 30, 2021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Siding</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176"/>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2"/>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156"/>
        </w:trPr>
        <w:tc>
          <w:tcPr>
            <w:tcW w:w="20" w:type="dxa"/>
            <w:vAlign w:val="bottom"/>
          </w:tcPr>
          <w:p>
            <w:pPr>
              <w:spacing w:after="0"/>
              <w:rPr>
                <w:sz w:val="13"/>
                <w:szCs w:val="13"/>
                <w:color w:val="auto"/>
              </w:rPr>
            </w:pPr>
          </w:p>
        </w:tc>
        <w:tc>
          <w:tcPr>
            <w:tcW w:w="2680" w:type="dxa"/>
            <w:vAlign w:val="bottom"/>
            <w:gridSpan w:val="4"/>
          </w:tcPr>
          <w:p>
            <w:pPr>
              <w:spacing w:after="0" w:line="155" w:lineRule="exact"/>
              <w:rPr>
                <w:sz w:val="20"/>
                <w:szCs w:val="20"/>
                <w:color w:val="auto"/>
              </w:rPr>
            </w:pPr>
            <w:r>
              <w:rPr>
                <w:rFonts w:ascii="Arial" w:cs="Arial" w:eastAsia="Arial" w:hAnsi="Arial"/>
                <w:sz w:val="16"/>
                <w:szCs w:val="16"/>
                <w:color w:val="auto"/>
              </w:rPr>
              <w:t>Other</w:t>
            </w: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1,219</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7"/>
          </w:tcPr>
          <w:p>
            <w:pPr>
              <w:ind w:left="10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Siding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879</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r>
      <w:tr>
        <w:trPr>
          <w:trHeight w:val="175"/>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155"/>
        </w:trPr>
        <w:tc>
          <w:tcPr>
            <w:tcW w:w="20" w:type="dxa"/>
            <w:vAlign w:val="bottom"/>
          </w:tcPr>
          <w:p>
            <w:pPr>
              <w:spacing w:after="0"/>
              <w:rPr>
                <w:sz w:val="13"/>
                <w:szCs w:val="13"/>
                <w:color w:val="auto"/>
              </w:rPr>
            </w:pPr>
          </w:p>
        </w:tc>
        <w:tc>
          <w:tcPr>
            <w:tcW w:w="2680" w:type="dxa"/>
            <w:vAlign w:val="bottom"/>
            <w:gridSpan w:val="4"/>
          </w:tcPr>
          <w:p>
            <w:pPr>
              <w:spacing w:after="0" w:line="155" w:lineRule="exact"/>
              <w:rPr>
                <w:sz w:val="20"/>
                <w:szCs w:val="20"/>
                <w:color w:val="auto"/>
              </w:rPr>
            </w:pPr>
            <w:r>
              <w:rPr>
                <w:rFonts w:ascii="Arial" w:cs="Arial" w:eastAsia="Arial" w:hAnsi="Arial"/>
                <w:sz w:val="16"/>
                <w:szCs w:val="16"/>
                <w:color w:val="auto"/>
              </w:rPr>
              <w:t>Other</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1,917</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3,561</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7"/>
          </w:tcPr>
          <w:p>
            <w:pPr>
              <w:ind w:left="80"/>
              <w:spacing w:after="0"/>
              <w:rPr>
                <w:sz w:val="20"/>
                <w:szCs w:val="20"/>
                <w:color w:val="auto"/>
              </w:rPr>
            </w:pPr>
            <w:r>
              <w:rPr>
                <w:rFonts w:ascii="Arial" w:cs="Arial" w:eastAsia="Arial" w:hAnsi="Arial"/>
                <w:sz w:val="16"/>
                <w:szCs w:val="16"/>
                <w:b w:val="1"/>
                <w:bCs w:val="1"/>
                <w:color w:val="auto"/>
                <w:w w:val="90"/>
              </w:rPr>
              <w:t>Three Months Ended September 30, 2020</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Siding</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175"/>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5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9"/>
              </w:rPr>
              <w:t>Other</w:t>
            </w:r>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7"/>
          </w:tcPr>
          <w:p>
            <w:pPr>
              <w:ind w:left="10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80" w:type="dxa"/>
            <w:vAlign w:val="bottom"/>
            <w:gridSpan w:val="4"/>
          </w:tcPr>
          <w:p>
            <w:pPr>
              <w:spacing w:after="0"/>
              <w:rPr>
                <w:sz w:val="20"/>
                <w:szCs w:val="20"/>
                <w:color w:val="auto"/>
              </w:rPr>
            </w:pPr>
            <w:r>
              <w:rPr>
                <w:rFonts w:ascii="Arial" w:cs="Arial" w:eastAsia="Arial" w:hAnsi="Arial"/>
                <w:sz w:val="16"/>
                <w:szCs w:val="16"/>
                <w:b w:val="1"/>
                <w:bCs w:val="1"/>
                <w:color w:val="auto"/>
              </w:rPr>
              <w:t>By product type and family:</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Siding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OSB</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EWP</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South America</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Inter-segment</w:t>
            </w:r>
          </w:p>
        </w:tc>
        <w:tc>
          <w:tcPr>
            <w:tcW w:w="24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59"/>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color w:val="auto"/>
              </w:rPr>
              <w:t>Value-add</w:t>
            </w: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Siding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658</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Structural Solutions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13"/>
        </w:trPr>
        <w:tc>
          <w:tcPr>
            <w:tcW w:w="20" w:type="dxa"/>
            <w:vAlign w:val="bottom"/>
          </w:tcPr>
          <w:p>
            <w:pPr>
              <w:spacing w:after="0"/>
              <w:rPr>
                <w:sz w:val="18"/>
                <w:szCs w:val="18"/>
                <w:color w:val="auto"/>
              </w:rPr>
            </w:pPr>
          </w:p>
        </w:tc>
        <w:tc>
          <w:tcPr>
            <w:tcW w:w="2680" w:type="dxa"/>
            <w:vAlign w:val="bottom"/>
            <w:gridSpan w:val="4"/>
          </w:tcPr>
          <w:p>
            <w:pPr>
              <w:ind w:left="120"/>
              <w:spacing w:after="0"/>
              <w:rPr>
                <w:sz w:val="20"/>
                <w:szCs w:val="20"/>
                <w:color w:val="auto"/>
              </w:rPr>
            </w:pPr>
            <w:r>
              <w:rPr>
                <w:rFonts w:ascii="Arial" w:cs="Arial" w:eastAsia="Arial" w:hAnsi="Arial"/>
                <w:sz w:val="16"/>
                <w:szCs w:val="16"/>
                <w:color w:val="auto"/>
              </w:rPr>
              <w:t>I-Joist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LVL</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LSL</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r>
      <w:tr>
        <w:trPr>
          <w:trHeight w:val="175"/>
        </w:trPr>
        <w:tc>
          <w:tcPr>
            <w:tcW w:w="20" w:type="dxa"/>
            <w:vAlign w:val="bottom"/>
          </w:tcPr>
          <w:p>
            <w:pPr>
              <w:spacing w:after="0"/>
              <w:rPr>
                <w:sz w:val="15"/>
                <w:szCs w:val="15"/>
                <w:color w:val="auto"/>
              </w:rPr>
            </w:pPr>
          </w:p>
        </w:tc>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Commodity</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OSB - commodity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3"/>
        </w:trPr>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Plywood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5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89"/>
              </w:rPr>
              <w:t>Other</w:t>
            </w:r>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Other products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26"/>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recognized when obligations under the terms of a contract (i.e.,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routinely incur customer program costs to obtain favorable product placement, to promote sales of products, and to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is based upon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302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4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attributed to LP</w:t>
            </w: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400" w:type="dxa"/>
            <w:vAlign w:val="bottom"/>
          </w:tcPr>
          <w:p>
            <w:pPr>
              <w:ind w:left="140"/>
              <w:spacing w:after="0"/>
              <w:rPr>
                <w:sz w:val="20"/>
                <w:szCs w:val="20"/>
                <w:color w:val="auto"/>
              </w:rPr>
            </w:pPr>
            <w:r>
              <w:rPr>
                <w:rFonts w:ascii="Arial" w:cs="Arial" w:eastAsia="Arial" w:hAnsi="Arial"/>
                <w:sz w:val="16"/>
                <w:szCs w:val="16"/>
                <w:color w:val="auto"/>
              </w:rPr>
              <w:t>Weighted average common shares outstanding - basic</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5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effect of employee stock plans</w:t>
            </w: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Shares used for diluted earnings per share</w:t>
            </w:r>
          </w:p>
        </w:tc>
        <w:tc>
          <w:tcPr>
            <w:tcW w:w="9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6"/>
                <w:szCs w:val="16"/>
                <w:color w:val="auto"/>
              </w:rPr>
              <w:t>Basic earnings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earnings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Trading securities consist of rabbi trust financial assets, which are recorded in Other assets in our Condensed Consolidated Balance Sheets. The assets of the rabbi trust are invested in mutual funds and are reported at fair value based on active market quotations, which represent Level 1 inputs. The assets of the rabbi trust were $6 million and $5 million at September 30, 2021, and December 31, 2020, respectively.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the 3.625% Senior Notes due in 2029 (2029 Senior Notes) is estimated to be $354 million as of September 30, 2021, based upon market quotations. The 2029 Senior Notes and other long-term debt are categorized as Level 1 in the U.S. GAAP fair value hierarchy. Fair values are based on trading activity among the Company’s lenders and the average bid and ask price as determined using published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amounts borrowed under our Amended Credit Facility as of September 30, 2021.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we sold our auction rate securities (ARS) and recognized a $3 million gain on available for sale securities, which is included in Investment income in the Condensed Consolidated Statements of Income.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Carrying amounts reported on the balance sheet for cash and cash equivalents, accounts receivables, and accounts payable approximate fair value due to the short-term maturity of these items.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w:t>
            </w:r>
          </w:p>
        </w:tc>
        <w:tc>
          <w:tcPr>
            <w:tcW w:w="174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Income tax receivable</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doubtful accounts</w:t>
            </w:r>
          </w:p>
        </w:tc>
        <w:tc>
          <w:tcPr>
            <w:tcW w:w="1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248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Trade receivables are primarily generated by sales of our products to our wholesale and retail customers. Other receivables, as of September 30, 2021, and December 31, 2020, primarily consist of sales tax receivables, vendor rebates, a receivable associated with an affiliate, and other miscellaneous receivables.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valued at the lower of cost or net realizable value. Inventory cost includes materials, labor, and operating overhead. The major types of inventories are as follows (work in process is not material and is included in Semi-finished inventory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Logs</w:t>
            </w:r>
          </w:p>
        </w:tc>
        <w:tc>
          <w:tcPr>
            <w:tcW w:w="1760" w:type="dxa"/>
            <w:vAlign w:val="bottom"/>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Other raw materials</w:t>
            </w:r>
          </w:p>
        </w:tc>
        <w:tc>
          <w:tcPr>
            <w:tcW w:w="1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Semi-finished inventory</w:t>
            </w:r>
          </w:p>
        </w:tc>
        <w:tc>
          <w:tcPr>
            <w:tcW w:w="1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products</w:t>
            </w:r>
          </w:p>
        </w:tc>
        <w:tc>
          <w:tcPr>
            <w:tcW w:w="1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GOODWILL AND OTHER INTANGIBLES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Goodwill and indefinite-lived intangible assets are not amortized and are subject to assessment for impairment by applying a fair value based test on an annual basis or more frequently, if circumstances indicate a potential impairment. The Company’s annual assessment date is October 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other intangible assets as of September 30, 2021, are provided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Timber licenses</w:t>
            </w:r>
            <w:r>
              <w:rPr>
                <w:rFonts w:ascii="Arial" w:cs="Arial" w:eastAsia="Arial" w:hAnsi="Arial"/>
                <w:sz w:val="21"/>
                <w:szCs w:val="21"/>
                <w:b w:val="1"/>
                <w:bCs w:val="1"/>
                <w:color w:val="auto"/>
                <w:w w:val="93"/>
                <w:vertAlign w:val="superscript"/>
              </w:rPr>
              <w:t>1</w:t>
            </w:r>
          </w:p>
        </w:tc>
        <w:tc>
          <w:tcPr>
            <w:tcW w:w="220" w:type="dxa"/>
            <w:vAlign w:val="bottom"/>
          </w:tcPr>
          <w:p>
            <w:pPr>
              <w:spacing w:after="0"/>
              <w:rPr>
                <w:sz w:val="16"/>
                <w:szCs w:val="16"/>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Developed</w:t>
            </w:r>
          </w:p>
        </w:tc>
        <w:tc>
          <w:tcPr>
            <w:tcW w:w="200" w:type="dxa"/>
            <w:vAlign w:val="bottom"/>
          </w:tcPr>
          <w:p>
            <w:pPr>
              <w:spacing w:after="0"/>
              <w:rPr>
                <w:sz w:val="16"/>
                <w:szCs w:val="16"/>
                <w:color w:val="auto"/>
              </w:rPr>
            </w:pPr>
          </w:p>
        </w:tc>
        <w:tc>
          <w:tcPr>
            <w:tcW w:w="12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Trademarks</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6"/>
              </w:rPr>
              <w:t>Technology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December 31, 2020</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September 30, 2021</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Timber licenses are included in Timber and timberlands on the Condensed Consolidated Balance Sheets.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NONCONTROLLING INTEREST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Redeemable noncontrolling interest is interest in subsidiaries that is redeemable outside of our control either for cash or other assets. These interests are classified as mezzanine equity and measured at the greater of estimated redemption value or carrying value at the end of each reporting period. Net loss attributed to noncontrolling interest is recorded in the Condensed Consolidated Statements of Income. Any adjustments to the redemption value of redeemable noncontrolling interest are recognized in either net income or through accumulated paid-in capital, depending on the nature of the underlying security (preferred or common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redeemable noncontrolling interest are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December 31, 2020</w:t>
            </w: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1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September 30, 2021</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5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Senior Notes</w:t>
            </w:r>
          </w:p>
        </w:tc>
        <w:tc>
          <w:tcPr>
            <w:tcW w:w="1880" w:type="dxa"/>
            <w:vAlign w:val="bottom"/>
            <w:shd w:val="clear" w:color="auto" w:fill="CCEEFF"/>
          </w:tcPr>
          <w:p>
            <w:pPr>
              <w:jc w:val="right"/>
              <w:ind w:right="16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2024 Senior Notes</w:t>
            </w:r>
          </w:p>
        </w:tc>
        <w:tc>
          <w:tcPr>
            <w:tcW w:w="18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Amended Credit Facility</w:t>
            </w:r>
          </w:p>
        </w:tc>
        <w:tc>
          <w:tcPr>
            <w:tcW w:w="1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Financing leases</w:t>
            </w:r>
          </w:p>
        </w:tc>
        <w:tc>
          <w:tcPr>
            <w:tcW w:w="18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costs</w:t>
            </w:r>
          </w:p>
        </w:tc>
        <w:tc>
          <w:tcPr>
            <w:tcW w:w="1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6580" w:type="dxa"/>
            <w:vAlign w:val="bottom"/>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19"/>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current portion</w:t>
            </w:r>
          </w:p>
        </w:tc>
        <w:tc>
          <w:tcPr>
            <w:tcW w:w="1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580" w:type="dxa"/>
            <w:vAlign w:val="bottom"/>
          </w:tcPr>
          <w:p>
            <w:pPr>
              <w:ind w:left="660"/>
              <w:spacing w:after="0"/>
              <w:rPr>
                <w:sz w:val="20"/>
                <w:szCs w:val="20"/>
                <w:color w:val="auto"/>
              </w:rPr>
            </w:pPr>
            <w:r>
              <w:rPr>
                <w:rFonts w:ascii="Arial" w:cs="Arial" w:eastAsia="Arial" w:hAnsi="Arial"/>
                <w:sz w:val="16"/>
                <w:szCs w:val="16"/>
                <w:color w:val="auto"/>
              </w:rPr>
              <w:t>Long-term portion</w:t>
            </w:r>
          </w:p>
        </w:tc>
        <w:tc>
          <w:tcPr>
            <w:tcW w:w="1880" w:type="dxa"/>
            <w:vAlign w:val="bottom"/>
            <w:tcBorders>
              <w:top w:val="single" w:sz="8" w:color="auto"/>
              <w:bottom w:val="single" w:sz="8" w:color="auto"/>
            </w:tcBorders>
          </w:tcPr>
          <w:p>
            <w:pPr>
              <w:jc w:val="right"/>
              <w:ind w:right="169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w:t>
            </w:r>
          </w:p>
        </w:tc>
      </w:tr>
      <w:tr>
        <w:trPr>
          <w:trHeight w:val="23"/>
        </w:trPr>
        <w:tc>
          <w:tcPr>
            <w:tcW w:w="65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Senior Notes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2021, LP issued $350 million of the 2029 Senior Notes. The Company may redeem the 2029 Senior Notes, in whole or in part, prior to March 15, 2024, at a redemption price equal to 100% of the principal amount thereof plus a “make-whole” premium set forth in the indenture governing the 2029 Senior Notes, plus accrued and unpaid interest, if any, to, but not including, the date of redemption. On or after March 15, 2024, LP may, at its option on one or more occasions, redeem all or any portion of these notes at the redemption prices set forth in the indenture governing the 2029 Senior Notes, plus accrued and unpaid interest, if any, to, but not including, the date of redemption. The indenture governing the 2029 Senior Notes contains certain covenants that, among other things, limit the Company's ability to grant liens to secure indebtedness, engage in sale and leaseback transactions and merge or consolidate or sell all or substantially all of its assets. If LP is subject to a "change of control," as defined in the indenture, LP is required to offer to repurchase the 2029 Senior Notes at a purchase price equal to 101% of the principal amount thereof plus accrued and unpaid interest, if any, thereon to, but not including, the date of purchase. The indenture governing the 2029 Senior Notes contains customary events of default, including failure to make required payments on the 2029 Senior Notes, failure to comply with certain agreements or covenants contained in the indenture,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2016, LP issued $350 million aggregate principal amount Senior Notes due 2024 (2024 Senior Notes). In February 2021, LP delivered to holders of the 2024 Senior Notes a conditional notice of redemption to redeem on March 27, 2021 all of the 2024 Senior Notes outstanding at a redemption price of 102.438% of the principal amount thereof plus accrued and unpaid interest to, but not including, the redemption date. The redemption notice became irrevocable on March 11, 2021, and the 2024 Senior Notes were fully redeemed on March 27, 2021. In connection with this redemption, LP recorded an early debt extinguishment charge of $11 million, recorded within Other non-operating items on the Condensed Consolidated Statements of Income, which included $9 million of redemption premium and $2 million of unamortized debt costs associated with these notes.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debt costs are amortized over the life of the related debt using a straight-line basis which approximates the effective interest method. If the debt is retired early, the related unamortized deferred financing costs are written off in the period the debt is retired to Other non-operating items. During the nine months ended September 30, 2021, $2 million of deferred debt costs were written off in association with the 2024 Senior Notes extinguishment, and LP paid $4 million in debt issuance costs that will be deferred and amortized over the life of the 2029 Senior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2021, LP entered into a fourth amendment (Fourth Amendment) to its revolving credit facility, dated as of June 27, 2019 (Credit Facility), with American AgCredit, PCA, as administrative agent and CoBank, ACB, as letter of credit issuer, (as amended, the Amended Credit Facility). The Amended Credit Facility provides a revolving credit facility in the principal amount of up to $550 million, with a $60 million sub-limit for letters of credit. The revolving facility, pursuant to the Amended Credit Facility, terminates, and all loans made thereunder become due in June 2027. LP has granted a security interest in substantially all of its U.S. personal property to secure the Amended Credit Facility, and certain of LP’s existing and future wholly-owned domestic subsidiaries may guaranty its obligations under the Amended Credit Facility and, subject to certain limited exceptions, provide security through a security interest in substantially all the personal property of these subsidiaries. The Amended Credit Facility provides a release of security interest after obtaining an Investment Grade rating from any one of the Moody's, S&amp;P, or Fitch. There are no outstanding amounts borrowed under the Amended Credit Facility as of September 30, 2021.</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Revolving borrowings under the Amended Credit Facility accrue interest, at the Company's option, at either (a) a “base rate” plus a margin of 0.500% to 1.500% or (b) LIBOR plus a margin of 1.500% to 2.500%. The Amended Credit Facility also includes an unused commitment fee, due quarterly, ranging from 0.200% to 0.425%. The applicable margins and fees within these ranges are based on our ratio of consolidated EBITDA to cash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charges. The “base rate” is the highest of (i) the Federal funds rate plus 0.5%, (ii) the U.S. prime rate, and (iii) one-month LIBOR plus 1.0%.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the Company and its consolidated subsidiaries to have, as of the end of each quarter, a capitalization ratio (i.e., funded debt less unrestricted cash to total capitalization) of no more than 57.5%.</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LP entered into a letter of credit facility agreement (Letter of Credit Facility) with Bank of America, N.A.,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the capitalization ratio covenant. As of September 30, 2021, LP secured $13 million of outstanding letters of credit with cash collateral, included in Restricted cash in its Condensed Consolidated Balance Sheets.</w:t>
      </w: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Deferred debt costs are amortized over the life of the related debt using a straight-line basis, which approximates the effective interest method. Included in such amortized amounts are deferred debt costs associated with LP's Amended Credit Facility, which are recorded within Other assets on its Condensed Consolidated Balance Sheets. During the nine months ended September 30, 2021, the Company paid $2 million in debt issuance costs in connection with the third amendment to the Credit Facility that LP entered into in June 2021 (Third Amendment). These debt issuance costs were deferred and will be amortized over the life of the Amended Credit Facility.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LP was in compliance with all covenants under the 2029 Senior Notes and the Amended Credit Facility (as well as the Letter of Credit Facility by such compliance).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provision for income taxes for the nine months ended September 30, 2021 and 2020, reflected an estimated annual tax rate of 24% and 26%, respectively, excluding discrete items discussed below. The total effective tax rate for the three and nine months ended September 30, 2021, was 25% and 24%, respectively, compared to 25% and 27% for the comparable periods in 2020, respectively.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a net discrete tax benefit of $7 million during the nine months ended September 30, 2021, primarily related to stock-based compensation and adjustments to prior year, including an adjustment to the deferred tax rate. We recognized a net discrete tax expense of $3 million during the nine months ended September 30, 2020, primarily related to the surrender of a corporate-owned life insurance contract and a sale of ARS, offset by a benefit related to stock-based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stock award plans for key employees and directors, pursuant to which awards of stock options, SSARs, restricted stock, restricted stock units, and performance stock units (PSUs) are granted. In addition, we offer an employee stock purchase plan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jc w:val="both"/>
        <w:spacing w:after="0" w:line="266" w:lineRule="auto"/>
        <w:rPr>
          <w:sz w:val="20"/>
          <w:szCs w:val="20"/>
          <w:color w:val="auto"/>
        </w:rPr>
      </w:pPr>
      <w:r>
        <w:rPr>
          <w:rFonts w:ascii="Arial" w:cs="Arial" w:eastAsia="Arial" w:hAnsi="Arial"/>
          <w:sz w:val="16"/>
          <w:szCs w:val="16"/>
          <w:color w:val="auto"/>
        </w:rPr>
        <w:t>In July 2021, LP modified the performance vesting criteria of approximately 149,000 PSU awards granted in 2020. The modification was considered a Type III modification under the Accounting for Share-Based Payments (Topic 718), in which the original awards were canceled, and the modified awards were considered granted on the modification date. Post-modification stock-based compensation expense related to these awards will be recognized over the remaining service period using modification date fair values of between $56.35 and $64.12 and the number of awards expected to vest.</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recognized $5 million in stock-based compensation expense during the three months ended September 30, 2021, and 2020. We recognized $10 million and $8 million in stock-based compensation expense during the nine months ended September 30, 2021, and 2020, respectively. At September 30, 2021, there was $34 million of unrecognized stock-based compensation expense related to unvested PSUs, restricted stock units, and SSARs attributable to future service.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maintain reserves for various contingent liabilities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Environmental reserves</w:t>
            </w:r>
          </w:p>
        </w:tc>
        <w:tc>
          <w:tcPr>
            <w:tcW w:w="1920" w:type="dxa"/>
            <w:vAlign w:val="bottom"/>
            <w:shd w:val="clear" w:color="auto" w:fill="CCEEFF"/>
          </w:tcPr>
          <w:p>
            <w:pPr>
              <w:jc w:val="right"/>
              <w:ind w:right="17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14</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192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contingencies</w:t>
            </w: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14</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(included in Accrued liabilities)</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rPr>
              <w:t>(1)</w:t>
            </w:r>
          </w:p>
        </w:tc>
      </w:tr>
      <w:tr>
        <w:trPr>
          <w:trHeight w:val="234"/>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Long-term portion (included in Other long-term liabilities)</w:t>
            </w:r>
          </w:p>
        </w:tc>
        <w:tc>
          <w:tcPr>
            <w:tcW w:w="1920" w:type="dxa"/>
            <w:vAlign w:val="bottom"/>
            <w:tcBorders>
              <w:bottom w:val="single" w:sz="8" w:color="auto"/>
            </w:tcBorders>
            <w:shd w:val="clear" w:color="auto" w:fill="CCEEFF"/>
          </w:tcPr>
          <w:p>
            <w:pPr>
              <w:jc w:val="right"/>
              <w:ind w:right="17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13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 However, no estimate of the range of any such change can be made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Other Proceedings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and our subsidiaries are parties to certain legal proceedings. Based on the information currently available, management believes the resolution of such proceedings will not have a material adverse effect on our financial position, results of operations, cash flows, or liquidity.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IMPAIRMENT OF LONG-LIVED ASSETS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the carrying values of our long-lived assets for potential impairments and believe we have adequate support for the carrying value of our long-lived assets. If demand and pricing for our products fall to levels significantly below cycle average demand and pricing, or should we decide to invest capital in alternative projects, or should changes occur related to our wood supply for our mills, it is possible that future impairment charges will be required. As of September 30, 2021, there were no indications of impairment.</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2020, we recorded $1 million and $9 million, respectively, in pre-tax impairment charges primarily related to our fiber producing assets at a Siding facility.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nine months ended September 30, 2021, and 2020, is summarized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30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Accrued to expense</w:t>
            </w:r>
          </w:p>
        </w:tc>
        <w:tc>
          <w:tcPr>
            <w:tcW w:w="9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center"/>
              <w:ind w:left="919"/>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left="75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91"/>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5380" w:type="dxa"/>
            <w:vAlign w:val="bottom"/>
          </w:tcPr>
          <w:p>
            <w:pPr>
              <w:ind w:left="20"/>
              <w:spacing w:after="0"/>
              <w:rPr>
                <w:sz w:val="20"/>
                <w:szCs w:val="20"/>
                <w:color w:val="auto"/>
              </w:rPr>
            </w:pPr>
            <w:r>
              <w:rPr>
                <w:rFonts w:ascii="Arial" w:cs="Arial" w:eastAsia="Arial" w:hAnsi="Arial"/>
                <w:sz w:val="16"/>
                <w:szCs w:val="16"/>
                <w:color w:val="auto"/>
              </w:rPr>
              <w:t>Total warranty reserves</w:t>
            </w: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left="919"/>
              <w:spacing w:after="0"/>
              <w:rPr>
                <w:sz w:val="20"/>
                <w:szCs w:val="20"/>
                <w:color w:val="auto"/>
              </w:rPr>
            </w:pPr>
            <w:r>
              <w:rPr>
                <w:rFonts w:ascii="Arial" w:cs="Arial" w:eastAsia="Arial" w:hAnsi="Arial"/>
                <w:sz w:val="16"/>
                <w:szCs w:val="16"/>
                <w:color w:val="auto"/>
                <w:w w:val="89"/>
              </w:rPr>
              <w:t>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left="759"/>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Current portion of warranty reserves (included in Other 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color w:val="auto"/>
                <w:w w:val="91"/>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46"/>
        </w:trPr>
        <w:tc>
          <w:tcPr>
            <w:tcW w:w="5380" w:type="dxa"/>
            <w:vAlign w:val="bottom"/>
          </w:tcPr>
          <w:p>
            <w:pPr>
              <w:ind w:left="360"/>
              <w:spacing w:after="0" w:line="146" w:lineRule="exact"/>
              <w:rPr>
                <w:sz w:val="20"/>
                <w:szCs w:val="20"/>
                <w:color w:val="auto"/>
              </w:rPr>
            </w:pPr>
            <w:r>
              <w:rPr>
                <w:rFonts w:ascii="Arial" w:cs="Arial" w:eastAsia="Arial" w:hAnsi="Arial"/>
                <w:sz w:val="16"/>
                <w:szCs w:val="16"/>
                <w:color w:val="auto"/>
              </w:rPr>
              <w:t>Long-term portion of warranty reserves (included in Other long-term</w:t>
            </w:r>
          </w:p>
        </w:tc>
        <w:tc>
          <w:tcPr>
            <w:tcW w:w="980" w:type="dxa"/>
            <w:vAlign w:val="bottom"/>
            <w:vMerge w:val="restart"/>
          </w:tcPr>
          <w:p>
            <w:pPr>
              <w:jc w:val="right"/>
              <w:ind w:right="799"/>
              <w:spacing w:after="0"/>
              <w:rPr>
                <w:sz w:val="20"/>
                <w:szCs w:val="20"/>
                <w:color w:val="auto"/>
              </w:rPr>
            </w:pPr>
            <w:r>
              <w:rPr>
                <w:rFonts w:ascii="Arial" w:cs="Arial" w:eastAsia="Arial" w:hAnsi="Arial"/>
                <w:sz w:val="16"/>
                <w:szCs w:val="16"/>
                <w:color w:val="auto"/>
                <w:w w:val="89"/>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center"/>
              <w:ind w:left="919"/>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center"/>
              <w:ind w:left="759"/>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0"/>
        </w:trPr>
        <w:tc>
          <w:tcPr>
            <w:tcW w:w="5380" w:type="dxa"/>
            <w:vAlign w:val="bottom"/>
          </w:tcPr>
          <w:p>
            <w:pPr>
              <w:ind w:left="360"/>
              <w:spacing w:after="0"/>
              <w:rPr>
                <w:sz w:val="20"/>
                <w:szCs w:val="20"/>
                <w:color w:val="auto"/>
              </w:rPr>
            </w:pPr>
            <w:r>
              <w:rPr>
                <w:rFonts w:ascii="Arial" w:cs="Arial" w:eastAsia="Arial" w:hAnsi="Arial"/>
                <w:sz w:val="16"/>
                <w:szCs w:val="16"/>
                <w:color w:val="auto"/>
              </w:rPr>
              <w:t>liabilities)</w:t>
            </w: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continue to monitor warranty and other claims associated with our products and believe as of September 30, 2021, that the warranty reserve balances associated with these matters are adequate to cover future warranty payments. However, it is possible that additional changes may be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15. DEFINED BENEFIT PENSION PLANS</w:t>
      </w:r>
    </w:p>
    <w:p>
      <w:pPr>
        <w:spacing w:after="0" w:line="256"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The following table summarizes our net periodic pension cost for our defined benefit pension and postretirement plans during the three and nine months ended September 30, 2021, and 2020:</w:t>
      </w: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2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Other components of net periodic pension cost</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5280" w:type="dxa"/>
            <w:vAlign w:val="bottom"/>
          </w:tcPr>
          <w:p>
            <w:pPr>
              <w:ind w:left="140"/>
              <w:spacing w:after="0"/>
              <w:rPr>
                <w:sz w:val="20"/>
                <w:szCs w:val="20"/>
                <w:color w:val="auto"/>
              </w:rPr>
            </w:pPr>
            <w:r>
              <w:rPr>
                <w:rFonts w:ascii="Arial" w:cs="Arial" w:eastAsia="Arial" w:hAnsi="Arial"/>
                <w:sz w:val="16"/>
                <w:szCs w:val="16"/>
                <w:color w:val="auto"/>
              </w:rPr>
              <w:t>Expected return on plan assets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1"/>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cost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net loss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pension cost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Other components of net periodic pension cost are included in Other non-operating items on our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Accumulated comprehensive loss is provided in the following table for the three and nine months ended September 30,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2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526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Pension</w:t>
            </w:r>
            <w:r>
              <w:rPr>
                <w:rFonts w:ascii="Arial" w:cs="Arial" w:eastAsia="Arial" w:hAnsi="Arial"/>
                <w:sz w:val="21"/>
                <w:szCs w:val="21"/>
                <w:b w:val="1"/>
                <w:bCs w:val="1"/>
                <w:color w:val="auto"/>
                <w:vertAlign w:val="superscript"/>
              </w:rPr>
              <w:t>1</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9"/>
        </w:trPr>
        <w:tc>
          <w:tcPr>
            <w:tcW w:w="52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w w:val="94"/>
              </w:rPr>
              <w:t xml:space="preserve">Amounts reclassified from accumulated other comprehensive loss to income </w:t>
            </w:r>
            <w:r>
              <w:rPr>
                <w:rFonts w:ascii="Arial" w:cs="Arial" w:eastAsia="Arial" w:hAnsi="Arial"/>
                <w:sz w:val="21"/>
                <w:szCs w:val="21"/>
                <w:color w:val="auto"/>
                <w:w w:val="94"/>
                <w:vertAlign w:val="superscript"/>
              </w:rPr>
              <w:t>2</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193"/>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Translation Adjustments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Translation adjustments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193"/>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gains on securities, net of reversals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Accumulated other comprehensive loss, end of period</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1"/>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100" w:hanging="92"/>
        <w:spacing w:after="0"/>
        <w:tabs>
          <w:tab w:leader="none" w:pos="1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Amounts are presented net of tax.</w:t>
      </w:r>
    </w:p>
    <w:p>
      <w:pPr>
        <w:ind w:left="80" w:hanging="72"/>
        <w:spacing w:after="0" w:line="197" w:lineRule="auto"/>
        <w:tabs>
          <w:tab w:leader="none" w:pos="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Amounts of actuarial loss and prior service cost are components of net periodic benefit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b w:val="1"/>
          <w:bCs w:val="1"/>
          <w:color w:val="auto"/>
        </w:rPr>
        <w:t>NOTE 17. OTHER OPERATING AND NON-OPERATING ITEMS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operating credits and charges, net</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operating credits and charges, net is comprised of the following components: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18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310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100" w:type="dxa"/>
            <w:vAlign w:val="bottom"/>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2020</w:t>
            </w:r>
          </w:p>
        </w:tc>
      </w:tr>
      <w:tr>
        <w:trPr>
          <w:trHeight w:val="212"/>
        </w:trPr>
        <w:tc>
          <w:tcPr>
            <w:tcW w:w="1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ization charges</w:t>
            </w:r>
          </w:p>
        </w:tc>
        <w:tc>
          <w:tcPr>
            <w:tcW w:w="18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3420" w:type="dxa"/>
            <w:vAlign w:val="bottom"/>
            <w:gridSpan w:val="2"/>
          </w:tcPr>
          <w:p>
            <w:pPr>
              <w:spacing w:after="0"/>
              <w:rPr>
                <w:sz w:val="20"/>
                <w:szCs w:val="20"/>
                <w:color w:val="auto"/>
              </w:rPr>
            </w:pPr>
            <w:r>
              <w:rPr>
                <w:rFonts w:ascii="Arial" w:cs="Arial" w:eastAsia="Arial" w:hAnsi="Arial"/>
                <w:sz w:val="16"/>
                <w:szCs w:val="16"/>
                <w:color w:val="auto"/>
              </w:rPr>
              <w:t>n wage subsidies</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420" w:type="dxa"/>
            <w:vAlign w:val="bottom"/>
            <w:gridSpan w:val="2"/>
          </w:tcPr>
          <w:p>
            <w:pPr>
              <w:spacing w:after="0"/>
              <w:rPr>
                <w:sz w:val="20"/>
                <w:szCs w:val="20"/>
                <w:color w:val="auto"/>
              </w:rPr>
            </w:pPr>
            <w:r>
              <w:rPr>
                <w:rFonts w:ascii="Arial" w:cs="Arial" w:eastAsia="Arial" w:hAnsi="Arial"/>
                <w:sz w:val="16"/>
                <w:szCs w:val="16"/>
                <w:color w:val="auto"/>
              </w:rPr>
              <w:t>-line discontinuance charges</w:t>
            </w: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e recoveries</w:t>
            </w:r>
          </w:p>
        </w:tc>
        <w:tc>
          <w:tcPr>
            <w:tcW w:w="1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mental costs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8"/>
        </w:trPr>
        <w:tc>
          <w:tcPr>
            <w:tcW w:w="100" w:type="dxa"/>
            <w:vAlign w:val="bottom"/>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perating credits and charges, net</w:t>
            </w:r>
          </w:p>
        </w:tc>
        <w:tc>
          <w:tcPr>
            <w:tcW w:w="18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r>
      <w:tr>
        <w:trPr>
          <w:trHeight w:val="20"/>
        </w:trPr>
        <w:tc>
          <w:tcPr>
            <w:tcW w:w="10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-727710</wp:posOffset>
            </wp:positionV>
            <wp:extent cx="67208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303"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During the three and nine months ended September 30, 2021, we incurred severance and other charges of $1 million related to certain reorganizations. We received $1 million and $3 million in insurance recoveries during the three and nine months ended September 30, 2021, respectively, related to business interruption claims for weather-related downtime sustained in the prior year.</w:t>
      </w:r>
    </w:p>
    <w:p>
      <w:pPr>
        <w:spacing w:after="0" w:line="211"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During the three and nine months ended September 30, 2020, we recognized a charge of $2 million related to additional estimated environmental costs to be paid by a third party associated with a non-operating site. We incurred severance and other charges of $1 million and $5 million for the three and nine months ended September 30, 2020, respectively, related to certain reorganizations and product-line discontinuance. We received $5 million and $9 million of Canadian wage subsidies during the three and nine months ended September 30, 2020, respectively. Additionally, we recorded a recovery of $1 million and charges of $9 million for the three and nine months ended September 30, 2020, respectively, related to the discontinuance of our fiber product (primarily related to fiber inventory adjustments to net realizable values).</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non-operating items</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 non-operating items is comprised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17" w:right="339" w:bottom="1440" w:gutter="0" w:footer="0" w:header="0"/>
        </w:sectPr>
      </w:pPr>
    </w:p>
    <w:bookmarkStart w:id="22" w:name="page23"/>
    <w:bookmarkEnd w:id="2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53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Amortization of debt charges</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Gain on sale of auction rate securities</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SERP market adjustments</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Investment income</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Net periodic pension cost, excluding service cost</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debt extinguishment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Foreign currency gain (loss)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non-operating items</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SELECTED SEGMENT DATA</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in four segments: Siding, OSB, EWP, and South America. Our business units have been aggregated into these four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 the performance of our business segments based on net sales and Adjusted EBITDA. Accordingly, our chief operating decision maker evaluates performance and allocates resources based primarily on net sales and Adjusted EBITDA for our business segments. Adjusted EBITDA is a non-GAAP financial measure and is defined as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and other non-operating items.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product segments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Siding</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OSB</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EWP</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South America</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5280" w:type="dxa"/>
            <w:vAlign w:val="bottom"/>
          </w:tcPr>
          <w:p>
            <w:pPr>
              <w:ind w:left="360"/>
              <w:spacing w:after="0"/>
              <w:rPr>
                <w:sz w:val="20"/>
                <w:szCs w:val="20"/>
                <w:color w:val="auto"/>
              </w:rPr>
            </w:pPr>
            <w:r>
              <w:rPr>
                <w:rFonts w:ascii="Arial" w:cs="Arial" w:eastAsia="Arial" w:hAnsi="Arial"/>
                <w:sz w:val="16"/>
                <w:szCs w:val="16"/>
                <w:color w:val="auto"/>
              </w:rPr>
              <w:t>Intersegment sales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sales</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1,219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PROFIT BY SEGMENT</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5280" w:type="dxa"/>
            <w:vAlign w:val="bottom"/>
          </w:tcPr>
          <w:p>
            <w:pPr>
              <w:ind w:left="140"/>
              <w:spacing w:after="0"/>
              <w:rPr>
                <w:sz w:val="20"/>
                <w:szCs w:val="20"/>
                <w:color w:val="auto"/>
              </w:rPr>
            </w:pPr>
            <w:r>
              <w:rPr>
                <w:rFonts w:ascii="Arial" w:cs="Arial" w:eastAsia="Arial" w:hAnsi="Arial"/>
                <w:sz w:val="16"/>
                <w:szCs w:val="16"/>
                <w:color w:val="auto"/>
              </w:rPr>
              <w:t>Income attributed to LP</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Loss on impairment attributed to LP</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Product-line discontinuance charges</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debt extinguishment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Other non-operating items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5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OSB</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EWP</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South America</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8"/>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May 4, 2021, our Board of Directors authorized a share repurchase program (2021 Share Repurchase Program) under which we may repurchase up to $1 billion of shares of our common stock. Subsequent to September 30, 2021 through November 2, 2021, we paid $150 million to repurchase 2.3 million shares of LP common stock under the 2021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To serve these markets, we operate in four segments: Siding, OSB, EWP, and South America.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2021, we announced our decision to explore strategic alternatives with respect to the Company's remaining EWP segment, including a possible sale in whole or in part. In September 2021, we ceased the production of LSL production in connection with the conversion of the Houlton, Maine facility from LSL and OSB production to Siding production, as previously announced.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COVID-19 pandemic did not materially impact our results of operations for the three and nine months ended September 30, 2021. In September 2021, the federal government announced a six-point plan for responding to the COVID-19 pandemic. Part of his plan provides that the Occupational Health and Safety Administration (“OSHA”) will develop a rule which will require all employers with 100 or more employees to require their workforce to be fully vaccinated (or, alternatively, to provide a negative COVID test result on a weekly basis). The employer mandate has not yet gone into effect and further details, including any proposed OSHA rules, have not been released. We are monitoring developments related to these plans as information becomes available to assess how these plans, including any national or state vaccine mandates, may impact our workforce. However, the duration of the COVID-19 pandemic, the emergence and severity variants of the virus, the possibility of additional subsequent widespread outbreaks, the success of actions to contain the pandemic and mitigate its impacts, the impact of federal or state vaccine mandates, and the effects on our operations cannot be reasonably estimated.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for our Building Products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Demand for our products correlates positively with new home construction and repair and remodeling activity in North America, which historically have been characterized by significant cyclicality. The U.S. Department of Census reported on October 19, 2021, that actual single housing starts were 4% and 20% higher for the three and nine months ended September 30, 2021, respectively, as compared to the same periods in 2020. Repair and remodeling activity is difficult to reasonably measure, but many indications, including the increase in LP’s retail sales, suggest that repair and remodeling activity grew in the first nine months of 2021 as compared to the corresponding period in the prior year.</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housing market demand has recently been very strong, future economic conditions in the United States and the demand for homes remain uncertain due to continuing COVID-19-related disruptions, government directives, actions and economic relief efforts related thereto, and the impact of these actions on the economy, employment levels, consumer confidence, and financial markets, among other things. Additionally, as a result of increased demand in the housing market and a strengthening economy in the United States, we have experienced increases in material prices, supply disruptions, and labor shortages, which will be a challenge for LP as we continue to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and Demand for OSB</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OSB is sold as a commodity for which sales prices fluctuate daily based on market factors over which we have little or no control. We have experienced increased demand for commodity OSB in the nine months ended September 30, 20212021; however, we cannot predict whether the prices of our OSB products will remain at current levels or increase or decrease in the future.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additional factors affecting our results, refer to the "Overview" within our Management's Discussion and Analysis of Financial Condition and Results of Operations and “Risk Factors” contained in our 2020 Annual Report on Form 10-K, and to “About Forward-Looking Statements”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the Consolidated Financial Statements included in our 2020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 and Other Key Performance Indicators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product-line discontinuance charges, interest expense outside of normal operations, other operating credits and charges, net, loss on early debt extinguishment, gain (loss) on acquisition, and adjusted for a normalized tax rate as Adjusted Income (Adjusted Income). We also disclose Adjusted Diluted EPS, calculated as Adjusted Income divided by diluted shares outstanding. We believe that Adjusted Diluted EPS and Adjusted Income are useful measures for evaluating our ability to generate earnings and that providing this measure should allow interested persons to more readily compare the earnings for past and future periods.</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Adjusted EBITDA, Adjusted Income, nor Adjusted Diluted EPS is a substitute for the U.S. GAAP measure of net income or for any other U.S. GAAP measures of operating performance. It should be noted that other companies may present similarly-titled measures differently and therefore, as presented by us, these measures may not be comparable to similarly-titled measures reported by other companies. Adjusted EBITDA, Adjusted Income, and Adjusted Diluted EPS have material limitations as performance measures because they exclude items that are actually incurred or experienced in connection with the operations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significant items by operating segment and reconciles Net income to Adjusted EBITDA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160" w:type="dxa"/>
            <w:vAlign w:val="bottom"/>
          </w:tcPr>
          <w:p>
            <w:pPr>
              <w:ind w:left="140"/>
              <w:spacing w:after="0"/>
              <w:rPr>
                <w:sz w:val="20"/>
                <w:szCs w:val="20"/>
                <w:color w:val="auto"/>
              </w:rPr>
            </w:pPr>
            <w:r>
              <w:rPr>
                <w:rFonts w:ascii="Arial" w:cs="Arial" w:eastAsia="Arial" w:hAnsi="Arial"/>
                <w:sz w:val="16"/>
                <w:szCs w:val="16"/>
                <w:color w:val="auto"/>
              </w:rPr>
              <w:t>Income attributed to LP</w:t>
            </w:r>
          </w:p>
        </w:tc>
        <w:tc>
          <w:tcPr>
            <w:tcW w:w="10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Loss on impairment attributed to LP</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Product-line discontinuance charges</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debt extinguishment</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Other non-operating items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5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OSB</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EWP</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South America</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3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provides the reconciliation of Net income to Adjusted Income (dollar amounts in millions, except earnings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30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3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attributed to noncontrolling interest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380" w:type="dxa"/>
            <w:vAlign w:val="bottom"/>
          </w:tcPr>
          <w:p>
            <w:pPr>
              <w:ind w:left="140"/>
              <w:spacing w:after="0"/>
              <w:rPr>
                <w:sz w:val="20"/>
                <w:szCs w:val="20"/>
                <w:color w:val="auto"/>
              </w:rPr>
            </w:pPr>
            <w:r>
              <w:rPr>
                <w:rFonts w:ascii="Arial" w:cs="Arial" w:eastAsia="Arial" w:hAnsi="Arial"/>
                <w:sz w:val="16"/>
                <w:szCs w:val="16"/>
                <w:color w:val="auto"/>
              </w:rPr>
              <w:t>Income attributed to LP</w:t>
            </w:r>
          </w:p>
        </w:tc>
        <w:tc>
          <w:tcPr>
            <w:tcW w:w="9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impairment attributed to LP</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Other operating credits and charges, net</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line discontinuance charges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Loss on early debt extinguishment</w:t>
            </w:r>
          </w:p>
        </w:tc>
        <w:tc>
          <w:tcPr>
            <w:tcW w:w="9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tax provision</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7"/>
        </w:trPr>
        <w:tc>
          <w:tcPr>
            <w:tcW w:w="5380" w:type="dxa"/>
            <w:vAlign w:val="bottom"/>
          </w:tcPr>
          <w:p>
            <w:pPr>
              <w:ind w:left="20"/>
              <w:spacing w:after="0"/>
              <w:rPr>
                <w:sz w:val="20"/>
                <w:szCs w:val="20"/>
                <w:color w:val="auto"/>
              </w:rPr>
            </w:pPr>
            <w:r>
              <w:rPr>
                <w:rFonts w:ascii="Arial" w:cs="Arial" w:eastAsia="Arial" w:hAnsi="Arial"/>
                <w:sz w:val="16"/>
                <w:szCs w:val="16"/>
                <w:color w:val="auto"/>
              </w:rPr>
              <w:t>Adjusted income before tax</w:t>
            </w:r>
          </w:p>
        </w:tc>
        <w:tc>
          <w:tcPr>
            <w:tcW w:w="9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Normalized tax provision at 25%</w:t>
            </w:r>
          </w:p>
        </w:tc>
        <w:tc>
          <w:tcPr>
            <w:tcW w:w="9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5380" w:type="dxa"/>
            <w:vAlign w:val="bottom"/>
          </w:tcPr>
          <w:p>
            <w:pPr>
              <w:ind w:left="140"/>
              <w:spacing w:after="0"/>
              <w:rPr>
                <w:sz w:val="20"/>
                <w:szCs w:val="20"/>
                <w:color w:val="auto"/>
              </w:rPr>
            </w:pPr>
            <w:r>
              <w:rPr>
                <w:rFonts w:ascii="Arial" w:cs="Arial" w:eastAsia="Arial" w:hAnsi="Arial"/>
                <w:sz w:val="16"/>
                <w:szCs w:val="16"/>
                <w:b w:val="1"/>
                <w:bCs w:val="1"/>
                <w:color w:val="auto"/>
              </w:rPr>
              <w:t>Adjusted Income</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shares outstanding</w:t>
            </w:r>
          </w:p>
        </w:tc>
        <w:tc>
          <w:tcPr>
            <w:tcW w:w="9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80" w:type="dxa"/>
            <w:vAlign w:val="bottom"/>
          </w:tcPr>
          <w:p>
            <w:pPr>
              <w:ind w:left="140"/>
              <w:spacing w:after="0"/>
              <w:rPr>
                <w:sz w:val="20"/>
                <w:szCs w:val="20"/>
                <w:color w:val="auto"/>
              </w:rPr>
            </w:pPr>
            <w:r>
              <w:rPr>
                <w:rFonts w:ascii="Arial" w:cs="Arial" w:eastAsia="Arial" w:hAnsi="Arial"/>
                <w:sz w:val="16"/>
                <w:szCs w:val="16"/>
                <w:b w:val="1"/>
                <w:bCs w:val="1"/>
                <w:color w:val="auto"/>
              </w:rPr>
              <w:t>Adjusted Diluted EPS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11.57</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w:t>
            </w:r>
          </w:p>
        </w:tc>
      </w:tr>
      <w:tr>
        <w:trPr>
          <w:trHeight w:val="21"/>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management monitors certain key performance indicators to evaluate our business performance, which include our Overall Equipment Effectiveness (OEE) and our sales volume relative to housing starts, as provided by reports from the U.S. Department of Census. These key performance indicators are further described on page 37 of this quarterly report on Form 10-Q and are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of operations are separately discussed below for each of our segments, as well as for the “Other” category, which comprises other products that are not individually significant. See Note 18 of the Notes to the Condensed Consolidated Financial Statements included in Item 1 of this quarterly report on Form 10-Q for further information regarding our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SIDING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Siding segment serves diverse end markets with a broad product offering of engineered wood siding, trim, and fascia, including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SmartSide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Trim</w:t>
      </w:r>
    </w:p>
    <w:p>
      <w:pPr>
        <w:spacing w:after="0" w:line="2" w:lineRule="exact"/>
        <w:rPr>
          <w:sz w:val="20"/>
          <w:szCs w:val="20"/>
          <w:color w:val="auto"/>
        </w:rPr>
      </w:pPr>
    </w:p>
    <w:p>
      <w:pPr>
        <w:ind w:firstLine="8"/>
        <w:spacing w:after="0" w:line="219"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Siding,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SmartSide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ExpertFinish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Trim &amp; Siding,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BuilderSeries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Lap Siding, and LP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Outdoor Building Solutions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(collectively referred to as Siding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540" w:type="dxa"/>
            <w:vAlign w:val="bottom"/>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16 %  $</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220" w:type="dxa"/>
            <w:vAlign w:val="bottom"/>
          </w:tcPr>
          <w:p>
            <w:pPr>
              <w:ind w:left="8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Sales in this segment by product line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3800" w:type="dxa"/>
            <w:vAlign w:val="bottom"/>
            <w:gridSpan w:val="8"/>
          </w:tcPr>
          <w:p>
            <w:pPr>
              <w:ind w:left="5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312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700</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sales prices and unit shipments for the three and nine months ended September 30, 2021, compared to the corresponding periods in 2020,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8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Three Months Ended September 30,</w:t>
            </w:r>
          </w:p>
        </w:tc>
        <w:tc>
          <w:tcPr>
            <w:tcW w:w="37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3"/>
        </w:trPr>
        <w:tc>
          <w:tcPr>
            <w:tcW w:w="3660" w:type="dxa"/>
            <w:vAlign w:val="bottom"/>
          </w:tcPr>
          <w:p>
            <w:pPr>
              <w:spacing w:after="0"/>
              <w:rPr>
                <w:sz w:val="18"/>
                <w:szCs w:val="18"/>
                <w:color w:val="auto"/>
              </w:rPr>
            </w:pPr>
          </w:p>
        </w:tc>
        <w:tc>
          <w:tcPr>
            <w:tcW w:w="244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9"/>
              </w:rPr>
              <w:t>2021 versus 2020</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80" w:type="dxa"/>
            <w:vAlign w:val="bottom"/>
            <w:tcBorders>
              <w:bottom w:val="single" w:sz="8" w:color="auto"/>
            </w:tcBorders>
          </w:tcPr>
          <w:p>
            <w:pPr>
              <w:spacing w:after="0"/>
              <w:rPr>
                <w:sz w:val="18"/>
                <w:szCs w:val="18"/>
                <w:color w:val="auto"/>
              </w:rPr>
            </w:pPr>
          </w:p>
        </w:tc>
      </w:tr>
      <w:tr>
        <w:trPr>
          <w:trHeight w:val="162"/>
        </w:trPr>
        <w:tc>
          <w:tcPr>
            <w:tcW w:w="3660" w:type="dxa"/>
            <w:vAlign w:val="bottom"/>
          </w:tcPr>
          <w:p>
            <w:pPr>
              <w:spacing w:after="0"/>
              <w:rPr>
                <w:sz w:val="14"/>
                <w:szCs w:val="14"/>
                <w:color w:val="auto"/>
              </w:rPr>
            </w:pPr>
          </w:p>
        </w:tc>
        <w:tc>
          <w:tcPr>
            <w:tcW w:w="2440" w:type="dxa"/>
            <w:vAlign w:val="bottom"/>
            <w:gridSpan w:val="3"/>
          </w:tcPr>
          <w:p>
            <w:pPr>
              <w:ind w:left="480"/>
              <w:spacing w:after="0" w:line="162" w:lineRule="exact"/>
              <w:rPr>
                <w:sz w:val="20"/>
                <w:szCs w:val="20"/>
                <w:color w:val="auto"/>
              </w:rPr>
            </w:pPr>
            <w:r>
              <w:rPr>
                <w:rFonts w:ascii="Arial" w:cs="Arial" w:eastAsia="Arial" w:hAnsi="Arial"/>
                <w:sz w:val="16"/>
                <w:szCs w:val="16"/>
                <w:color w:val="auto"/>
              </w:rPr>
              <w:t>Average Net</w:t>
            </w:r>
          </w:p>
        </w:tc>
        <w:tc>
          <w:tcPr>
            <w:tcW w:w="1380" w:type="dxa"/>
            <w:vAlign w:val="bottom"/>
            <w:gridSpan w:val="2"/>
          </w:tcPr>
          <w:p>
            <w:pPr>
              <w:jc w:val="center"/>
              <w:ind w:right="660"/>
              <w:spacing w:after="0" w:line="162" w:lineRule="exact"/>
              <w:rPr>
                <w:sz w:val="20"/>
                <w:szCs w:val="20"/>
                <w:color w:val="auto"/>
              </w:rPr>
            </w:pPr>
            <w:r>
              <w:rPr>
                <w:rFonts w:ascii="Arial" w:cs="Arial" w:eastAsia="Arial" w:hAnsi="Arial"/>
                <w:sz w:val="16"/>
                <w:szCs w:val="16"/>
                <w:color w:val="auto"/>
                <w:w w:val="98"/>
              </w:rPr>
              <w:t>Unit</w:t>
            </w:r>
          </w:p>
        </w:tc>
        <w:tc>
          <w:tcPr>
            <w:tcW w:w="2460" w:type="dxa"/>
            <w:vAlign w:val="bottom"/>
            <w:gridSpan w:val="3"/>
          </w:tcPr>
          <w:p>
            <w:pPr>
              <w:ind w:left="500"/>
              <w:spacing w:after="0" w:line="162" w:lineRule="exact"/>
              <w:rPr>
                <w:sz w:val="20"/>
                <w:szCs w:val="20"/>
                <w:color w:val="auto"/>
              </w:rPr>
            </w:pPr>
            <w:r>
              <w:rPr>
                <w:rFonts w:ascii="Arial" w:cs="Arial" w:eastAsia="Arial" w:hAnsi="Arial"/>
                <w:sz w:val="16"/>
                <w:szCs w:val="16"/>
                <w:color w:val="auto"/>
              </w:rPr>
              <w:t>Average Net</w:t>
            </w:r>
          </w:p>
        </w:tc>
        <w:tc>
          <w:tcPr>
            <w:tcW w:w="1280" w:type="dxa"/>
            <w:vAlign w:val="bottom"/>
          </w:tcPr>
          <w:p>
            <w:pPr>
              <w:jc w:val="center"/>
              <w:ind w:right="45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60" w:type="dxa"/>
            <w:vAlign w:val="bottom"/>
          </w:tcPr>
          <w:p>
            <w:pPr>
              <w:spacing w:after="0"/>
              <w:rPr>
                <w:sz w:val="18"/>
                <w:szCs w:val="18"/>
                <w:color w:val="auto"/>
              </w:rPr>
            </w:pPr>
          </w:p>
        </w:tc>
        <w:tc>
          <w:tcPr>
            <w:tcW w:w="2440" w:type="dxa"/>
            <w:vAlign w:val="bottom"/>
            <w:gridSpan w:val="3"/>
          </w:tcPr>
          <w:p>
            <w:pPr>
              <w:ind w:left="480"/>
              <w:spacing w:after="0"/>
              <w:rPr>
                <w:sz w:val="20"/>
                <w:szCs w:val="20"/>
                <w:color w:val="auto"/>
              </w:rPr>
            </w:pPr>
            <w:r>
              <w:rPr>
                <w:rFonts w:ascii="Arial" w:cs="Arial" w:eastAsia="Arial" w:hAnsi="Arial"/>
                <w:sz w:val="16"/>
                <w:szCs w:val="16"/>
                <w:color w:val="auto"/>
              </w:rPr>
              <w:t>Selling Price</w:t>
            </w:r>
          </w:p>
        </w:tc>
        <w:tc>
          <w:tcPr>
            <w:tcW w:w="1380" w:type="dxa"/>
            <w:vAlign w:val="bottom"/>
            <w:gridSpan w:val="2"/>
          </w:tcPr>
          <w:p>
            <w:pPr>
              <w:jc w:val="center"/>
              <w:ind w:right="660"/>
              <w:spacing w:after="0"/>
              <w:rPr>
                <w:sz w:val="20"/>
                <w:szCs w:val="20"/>
                <w:color w:val="auto"/>
              </w:rPr>
            </w:pPr>
            <w:r>
              <w:rPr>
                <w:rFonts w:ascii="Arial" w:cs="Arial" w:eastAsia="Arial" w:hAnsi="Arial"/>
                <w:sz w:val="16"/>
                <w:szCs w:val="16"/>
                <w:color w:val="auto"/>
                <w:w w:val="89"/>
              </w:rPr>
              <w:t>Shipments</w:t>
            </w:r>
          </w:p>
        </w:tc>
        <w:tc>
          <w:tcPr>
            <w:tcW w:w="2460" w:type="dxa"/>
            <w:vAlign w:val="bottom"/>
            <w:gridSpan w:val="3"/>
          </w:tcPr>
          <w:p>
            <w:pPr>
              <w:ind w:left="480"/>
              <w:spacing w:after="0"/>
              <w:rPr>
                <w:sz w:val="20"/>
                <w:szCs w:val="20"/>
                <w:color w:val="auto"/>
              </w:rPr>
            </w:pPr>
            <w:r>
              <w:rPr>
                <w:rFonts w:ascii="Arial" w:cs="Arial" w:eastAsia="Arial" w:hAnsi="Arial"/>
                <w:sz w:val="16"/>
                <w:szCs w:val="16"/>
                <w:color w:val="auto"/>
              </w:rPr>
              <w:t>Selling Price</w:t>
            </w:r>
          </w:p>
        </w:tc>
        <w:tc>
          <w:tcPr>
            <w:tcW w:w="1280" w:type="dxa"/>
            <w:vAlign w:val="bottom"/>
          </w:tcPr>
          <w:p>
            <w:pPr>
              <w:jc w:val="center"/>
              <w:ind w:right="459"/>
              <w:spacing w:after="0"/>
              <w:rPr>
                <w:sz w:val="20"/>
                <w:szCs w:val="20"/>
                <w:color w:val="auto"/>
              </w:rPr>
            </w:pPr>
            <w:r>
              <w:rPr>
                <w:rFonts w:ascii="Arial" w:cs="Arial" w:eastAsia="Arial" w:hAnsi="Arial"/>
                <w:sz w:val="16"/>
                <w:szCs w:val="16"/>
                <w:color w:val="auto"/>
                <w:w w:val="92"/>
              </w:rPr>
              <w:t>Shipments</w:t>
            </w: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Siding Solutions</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Siding net sales increased by $44 million and $189 million for the three and nine months ended September 30, 2021, respectively, compared to the corresponding periods in 2020. These increases are primarily due to increases in Siding Solutions prices and shipments for the three and nine months ended September 30, 2021, respectively, partially offset by decreases in fiber sales (included in the Other product line).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EBITDA decreased by $3 million for the three months ended September 30, 2021, compared to the corresponding period in 2020, primarily due to increases in raw material prices, freight costs, sales and marketing, and maintenance costs, offset by higher Siding Solutions revenue. Adjusted EBITDA increased by $71 million for the nine months ended September 30, 2021, compared to the corresponding period in 2020, primarily due to an increase in Siding Solutions revenue, partially offset by increases in raw material prices, freight costs, sales and marketing, and mill spending.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OSB</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OSB segment manufactures and distributes OSB structural panel products including our value-added OSB portfolio known as LP Structural Solutions (which includes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TechShield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Radiant Barrier, LP WeatherLogic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Air &amp; Water Barrier, LP Legacy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Premium Sub-Flooring, and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FlameBlock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Fire-Rated Sheathing) and 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TopNotch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Sub-Flooring. OSB is manufactured using wood strands arranged in layers and bonded with resins.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80" w:type="dxa"/>
            <w:vAlign w:val="bottom"/>
            <w:gridSpan w:val="8"/>
          </w:tcPr>
          <w:p>
            <w:pPr>
              <w:jc w:val="right"/>
              <w:ind w:right="1020"/>
              <w:spacing w:after="0"/>
              <w:rPr>
                <w:sz w:val="20"/>
                <w:szCs w:val="20"/>
                <w:color w:val="auto"/>
              </w:rPr>
            </w:pPr>
            <w:r>
              <w:rPr>
                <w:rFonts w:ascii="Arial" w:cs="Arial" w:eastAsia="Arial" w:hAnsi="Arial"/>
                <w:sz w:val="16"/>
                <w:szCs w:val="16"/>
                <w:b w:val="1"/>
                <w:bCs w:val="1"/>
                <w:color w:val="auto"/>
              </w:rPr>
              <w:t>Three Months Ended September 30,</w:t>
            </w:r>
          </w:p>
        </w:tc>
        <w:tc>
          <w:tcPr>
            <w:tcW w:w="3560" w:type="dxa"/>
            <w:vAlign w:val="bottom"/>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5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63 %  $</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382 %</w:t>
            </w: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405"/>
        </w:trPr>
        <w:tc>
          <w:tcPr>
            <w:tcW w:w="3900" w:type="dxa"/>
            <w:vAlign w:val="bottom"/>
            <w:gridSpan w:val="2"/>
          </w:tcPr>
          <w:p>
            <w:pPr>
              <w:spacing w:after="0"/>
              <w:rPr>
                <w:sz w:val="20"/>
                <w:szCs w:val="20"/>
                <w:color w:val="auto"/>
              </w:rPr>
            </w:pPr>
            <w:r>
              <w:rPr>
                <w:rFonts w:ascii="Arial" w:cs="Arial" w:eastAsia="Arial" w:hAnsi="Arial"/>
                <w:sz w:val="18"/>
                <w:szCs w:val="18"/>
                <w:color w:val="auto"/>
                <w:w w:val="91"/>
              </w:rPr>
              <w:t>Sales in this segment by product line were as follows: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3480" w:type="dxa"/>
            <w:vAlign w:val="bottom"/>
            <w:tcBorders>
              <w:bottom w:val="single" w:sz="8" w:color="auto"/>
            </w:tcBorders>
            <w:gridSpan w:val="7"/>
          </w:tcPr>
          <w:p>
            <w:pPr>
              <w:jc w:val="right"/>
              <w:ind w:right="299"/>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290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7"/>
        </w:trPr>
        <w:tc>
          <w:tcPr>
            <w:tcW w:w="3740" w:type="dxa"/>
            <w:vAlign w:val="bottom"/>
          </w:tcPr>
          <w:p>
            <w:pPr>
              <w:ind w:left="36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600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w:t>
            </w:r>
          </w:p>
        </w:tc>
        <w:tc>
          <w:tcPr>
            <w:tcW w:w="14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63 %</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w:t>
            </w:r>
          </w:p>
        </w:tc>
        <w:tc>
          <w:tcPr>
            <w:tcW w:w="14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142 %</w:t>
            </w:r>
          </w:p>
        </w:tc>
      </w:tr>
      <w:tr>
        <w:trPr>
          <w:trHeight w:val="23"/>
        </w:trPr>
        <w:tc>
          <w:tcPr>
            <w:tcW w:w="37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Percent changes in average sales prices and unit shipments for the three and nine months ended September 30, 2021, compared to the corresponding periods in 2020,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3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3640" w:type="dxa"/>
            <w:vAlign w:val="bottom"/>
          </w:tcPr>
          <w:p>
            <w:pPr>
              <w:spacing w:after="0"/>
              <w:rPr>
                <w:sz w:val="18"/>
                <w:szCs w:val="18"/>
                <w:color w:val="auto"/>
              </w:rPr>
            </w:pPr>
          </w:p>
        </w:tc>
        <w:tc>
          <w:tcPr>
            <w:tcW w:w="330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b w:val="1"/>
                <w:bCs w:val="1"/>
                <w:color w:val="auto"/>
              </w:rPr>
              <w:t>2021 versus 2020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versus 2020</w:t>
            </w:r>
          </w:p>
        </w:tc>
        <w:tc>
          <w:tcPr>
            <w:tcW w:w="1260" w:type="dxa"/>
            <w:vAlign w:val="bottom"/>
            <w:tcBorders>
              <w:bottom w:val="single" w:sz="8" w:color="auto"/>
            </w:tcBorders>
          </w:tcPr>
          <w:p>
            <w:pPr>
              <w:spacing w:after="0"/>
              <w:rPr>
                <w:sz w:val="18"/>
                <w:szCs w:val="18"/>
                <w:color w:val="auto"/>
              </w:rPr>
            </w:pPr>
          </w:p>
        </w:tc>
      </w:tr>
      <w:tr>
        <w:trPr>
          <w:trHeight w:val="162"/>
        </w:trPr>
        <w:tc>
          <w:tcPr>
            <w:tcW w:w="3640" w:type="dxa"/>
            <w:vAlign w:val="bottom"/>
          </w:tcPr>
          <w:p>
            <w:pPr>
              <w:spacing w:after="0"/>
              <w:rPr>
                <w:sz w:val="14"/>
                <w:szCs w:val="14"/>
                <w:color w:val="auto"/>
              </w:rPr>
            </w:pPr>
          </w:p>
        </w:tc>
        <w:tc>
          <w:tcPr>
            <w:tcW w:w="1380" w:type="dxa"/>
            <w:vAlign w:val="bottom"/>
          </w:tcPr>
          <w:p>
            <w:pPr>
              <w:ind w:left="500"/>
              <w:spacing w:after="0" w:line="162" w:lineRule="exact"/>
              <w:rPr>
                <w:sz w:val="20"/>
                <w:szCs w:val="20"/>
                <w:color w:val="auto"/>
              </w:rPr>
            </w:pPr>
            <w:r>
              <w:rPr>
                <w:rFonts w:ascii="Arial" w:cs="Arial" w:eastAsia="Arial" w:hAnsi="Arial"/>
                <w:sz w:val="16"/>
                <w:szCs w:val="16"/>
                <w:color w:val="auto"/>
                <w:w w:val="96"/>
              </w:rPr>
              <w:t>Average Net</w:t>
            </w:r>
          </w:p>
        </w:tc>
        <w:tc>
          <w:tcPr>
            <w:tcW w:w="1920" w:type="dxa"/>
            <w:vAlign w:val="bottom"/>
          </w:tcPr>
          <w:p>
            <w:pPr>
              <w:jc w:val="right"/>
              <w:ind w:right="239"/>
              <w:spacing w:after="0" w:line="162" w:lineRule="exact"/>
              <w:rPr>
                <w:sz w:val="20"/>
                <w:szCs w:val="20"/>
                <w:color w:val="auto"/>
              </w:rPr>
            </w:pPr>
            <w:r>
              <w:rPr>
                <w:rFonts w:ascii="Arial" w:cs="Arial" w:eastAsia="Arial" w:hAnsi="Arial"/>
                <w:sz w:val="16"/>
                <w:szCs w:val="16"/>
                <w:color w:val="auto"/>
              </w:rPr>
              <w:t>Unit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jc w:val="right"/>
              <w:ind w:right="1099"/>
              <w:spacing w:after="0" w:line="162" w:lineRule="exact"/>
              <w:rPr>
                <w:sz w:val="20"/>
                <w:szCs w:val="20"/>
                <w:color w:val="auto"/>
              </w:rPr>
            </w:pPr>
            <w:r>
              <w:rPr>
                <w:rFonts w:ascii="Arial" w:cs="Arial" w:eastAsia="Arial" w:hAnsi="Arial"/>
                <w:sz w:val="16"/>
                <w:szCs w:val="16"/>
                <w:color w:val="auto"/>
              </w:rPr>
              <w:t>Average Net</w:t>
            </w:r>
          </w:p>
        </w:tc>
        <w:tc>
          <w:tcPr>
            <w:tcW w:w="126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40" w:type="dxa"/>
            <w:vAlign w:val="bottom"/>
          </w:tcPr>
          <w:p>
            <w:pPr>
              <w:spacing w:after="0"/>
              <w:rPr>
                <w:sz w:val="18"/>
                <w:szCs w:val="18"/>
                <w:color w:val="auto"/>
              </w:rPr>
            </w:pPr>
          </w:p>
        </w:tc>
        <w:tc>
          <w:tcPr>
            <w:tcW w:w="1380" w:type="dxa"/>
            <w:vAlign w:val="bottom"/>
          </w:tcPr>
          <w:p>
            <w:pPr>
              <w:ind w:left="480"/>
              <w:spacing w:after="0"/>
              <w:rPr>
                <w:sz w:val="20"/>
                <w:szCs w:val="20"/>
                <w:color w:val="auto"/>
              </w:rPr>
            </w:pPr>
            <w:r>
              <w:rPr>
                <w:rFonts w:ascii="Arial" w:cs="Arial" w:eastAsia="Arial" w:hAnsi="Arial"/>
                <w:sz w:val="16"/>
                <w:szCs w:val="16"/>
                <w:color w:val="auto"/>
                <w:w w:val="98"/>
              </w:rPr>
              <w:t>Selling Price</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Shipments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jc w:val="right"/>
              <w:ind w:right="1079"/>
              <w:spacing w:after="0"/>
              <w:rPr>
                <w:sz w:val="20"/>
                <w:szCs w:val="20"/>
                <w:color w:val="auto"/>
              </w:rPr>
            </w:pPr>
            <w:r>
              <w:rPr>
                <w:rFonts w:ascii="Arial" w:cs="Arial" w:eastAsia="Arial" w:hAnsi="Arial"/>
                <w:sz w:val="16"/>
                <w:szCs w:val="16"/>
                <w:color w:val="auto"/>
              </w:rPr>
              <w:t>Selling Price</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w w:val="89"/>
              </w:rPr>
              <w:t>Shipments</w:t>
            </w: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192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rPr>
              <w:t>82 %</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133 %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10"/>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OSB - Commodity</w:t>
            </w:r>
          </w:p>
        </w:tc>
        <w:tc>
          <w:tcPr>
            <w:tcW w:w="1920" w:type="dxa"/>
            <w:vAlign w:val="bottom"/>
          </w:tcPr>
          <w:p>
            <w:pPr>
              <w:jc w:val="right"/>
              <w:ind w:right="1419"/>
              <w:spacing w:after="0"/>
              <w:rPr>
                <w:sz w:val="20"/>
                <w:szCs w:val="20"/>
                <w:color w:val="auto"/>
              </w:rPr>
            </w:pPr>
            <w:r>
              <w:rPr>
                <w:rFonts w:ascii="Arial" w:cs="Arial" w:eastAsia="Arial" w:hAnsi="Arial"/>
                <w:sz w:val="16"/>
                <w:szCs w:val="16"/>
                <w:color w:val="auto"/>
              </w:rPr>
              <w:t>43 %</w:t>
            </w:r>
          </w:p>
        </w:tc>
        <w:tc>
          <w:tcPr>
            <w:tcW w:w="42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2500" w:type="dxa"/>
            <w:vAlign w:val="bottom"/>
          </w:tcPr>
          <w:p>
            <w:pPr>
              <w:jc w:val="right"/>
              <w:ind w:right="599"/>
              <w:spacing w:after="0"/>
              <w:rPr>
                <w:sz w:val="20"/>
                <w:szCs w:val="20"/>
                <w:color w:val="auto"/>
              </w:rPr>
            </w:pPr>
            <w:r>
              <w:rPr>
                <w:rFonts w:ascii="Arial" w:cs="Arial" w:eastAsia="Arial" w:hAnsi="Arial"/>
                <w:sz w:val="16"/>
                <w:szCs w:val="16"/>
                <w:color w:val="auto"/>
              </w:rPr>
              <w:t>148 %</w:t>
            </w: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OSB net sales increased by $232 million and $1.1 billion for the three and nine months ended September 30, 2021, respectively, compared to the corresponding periods in 2020. OSB prices increased by $225 million and $1.1 billion for the three and nine months ended September 30, 2021, respectively, compared to the corresponding periods in 2020. OSB sales volume increased by two and one percent for the three and nine months ended September 30, 2021, respectively, compared to the corresponding periods in 2020. Structural Solutions volume, as a percentage of total OSB segment volume, was 44% and 45% for the three and nine months ended September 30, 2021, respectively, compared to 44% and 43% in the corresponding periods in 2020.</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increased over the prior year by $192 million and $1 billion for the three and nine months ended September 30, 2021, respectively, primarily due to increased OSB prices, partially offset by increases in raw material prices, freight costs, and mill spending.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EWP</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EWP segment is comprised of LP</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SolidStart</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I-Joist (I-Joist), Laminated Veneer Lumber (LVL), and Laminated Strand Lumber (LSL) and other related products. This segment also includes the sales of I-Joist and LVL products produced by our joint venture and sales of plywood produced as a by-product of the LVL production process. In February 2021, we announced that we are exploring strategic alternatives to the remaining EWP business, including a possible sale in whole or in part.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jc w:val="right"/>
              <w:ind w:right="1040"/>
              <w:spacing w:after="0"/>
              <w:rPr>
                <w:sz w:val="20"/>
                <w:szCs w:val="20"/>
                <w:color w:val="auto"/>
              </w:rPr>
            </w:pPr>
            <w:r>
              <w:rPr>
                <w:rFonts w:ascii="Arial" w:cs="Arial" w:eastAsia="Arial" w:hAnsi="Arial"/>
                <w:sz w:val="16"/>
                <w:szCs w:val="16"/>
                <w:b w:val="1"/>
                <w:bCs w:val="1"/>
                <w:color w:val="auto"/>
              </w:rPr>
              <w:t>Three Months Ended September 30,</w:t>
            </w:r>
          </w:p>
        </w:tc>
        <w:tc>
          <w:tcPr>
            <w:tcW w:w="3540" w:type="dxa"/>
            <w:vAlign w:val="bottom"/>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95 %  $</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223 %</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Sales in this segment by product line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348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I-Joist</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LVL</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LSL</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including plywood and related products</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95 %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71 %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60"/>
        <w:spacing w:after="0" w:line="274" w:lineRule="auto"/>
        <w:rPr>
          <w:sz w:val="20"/>
          <w:szCs w:val="20"/>
          <w:color w:val="auto"/>
        </w:rPr>
      </w:pPr>
      <w:r>
        <w:rPr>
          <w:rFonts w:ascii="Arial" w:cs="Arial" w:eastAsia="Arial" w:hAnsi="Arial"/>
          <w:sz w:val="18"/>
          <w:szCs w:val="18"/>
          <w:color w:val="auto"/>
        </w:rPr>
        <w:t>Percent changes in average sales prices and unit shipments for the three and nine months ended September 30, 2021, compared to the corresponding periods in 2020, were as follows:</w:t>
      </w:r>
    </w:p>
    <w:tbl>
      <w:tblPr>
        <w:tblLayout w:type="fixed"/>
        <w:tblInd w:w="0" w:type="dxa"/>
        <w:tblCellMar>
          <w:top w:w="0" w:type="dxa"/>
          <w:left w:w="0" w:type="dxa"/>
          <w:bottom w:w="0" w:type="dxa"/>
          <w:right w:w="0" w:type="dxa"/>
        </w:tblCellMar>
      </w:tblPr>
      <w:tr>
        <w:trPr>
          <w:trHeight w:val="163"/>
        </w:trPr>
        <w:tc>
          <w:tcPr>
            <w:tcW w:w="3620" w:type="dxa"/>
            <w:vAlign w:val="bottom"/>
          </w:tcPr>
          <w:p>
            <w:pPr>
              <w:spacing w:after="0"/>
              <w:rPr>
                <w:sz w:val="14"/>
                <w:szCs w:val="14"/>
                <w:color w:val="auto"/>
              </w:rPr>
            </w:pPr>
          </w:p>
        </w:tc>
        <w:tc>
          <w:tcPr>
            <w:tcW w:w="3860" w:type="dxa"/>
            <w:vAlign w:val="bottom"/>
            <w:gridSpan w:val="5"/>
          </w:tcPr>
          <w:p>
            <w:pPr>
              <w:jc w:val="center"/>
              <w:ind w:right="120"/>
              <w:spacing w:after="0" w:line="163" w:lineRule="exact"/>
              <w:rPr>
                <w:sz w:val="20"/>
                <w:szCs w:val="20"/>
                <w:color w:val="auto"/>
              </w:rPr>
            </w:pPr>
            <w:r>
              <w:rPr>
                <w:rFonts w:ascii="Arial" w:cs="Arial" w:eastAsia="Arial" w:hAnsi="Arial"/>
                <w:sz w:val="16"/>
                <w:szCs w:val="16"/>
                <w:b w:val="1"/>
                <w:bCs w:val="1"/>
                <w:color w:val="auto"/>
                <w:w w:val="91"/>
              </w:rPr>
              <w:t>Three Months Ended September 30,</w:t>
            </w:r>
          </w:p>
        </w:tc>
        <w:tc>
          <w:tcPr>
            <w:tcW w:w="3760" w:type="dxa"/>
            <w:vAlign w:val="bottom"/>
            <w:gridSpan w:val="4"/>
          </w:tcPr>
          <w:p>
            <w:pPr>
              <w:jc w:val="center"/>
              <w:spacing w:after="0" w:line="163" w:lineRule="exact"/>
              <w:rPr>
                <w:sz w:val="20"/>
                <w:szCs w:val="20"/>
                <w:color w:val="auto"/>
              </w:rPr>
            </w:pPr>
            <w:r>
              <w:rPr>
                <w:rFonts w:ascii="Arial" w:cs="Arial" w:eastAsia="Arial" w:hAnsi="Arial"/>
                <w:sz w:val="16"/>
                <w:szCs w:val="16"/>
                <w:b w:val="1"/>
                <w:bCs w:val="1"/>
                <w:color w:val="auto"/>
                <w:w w:val="91"/>
              </w:rPr>
              <w:t>Nine Months Ended September 30,</w:t>
            </w:r>
          </w:p>
        </w:tc>
      </w:tr>
      <w:tr>
        <w:trPr>
          <w:trHeight w:val="213"/>
        </w:trPr>
        <w:tc>
          <w:tcPr>
            <w:tcW w:w="3620" w:type="dxa"/>
            <w:vAlign w:val="bottom"/>
          </w:tcPr>
          <w:p>
            <w:pPr>
              <w:spacing w:after="0"/>
              <w:rPr>
                <w:sz w:val="18"/>
                <w:szCs w:val="18"/>
                <w:color w:val="auto"/>
              </w:rPr>
            </w:pPr>
          </w:p>
        </w:tc>
        <w:tc>
          <w:tcPr>
            <w:tcW w:w="248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9"/>
              </w:rPr>
              <w:t>2021 versus 2020</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60" w:type="dxa"/>
            <w:vAlign w:val="bottom"/>
            <w:tcBorders>
              <w:bottom w:val="single" w:sz="8" w:color="auto"/>
            </w:tcBorders>
          </w:tcPr>
          <w:p>
            <w:pPr>
              <w:spacing w:after="0"/>
              <w:rPr>
                <w:sz w:val="18"/>
                <w:szCs w:val="18"/>
                <w:color w:val="auto"/>
              </w:rPr>
            </w:pPr>
          </w:p>
        </w:tc>
      </w:tr>
      <w:tr>
        <w:trPr>
          <w:trHeight w:val="162"/>
        </w:trPr>
        <w:tc>
          <w:tcPr>
            <w:tcW w:w="3620" w:type="dxa"/>
            <w:vAlign w:val="bottom"/>
          </w:tcPr>
          <w:p>
            <w:pPr>
              <w:spacing w:after="0"/>
              <w:rPr>
                <w:sz w:val="14"/>
                <w:szCs w:val="14"/>
                <w:color w:val="auto"/>
              </w:rPr>
            </w:pPr>
          </w:p>
        </w:tc>
        <w:tc>
          <w:tcPr>
            <w:tcW w:w="2480" w:type="dxa"/>
            <w:vAlign w:val="bottom"/>
            <w:gridSpan w:val="3"/>
          </w:tcPr>
          <w:p>
            <w:pPr>
              <w:ind w:left="500"/>
              <w:spacing w:after="0" w:line="162" w:lineRule="exact"/>
              <w:rPr>
                <w:sz w:val="20"/>
                <w:szCs w:val="20"/>
                <w:color w:val="auto"/>
              </w:rPr>
            </w:pPr>
            <w:r>
              <w:rPr>
                <w:rFonts w:ascii="Arial" w:cs="Arial" w:eastAsia="Arial" w:hAnsi="Arial"/>
                <w:sz w:val="16"/>
                <w:szCs w:val="16"/>
                <w:color w:val="auto"/>
              </w:rPr>
              <w:t>Average Net</w:t>
            </w:r>
          </w:p>
        </w:tc>
        <w:tc>
          <w:tcPr>
            <w:tcW w:w="1380" w:type="dxa"/>
            <w:vAlign w:val="bottom"/>
            <w:gridSpan w:val="2"/>
          </w:tcPr>
          <w:p>
            <w:pPr>
              <w:jc w:val="center"/>
              <w:ind w:right="660"/>
              <w:spacing w:after="0" w:line="162" w:lineRule="exact"/>
              <w:rPr>
                <w:sz w:val="20"/>
                <w:szCs w:val="20"/>
                <w:color w:val="auto"/>
              </w:rPr>
            </w:pPr>
            <w:r>
              <w:rPr>
                <w:rFonts w:ascii="Arial" w:cs="Arial" w:eastAsia="Arial" w:hAnsi="Arial"/>
                <w:sz w:val="16"/>
                <w:szCs w:val="16"/>
                <w:color w:val="auto"/>
                <w:w w:val="98"/>
              </w:rPr>
              <w:t>Unit</w:t>
            </w:r>
          </w:p>
        </w:tc>
        <w:tc>
          <w:tcPr>
            <w:tcW w:w="2500" w:type="dxa"/>
            <w:vAlign w:val="bottom"/>
            <w:gridSpan w:val="3"/>
          </w:tcPr>
          <w:p>
            <w:pPr>
              <w:ind w:left="520"/>
              <w:spacing w:after="0" w:line="162" w:lineRule="exact"/>
              <w:rPr>
                <w:sz w:val="20"/>
                <w:szCs w:val="20"/>
                <w:color w:val="auto"/>
              </w:rPr>
            </w:pPr>
            <w:r>
              <w:rPr>
                <w:rFonts w:ascii="Arial" w:cs="Arial" w:eastAsia="Arial" w:hAnsi="Arial"/>
                <w:sz w:val="16"/>
                <w:szCs w:val="16"/>
                <w:color w:val="auto"/>
              </w:rPr>
              <w:t>Average Net</w:t>
            </w:r>
          </w:p>
        </w:tc>
        <w:tc>
          <w:tcPr>
            <w:tcW w:w="126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20" w:type="dxa"/>
            <w:vAlign w:val="bottom"/>
          </w:tcPr>
          <w:p>
            <w:pPr>
              <w:spacing w:after="0"/>
              <w:rPr>
                <w:sz w:val="18"/>
                <w:szCs w:val="18"/>
                <w:color w:val="auto"/>
              </w:rPr>
            </w:pPr>
          </w:p>
        </w:tc>
        <w:tc>
          <w:tcPr>
            <w:tcW w:w="2480" w:type="dxa"/>
            <w:vAlign w:val="bottom"/>
            <w:gridSpan w:val="3"/>
          </w:tcPr>
          <w:p>
            <w:pPr>
              <w:ind w:left="480"/>
              <w:spacing w:after="0"/>
              <w:rPr>
                <w:sz w:val="20"/>
                <w:szCs w:val="20"/>
                <w:color w:val="auto"/>
              </w:rPr>
            </w:pPr>
            <w:r>
              <w:rPr>
                <w:rFonts w:ascii="Arial" w:cs="Arial" w:eastAsia="Arial" w:hAnsi="Arial"/>
                <w:sz w:val="16"/>
                <w:szCs w:val="16"/>
                <w:color w:val="auto"/>
              </w:rPr>
              <w:t>Selling Price</w:t>
            </w:r>
          </w:p>
        </w:tc>
        <w:tc>
          <w:tcPr>
            <w:tcW w:w="1380" w:type="dxa"/>
            <w:vAlign w:val="bottom"/>
            <w:gridSpan w:val="2"/>
          </w:tcPr>
          <w:p>
            <w:pPr>
              <w:jc w:val="center"/>
              <w:ind w:right="660"/>
              <w:spacing w:after="0"/>
              <w:rPr>
                <w:sz w:val="20"/>
                <w:szCs w:val="20"/>
                <w:color w:val="auto"/>
              </w:rPr>
            </w:pPr>
            <w:r>
              <w:rPr>
                <w:rFonts w:ascii="Arial" w:cs="Arial" w:eastAsia="Arial" w:hAnsi="Arial"/>
                <w:sz w:val="16"/>
                <w:szCs w:val="16"/>
                <w:color w:val="auto"/>
                <w:w w:val="89"/>
              </w:rPr>
              <w:t>Shipments</w:t>
            </w:r>
          </w:p>
        </w:tc>
        <w:tc>
          <w:tcPr>
            <w:tcW w:w="2500" w:type="dxa"/>
            <w:vAlign w:val="bottom"/>
            <w:gridSpan w:val="3"/>
          </w:tcPr>
          <w:p>
            <w:pPr>
              <w:ind w:left="500"/>
              <w:spacing w:after="0"/>
              <w:rPr>
                <w:sz w:val="20"/>
                <w:szCs w:val="20"/>
                <w:color w:val="auto"/>
              </w:rPr>
            </w:pPr>
            <w:r>
              <w:rPr>
                <w:rFonts w:ascii="Arial" w:cs="Arial" w:eastAsia="Arial" w:hAnsi="Arial"/>
                <w:sz w:val="16"/>
                <w:szCs w:val="16"/>
                <w:color w:val="auto"/>
              </w:rPr>
              <w:t>Selling Price</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w w:val="89"/>
              </w:rPr>
              <w:t>Shipments</w:t>
            </w:r>
          </w:p>
        </w:tc>
      </w:tr>
      <w:tr>
        <w:trPr>
          <w:trHeight w:val="21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I-Joist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LVL</w:t>
            </w:r>
          </w:p>
        </w:tc>
        <w:tc>
          <w:tcPr>
            <w:tcW w:w="182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31 %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LSL</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EWP net sales increased by $98 million and $200 million for the three and nine months ended September 30, 2021, respectively, compared to the corresponding periods in 2020. Adjusted EBITDA increased by $33 million and $47 million for the three and nine months ended September 30, 2021, respectively, compared to the corresponding periods in 2020. The increases to net sales and Adjusted EBITDA are primarily due to increased pricing to offset increased input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AMERICA</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Colombia, and Argentina.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Segment sales, Adjusted EBITDA, and Adjusted EBITDA margin for this segment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4160" w:type="dxa"/>
            <w:vAlign w:val="bottom"/>
            <w:gridSpan w:val="9"/>
          </w:tcPr>
          <w:p>
            <w:pPr>
              <w:jc w:val="right"/>
              <w:ind w:right="1020"/>
              <w:spacing w:after="0"/>
              <w:rPr>
                <w:sz w:val="20"/>
                <w:szCs w:val="20"/>
                <w:color w:val="auto"/>
              </w:rPr>
            </w:pPr>
            <w:r>
              <w:rPr>
                <w:rFonts w:ascii="Arial" w:cs="Arial" w:eastAsia="Arial" w:hAnsi="Arial"/>
                <w:sz w:val="16"/>
                <w:szCs w:val="16"/>
                <w:b w:val="1"/>
                <w:bCs w:val="1"/>
                <w:color w:val="auto"/>
              </w:rPr>
              <w:t>Three Months Ended September 30,</w:t>
            </w:r>
          </w:p>
        </w:tc>
        <w:tc>
          <w:tcPr>
            <w:tcW w:w="3560" w:type="dxa"/>
            <w:vAlign w:val="bottom"/>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5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69 %  $</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7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215 %</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49 %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24 %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Sales in this segment by product line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350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r>
      <w:tr>
        <w:trPr>
          <w:trHeight w:val="210"/>
        </w:trPr>
        <w:tc>
          <w:tcPr>
            <w:tcW w:w="3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Siding</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720" w:type="dxa"/>
            <w:vAlign w:val="bottom"/>
          </w:tcPr>
          <w:p>
            <w:pPr>
              <w:ind w:left="36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69 %</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140" w:type="dxa"/>
            <w:vAlign w:val="bottom"/>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70 %</w:t>
            </w:r>
          </w:p>
        </w:tc>
      </w:tr>
      <w:tr>
        <w:trPr>
          <w:trHeight w:val="23"/>
        </w:trPr>
        <w:tc>
          <w:tcPr>
            <w:tcW w:w="37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Percent changes in average sales prices and unit shipments for the three and nine months ended September 30, 2021, compared to the corresponding periods in 2020,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8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1"/>
              </w:rPr>
              <w:t>Three Months Ended September 30,</w:t>
            </w:r>
          </w:p>
        </w:tc>
        <w:tc>
          <w:tcPr>
            <w:tcW w:w="3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3"/>
        </w:trPr>
        <w:tc>
          <w:tcPr>
            <w:tcW w:w="3640" w:type="dxa"/>
            <w:vAlign w:val="bottom"/>
          </w:tcPr>
          <w:p>
            <w:pPr>
              <w:spacing w:after="0"/>
              <w:rPr>
                <w:sz w:val="18"/>
                <w:szCs w:val="18"/>
                <w:color w:val="auto"/>
              </w:rPr>
            </w:pPr>
          </w:p>
        </w:tc>
        <w:tc>
          <w:tcPr>
            <w:tcW w:w="246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88"/>
              </w:rPr>
              <w:t>2021 versus 2020</w:t>
            </w:r>
          </w:p>
        </w:tc>
        <w:tc>
          <w:tcPr>
            <w:tcW w:w="1260" w:type="dxa"/>
            <w:vAlign w:val="bottom"/>
            <w:tcBorders>
              <w:bottom w:val="single" w:sz="8" w:color="auto"/>
            </w:tcBorders>
          </w:tcPr>
          <w:p>
            <w:pPr>
              <w:spacing w:after="0"/>
              <w:rPr>
                <w:sz w:val="18"/>
                <w:szCs w:val="18"/>
                <w:color w:val="auto"/>
              </w:rPr>
            </w:pPr>
          </w:p>
        </w:tc>
      </w:tr>
      <w:tr>
        <w:trPr>
          <w:trHeight w:val="162"/>
        </w:trPr>
        <w:tc>
          <w:tcPr>
            <w:tcW w:w="3640" w:type="dxa"/>
            <w:vAlign w:val="bottom"/>
          </w:tcPr>
          <w:p>
            <w:pPr>
              <w:spacing w:after="0"/>
              <w:rPr>
                <w:sz w:val="14"/>
                <w:szCs w:val="14"/>
                <w:color w:val="auto"/>
              </w:rPr>
            </w:pPr>
          </w:p>
        </w:tc>
        <w:tc>
          <w:tcPr>
            <w:tcW w:w="2460" w:type="dxa"/>
            <w:vAlign w:val="bottom"/>
            <w:gridSpan w:val="3"/>
          </w:tcPr>
          <w:p>
            <w:pPr>
              <w:ind w:left="500"/>
              <w:spacing w:after="0" w:line="162" w:lineRule="exact"/>
              <w:rPr>
                <w:sz w:val="20"/>
                <w:szCs w:val="20"/>
                <w:color w:val="auto"/>
              </w:rPr>
            </w:pPr>
            <w:r>
              <w:rPr>
                <w:rFonts w:ascii="Arial" w:cs="Arial" w:eastAsia="Arial" w:hAnsi="Arial"/>
                <w:sz w:val="16"/>
                <w:szCs w:val="16"/>
                <w:color w:val="auto"/>
              </w:rPr>
              <w:t>Average Net</w:t>
            </w:r>
          </w:p>
        </w:tc>
        <w:tc>
          <w:tcPr>
            <w:tcW w:w="1380" w:type="dxa"/>
            <w:vAlign w:val="bottom"/>
            <w:gridSpan w:val="2"/>
          </w:tcPr>
          <w:p>
            <w:pPr>
              <w:jc w:val="center"/>
              <w:ind w:right="640"/>
              <w:spacing w:after="0" w:line="162" w:lineRule="exact"/>
              <w:rPr>
                <w:sz w:val="20"/>
                <w:szCs w:val="20"/>
                <w:color w:val="auto"/>
              </w:rPr>
            </w:pPr>
            <w:r>
              <w:rPr>
                <w:rFonts w:ascii="Arial" w:cs="Arial" w:eastAsia="Arial" w:hAnsi="Arial"/>
                <w:sz w:val="16"/>
                <w:szCs w:val="16"/>
                <w:color w:val="auto"/>
              </w:rPr>
              <w:t>Unit</w:t>
            </w:r>
          </w:p>
        </w:tc>
        <w:tc>
          <w:tcPr>
            <w:tcW w:w="2500" w:type="dxa"/>
            <w:vAlign w:val="bottom"/>
            <w:gridSpan w:val="3"/>
          </w:tcPr>
          <w:p>
            <w:pPr>
              <w:ind w:left="520"/>
              <w:spacing w:after="0" w:line="162" w:lineRule="exact"/>
              <w:rPr>
                <w:sz w:val="20"/>
                <w:szCs w:val="20"/>
                <w:color w:val="auto"/>
              </w:rPr>
            </w:pPr>
            <w:r>
              <w:rPr>
                <w:rFonts w:ascii="Arial" w:cs="Arial" w:eastAsia="Arial" w:hAnsi="Arial"/>
                <w:sz w:val="16"/>
                <w:szCs w:val="16"/>
                <w:color w:val="auto"/>
              </w:rPr>
              <w:t>Average Net</w:t>
            </w:r>
          </w:p>
        </w:tc>
        <w:tc>
          <w:tcPr>
            <w:tcW w:w="1260" w:type="dxa"/>
            <w:vAlign w:val="bottom"/>
          </w:tcPr>
          <w:p>
            <w:pPr>
              <w:jc w:val="right"/>
              <w:ind w:right="679"/>
              <w:spacing w:after="0" w:line="162" w:lineRule="exact"/>
              <w:rPr>
                <w:sz w:val="20"/>
                <w:szCs w:val="20"/>
                <w:color w:val="auto"/>
              </w:rPr>
            </w:pPr>
            <w:r>
              <w:rPr>
                <w:rFonts w:ascii="Arial" w:cs="Arial" w:eastAsia="Arial" w:hAnsi="Arial"/>
                <w:sz w:val="16"/>
                <w:szCs w:val="16"/>
                <w:color w:val="auto"/>
              </w:rPr>
              <w:t>Unit</w:t>
            </w:r>
          </w:p>
        </w:tc>
      </w:tr>
      <w:tr>
        <w:trPr>
          <w:trHeight w:val="209"/>
        </w:trPr>
        <w:tc>
          <w:tcPr>
            <w:tcW w:w="3640" w:type="dxa"/>
            <w:vAlign w:val="bottom"/>
          </w:tcPr>
          <w:p>
            <w:pPr>
              <w:spacing w:after="0"/>
              <w:rPr>
                <w:sz w:val="18"/>
                <w:szCs w:val="18"/>
                <w:color w:val="auto"/>
              </w:rPr>
            </w:pPr>
          </w:p>
        </w:tc>
        <w:tc>
          <w:tcPr>
            <w:tcW w:w="2460" w:type="dxa"/>
            <w:vAlign w:val="bottom"/>
            <w:gridSpan w:val="3"/>
          </w:tcPr>
          <w:p>
            <w:pPr>
              <w:ind w:left="480"/>
              <w:spacing w:after="0"/>
              <w:rPr>
                <w:sz w:val="20"/>
                <w:szCs w:val="20"/>
                <w:color w:val="auto"/>
              </w:rPr>
            </w:pPr>
            <w:r>
              <w:rPr>
                <w:rFonts w:ascii="Arial" w:cs="Arial" w:eastAsia="Arial" w:hAnsi="Arial"/>
                <w:sz w:val="16"/>
                <w:szCs w:val="16"/>
                <w:color w:val="auto"/>
              </w:rPr>
              <w:t>Selling Price</w:t>
            </w:r>
          </w:p>
        </w:tc>
        <w:tc>
          <w:tcPr>
            <w:tcW w:w="1380" w:type="dxa"/>
            <w:vAlign w:val="bottom"/>
            <w:gridSpan w:val="2"/>
          </w:tcPr>
          <w:p>
            <w:pPr>
              <w:jc w:val="center"/>
              <w:ind w:right="660"/>
              <w:spacing w:after="0"/>
              <w:rPr>
                <w:sz w:val="20"/>
                <w:szCs w:val="20"/>
                <w:color w:val="auto"/>
              </w:rPr>
            </w:pPr>
            <w:r>
              <w:rPr>
                <w:rFonts w:ascii="Arial" w:cs="Arial" w:eastAsia="Arial" w:hAnsi="Arial"/>
                <w:sz w:val="16"/>
                <w:szCs w:val="16"/>
                <w:color w:val="auto"/>
                <w:w w:val="89"/>
              </w:rPr>
              <w:t>Shipments</w:t>
            </w:r>
          </w:p>
        </w:tc>
        <w:tc>
          <w:tcPr>
            <w:tcW w:w="2500" w:type="dxa"/>
            <w:vAlign w:val="bottom"/>
            <w:gridSpan w:val="3"/>
          </w:tcPr>
          <w:p>
            <w:pPr>
              <w:ind w:left="500"/>
              <w:spacing w:after="0"/>
              <w:rPr>
                <w:sz w:val="20"/>
                <w:szCs w:val="20"/>
                <w:color w:val="auto"/>
              </w:rPr>
            </w:pPr>
            <w:r>
              <w:rPr>
                <w:rFonts w:ascii="Arial" w:cs="Arial" w:eastAsia="Arial" w:hAnsi="Arial"/>
                <w:sz w:val="16"/>
                <w:szCs w:val="16"/>
                <w:color w:val="auto"/>
              </w:rPr>
              <w:t>Selling Price</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w w:val="89"/>
              </w:rPr>
              <w:t>Shipments</w:t>
            </w:r>
          </w:p>
        </w:tc>
      </w:tr>
      <w:tr>
        <w:trPr>
          <w:trHeight w:val="21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OSB - Structural Solutions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Siding</w:t>
            </w:r>
          </w:p>
        </w:tc>
        <w:tc>
          <w:tcPr>
            <w:tcW w:w="180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263 %</w:t>
            </w:r>
          </w:p>
        </w:tc>
      </w:tr>
    </w:tbl>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 America net sales increased by $31 million and $84 million for the three and nine months ended September 30, 2021, respectively, compared to the corresponding periods in 2020, primarily due to higher OSB and siding pricing.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increased by $26 million and $62 million for the three and nine months ended September 30, 2021, respectively, compared to the corresponding periods in 2020, primarily due to the increased pricing, partially offset by higher imported raw material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products segment includes off-site framing operation Entekra Holdings, LLC, ("Entekra") remaining timber and timberlands, and other minor products, services, and closed operations, which do not qualify as discontinued operations. Other net sales were $30 million and $73 million for the three and nine months ended September 30, 2021, respectively, as compared to $11 million and $36 million for the corresponding periods in 2020. These increases are primarily due to increases in Entekra sales volumes.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was $(3) million and $(11) million for the three and nine months ended September 30, 2021, respectively, as compared to $(5) million and $(13) million for the corresponding periods in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were $63 million and $168 million for the three and nine months ended September 30, 2021, respectively, compared to $52 million and $157 million for the corresponding periods in 2020. The increase in 2021 is primarily due to increased travel, sales and marketing, and corporate overhead primarily driven by restrictions on such activities in 2020 in response to the onset of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an estimated tax provision of $123 million and $366 million for the three and nine months ended September 30, 2021, respectively, compared to $60 million and $88 million for the corresponding periods of 2020. Each quarter the income tax accrual is adjusted to the latest estimate, and the difference from the previously accrued year-to-date balance is recorded in the current quarter. For 2021, the primary differences between the U.S. statutory rate of 21% and the effective rate relate to state income tax. For 2020, the primary differences between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statutory rate of 21% and the effective rate related to state income tax, foreign tax rates, the sale of our ARS and the redemption of our company-owned life insurance cash surrender value.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Environmental Matters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legal and environmental matters involving us and the potential impact thereof on our financial position, results of operations and cash flows, see Items 3, 7 and 8 in our 2020 Annual Report on Form 10-K and Note 12 of the Notes to the Condensed Consolidated Financial Statements included in Item 1 of this quarterly report on Form 10-Q.</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existing cash and investment balances, cash generated by our operations, and our ability to borrow under such credit facilities as we may have in effect from time to time. We may also, from time to time, issue and sell equity, debt or hybrid securities, or engage in other capital market transactions.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2021, and 2020, cash provided by operations was $511 million and $218 million, respectively. During the nine months ended September 30, 2021, and 2020, cash provided by operations was $1.3 billion and $338 million, respectively. The improvement in cash provided by operations for the period ended September 30, 2021, was primarily related to increases in OSB commodity pricing and revenue growth in Siding Solutions.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September 30, 2021, and 2020, cash used in investing activities was $68 million and $13 million, respectively. During the nine months ended September 30, 2021, and 2020, cash used in investing activities was $131 million and $25 million, respectively.</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Capital expenditures for the three months ended September 30, 2021, and 2020, were $68 million and $14 million, respectively. Capital expenditures for the nine months ended September 30, 2021, and 2020, were $133 million and $53 million, respectively, primarily related to siding conversion expenditures and growth and maintenance capital. We expect to fund our capital expenditures through cash on hand and cash generated from operations.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During the three and nine months ended September 30, 2020, we received $1 million and $15 million, respectively, in cash related to the divestiture of our East River facility and assets and brand rights of CanExel</w:t>
      </w:r>
      <w:r>
        <w:rPr>
          <w:rFonts w:ascii="Arial" w:cs="Arial" w:eastAsia="Arial" w:hAnsi="Arial"/>
          <w:sz w:val="22"/>
          <w:szCs w:val="22"/>
          <w:color w:val="auto"/>
          <w:vertAlign w:val="superscript"/>
        </w:rPr>
        <w:t>®</w:t>
      </w:r>
      <w:r>
        <w:rPr>
          <w:rFonts w:ascii="Arial" w:cs="Arial" w:eastAsia="Arial" w:hAnsi="Arial"/>
          <w:sz w:val="17"/>
          <w:szCs w:val="17"/>
          <w:color w:val="auto"/>
        </w:rPr>
        <w:t>. During the nine months ended September 30, 2020, we received $10 million related to the cash surrender value of the company-owned life insurance policy, and $3 million related to the sale of our 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2021, cash used in financing activities was $416 million and $1.1 billion, respectively. During the nine months ended September 30, 2021, we used $300 million to repurchase</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shares of LP common stock under the 2020 Share Repurchase Program. The 2020 Share Repurchase Program was exhausted in May 2021. During the three and nine months ended September 30, 2021, we used $399 million and $687 million, respectively, to repurchase shares of LP common stock under the 2021 Share Repurchase Program. We paid cash dividends of $17 million and $50 million in the three and nine months ended September 30, 2021, respectively.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in March 2021, we issued $350 million aggregate principal amount of the 2029 Senior Notes. In February 2021, LP delivered to holders of the 2024 Senior Notes a conditional notice of redemption to redeem on March 27, 2021 all of the 2024 Senior Notes outstanding at a redemption price of 102.438% of the principal amount thereof plus accrued and unpaid interest to, but not including, the redemption date. The redemption notice became irrevocable on March 11, 2021, and the 2024 Senior Notes were fully redeemed on March 27, 2021. In connection with financing activities, we paid $2 million in debt issuance costs related to the Third Amendment and $13 million in redemption premiums and debt issuance costs related to the 2024 Senior Notes during the nine months ended September 30, 2021. The remaining financing activities relate to the repurchase of stock from employees in connection with income tax withholding requirements associated with our employee stock-based compensation plans.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and nine months ended September 30, 2020, cash used in financing activities was $45 million and $84 million, respectively. During the three months ended September 30, 2020, we used $29 million to repurchase shares of LP common stock under the 2020 Share Repurchase Program. During the three and nine months ended September 30, 2020, we paid cash dividends of $16 million and $49 million, respectively. In March 2020, we borrowed $350 million under our Amended Credit Facility as a precautionary measure due to the COVID-19 pandemic, and we repaid the outstanding balance in the second quarter of 2020. We also paid $1 million of financing costs associated with our Amended Credit Facility during the nine months ended September 30, 2020. Additionally, during the nine months ended September 30, 2020, we used $5 million to repurchase stock from employees in connection with income tax withholding requirements associated with our employee stock-based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LETTER OF CREDIT FACILITY</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Amended Credit Facility provides for a revolving credit facility in the principal amount of up to $550 million, with a $60 million sub-limit for letters of credit. The Amended Credit Facility, and all loans thereunder, become due on June 8, 2027. As of September 30, 2021, we had no amounts outstanding under the Amended Credit Facility.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a capitalization ratio (i.e., funded debt less unrestricted cash to total capitalization) of no more than 57.5%. As of September 30, 2021, we were in compliance with all financial covenants under the Amended Credit Facility.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the capitalization ratio covenant. As of September 30, 2021, we were in compliance with all covenants under the Letter of Credit Facility.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OTHER LIQUIDITY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As of September 30, 2021, we had standby letters of credit of $12 million outstanding related to collateral for environmental impact on owned properties, deposit for forestry license, and insurance collateral, including workers' compensation.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Impairments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review our mill and investment assets for potential impairments at least annually and believe we have adequate support for the carrying value of our assets as of September 30, 2021.</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demand and pricing for our products are significantly below cycle average demand and pricing, or should we decide to invest capital in alternative projects, or should changes occur related to our wood supply for these locations, or should demand and pricing of our products fall as a result of the long-term effects of the COVID-19 pandemic, it is possible that future impairment charges will be required. As of September 30, 2021, there were no indications of impairment. We recognized a non-cash impairment charge of $5 million during the nine months ended September 30, 2020 related to goodwill assigned to the Entekra reporting unit in part due to the impacts at that time the COVID-19 pandemic on this reporting unit.</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review from time to time possible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Canadian dollar,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4.5 billion square feet (3/8" basis) or 3.9 billion square feet (7/16" basis), a $1 change in the annual average price per thousand square feet on a 7/16" basis would change annual pre-tax profits by approximately $4 million.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September 30, 2021, we had no outstanding amounts borrowed under our Amended Credit Facility. We do not currently have any derivative or hedging arrangements, or other known exposures, to changes in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September 30, 2021, LP’s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LOUISIANA-PACIFIC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set forth: (1) housing starts, (2) our North American sales volume,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2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similarly-titled indicators reported by other companies.</w:t>
      </w: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30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298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18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518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Housing starts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Single-Family</w:t>
            </w:r>
          </w:p>
        </w:tc>
        <w:tc>
          <w:tcPr>
            <w:tcW w:w="142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Multi-Family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9"/>
        </w:trPr>
        <w:tc>
          <w:tcPr>
            <w:tcW w:w="51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r>
      <w:tr>
        <w:trPr>
          <w:trHeight w:val="23"/>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left="100" w:hanging="74"/>
        <w:spacing w:after="0"/>
        <w:tabs>
          <w:tab w:leader="none" w:pos="10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Actual U.S. Housing starts data reported by U.S. Census Bureau as published through October 19, 2021.</w:t>
      </w: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sales volumes for our products in our Siding, OSB and EWP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North American sales volumes for the three and nine months ended September 30, 2021,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gridSpan w:val="11"/>
          </w:tcPr>
          <w:p>
            <w:pPr>
              <w:ind w:left="280"/>
              <w:spacing w:after="0"/>
              <w:rPr>
                <w:sz w:val="20"/>
                <w:szCs w:val="20"/>
                <w:color w:val="auto"/>
              </w:rPr>
            </w:pPr>
            <w:r>
              <w:rPr>
                <w:rFonts w:ascii="Arial" w:cs="Arial" w:eastAsia="Arial" w:hAnsi="Arial"/>
                <w:sz w:val="16"/>
                <w:szCs w:val="16"/>
                <w:b w:val="1"/>
                <w:bCs w:val="1"/>
                <w:color w:val="auto"/>
              </w:rPr>
              <w:t>Three Months Ended September 30, 2021</w:t>
            </w:r>
          </w:p>
        </w:tc>
        <w:tc>
          <w:tcPr>
            <w:tcW w:w="260" w:type="dxa"/>
            <w:vAlign w:val="bottom"/>
          </w:tcPr>
          <w:p>
            <w:pPr>
              <w:spacing w:after="0"/>
              <w:rPr>
                <w:sz w:val="18"/>
                <w:szCs w:val="18"/>
                <w:color w:val="auto"/>
              </w:rPr>
            </w:pPr>
          </w:p>
        </w:tc>
        <w:tc>
          <w:tcPr>
            <w:tcW w:w="3720" w:type="dxa"/>
            <w:vAlign w:val="bottom"/>
            <w:gridSpan w:val="8"/>
          </w:tcPr>
          <w:p>
            <w:pPr>
              <w:jc w:val="right"/>
              <w:ind w:right="560"/>
              <w:spacing w:after="0"/>
              <w:rPr>
                <w:sz w:val="20"/>
                <w:szCs w:val="20"/>
                <w:color w:val="auto"/>
              </w:rPr>
            </w:pPr>
            <w:r>
              <w:rPr>
                <w:rFonts w:ascii="Arial" w:cs="Arial" w:eastAsia="Arial" w:hAnsi="Arial"/>
                <w:sz w:val="16"/>
                <w:szCs w:val="16"/>
                <w:b w:val="1"/>
                <w:bCs w:val="1"/>
                <w:color w:val="auto"/>
              </w:rPr>
              <w:t>Three Months Ended September 30, 2020</w:t>
            </w:r>
          </w:p>
        </w:tc>
      </w:tr>
      <w:tr>
        <w:trPr>
          <w:trHeight w:val="175"/>
        </w:trPr>
        <w:tc>
          <w:tcPr>
            <w:tcW w:w="316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Sales Volume</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ind w:right="499"/>
              <w:spacing w:after="0" w:line="175" w:lineRule="exact"/>
              <w:rPr>
                <w:sz w:val="20"/>
                <w:szCs w:val="20"/>
                <w:color w:val="auto"/>
              </w:rPr>
            </w:pPr>
            <w:r>
              <w:rPr>
                <w:rFonts w:ascii="Arial" w:cs="Arial" w:eastAsia="Arial" w:hAnsi="Arial"/>
                <w:sz w:val="16"/>
                <w:szCs w:val="16"/>
                <w:b w:val="1"/>
                <w:bCs w:val="1"/>
                <w:color w:val="auto"/>
                <w:w w:val="85"/>
              </w:rPr>
              <w:t>Siding</w:t>
            </w:r>
          </w:p>
        </w:tc>
        <w:tc>
          <w:tcPr>
            <w:tcW w:w="360" w:type="dxa"/>
            <w:vAlign w:val="bottom"/>
            <w:tcBorders>
              <w:top w:val="single" w:sz="8" w:color="auto"/>
            </w:tcBorders>
            <w:gridSpan w:val="2"/>
          </w:tcPr>
          <w:p>
            <w:pPr>
              <w:spacing w:after="0" w:line="175" w:lineRule="exact"/>
              <w:rPr>
                <w:sz w:val="20"/>
                <w:szCs w:val="20"/>
                <w:color w:val="auto"/>
              </w:rPr>
            </w:pPr>
            <w:r>
              <w:rPr>
                <w:rFonts w:ascii="Arial" w:cs="Arial" w:eastAsia="Arial" w:hAnsi="Arial"/>
                <w:sz w:val="16"/>
                <w:szCs w:val="16"/>
                <w:b w:val="1"/>
                <w:bCs w:val="1"/>
                <w:color w:val="auto"/>
                <w:w w:val="97"/>
              </w:rPr>
              <w:t>OSB</w:t>
            </w:r>
          </w:p>
        </w:tc>
        <w:tc>
          <w:tcPr>
            <w:tcW w:w="4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79"/>
              <w:spacing w:after="0" w:line="175" w:lineRule="exact"/>
              <w:rPr>
                <w:sz w:val="20"/>
                <w:szCs w:val="20"/>
                <w:color w:val="auto"/>
              </w:rPr>
            </w:pPr>
            <w:r>
              <w:rPr>
                <w:rFonts w:ascii="Arial" w:cs="Arial" w:eastAsia="Arial" w:hAnsi="Arial"/>
                <w:sz w:val="16"/>
                <w:szCs w:val="16"/>
                <w:b w:val="1"/>
                <w:bCs w:val="1"/>
                <w:color w:val="auto"/>
              </w:rPr>
              <w:t>EWP</w:t>
            </w:r>
          </w:p>
        </w:tc>
        <w:tc>
          <w:tcPr>
            <w:tcW w:w="700" w:type="dxa"/>
            <w:vAlign w:val="bottom"/>
            <w:tcBorders>
              <w:top w:val="single" w:sz="8" w:color="auto"/>
            </w:tcBorders>
            <w:gridSpan w:val="2"/>
          </w:tcPr>
          <w:p>
            <w:pPr>
              <w:jc w:val="right"/>
              <w:ind w:right="360"/>
              <w:spacing w:after="0" w:line="175" w:lineRule="exact"/>
              <w:rPr>
                <w:sz w:val="20"/>
                <w:szCs w:val="20"/>
                <w:color w:val="auto"/>
              </w:rPr>
            </w:pPr>
            <w:r>
              <w:rPr>
                <w:rFonts w:ascii="Arial" w:cs="Arial" w:eastAsia="Arial" w:hAnsi="Arial"/>
                <w:sz w:val="16"/>
                <w:szCs w:val="16"/>
                <w:b w:val="1"/>
                <w:bCs w:val="1"/>
                <w:color w:val="auto"/>
                <w:w w:val="83"/>
              </w:rPr>
              <w:t>Total</w:t>
            </w:r>
          </w:p>
        </w:tc>
        <w:tc>
          <w:tcPr>
            <w:tcW w:w="120" w:type="dxa"/>
            <w:vAlign w:val="bottom"/>
          </w:tcPr>
          <w:p>
            <w:pPr>
              <w:spacing w:after="0"/>
              <w:rPr>
                <w:sz w:val="15"/>
                <w:szCs w:val="15"/>
                <w:color w:val="auto"/>
              </w:rPr>
            </w:pPr>
          </w:p>
        </w:tc>
        <w:tc>
          <w:tcPr>
            <w:tcW w:w="1300" w:type="dxa"/>
            <w:vAlign w:val="bottom"/>
            <w:tcBorders>
              <w:top w:val="single" w:sz="8" w:color="auto"/>
            </w:tcBorders>
            <w:gridSpan w:val="3"/>
          </w:tcPr>
          <w:p>
            <w:pPr>
              <w:jc w:val="right"/>
              <w:ind w:right="519"/>
              <w:spacing w:after="0" w:line="175" w:lineRule="exact"/>
              <w:rPr>
                <w:sz w:val="20"/>
                <w:szCs w:val="20"/>
                <w:color w:val="auto"/>
              </w:rPr>
            </w:pPr>
            <w:r>
              <w:rPr>
                <w:rFonts w:ascii="Arial" w:cs="Arial" w:eastAsia="Arial" w:hAnsi="Arial"/>
                <w:sz w:val="16"/>
                <w:szCs w:val="16"/>
                <w:b w:val="1"/>
                <w:bCs w:val="1"/>
                <w:color w:val="auto"/>
              </w:rPr>
              <w:t>Siding</w:t>
            </w:r>
          </w:p>
        </w:tc>
        <w:tc>
          <w:tcPr>
            <w:tcW w:w="3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w w:val="92"/>
              </w:rPr>
              <w:t>OSB</w:t>
            </w:r>
          </w:p>
        </w:tc>
        <w:tc>
          <w:tcPr>
            <w:tcW w:w="6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559"/>
              <w:spacing w:after="0" w:line="175" w:lineRule="exact"/>
              <w:rPr>
                <w:sz w:val="20"/>
                <w:szCs w:val="20"/>
                <w:color w:val="auto"/>
              </w:rPr>
            </w:pPr>
            <w:r>
              <w:rPr>
                <w:rFonts w:ascii="Arial" w:cs="Arial" w:eastAsia="Arial" w:hAnsi="Arial"/>
                <w:sz w:val="16"/>
                <w:szCs w:val="16"/>
                <w:b w:val="1"/>
                <w:bCs w:val="1"/>
                <w:color w:val="auto"/>
                <w:w w:val="93"/>
              </w:rPr>
              <w:t>EWP</w:t>
            </w:r>
          </w:p>
        </w:tc>
        <w:tc>
          <w:tcPr>
            <w:tcW w:w="680" w:type="dxa"/>
            <w:vAlign w:val="bottom"/>
            <w:tcBorders>
              <w:top w:val="single" w:sz="8" w:color="auto"/>
            </w:tcBorders>
            <w:gridSpan w:val="2"/>
          </w:tcPr>
          <w:p>
            <w:pPr>
              <w:jc w:val="right"/>
              <w:ind w:right="320"/>
              <w:spacing w:after="0" w:line="175" w:lineRule="exact"/>
              <w:rPr>
                <w:sz w:val="20"/>
                <w:szCs w:val="20"/>
                <w:color w:val="auto"/>
              </w:rPr>
            </w:pPr>
            <w:r>
              <w:rPr>
                <w:rFonts w:ascii="Arial" w:cs="Arial" w:eastAsia="Arial" w:hAnsi="Arial"/>
                <w:sz w:val="16"/>
                <w:szCs w:val="16"/>
                <w:b w:val="1"/>
                <w:bCs w:val="1"/>
                <w:color w:val="auto"/>
                <w:w w:val="88"/>
              </w:rPr>
              <w:t>Total</w:t>
            </w:r>
          </w:p>
        </w:tc>
      </w:tr>
      <w:tr>
        <w:trPr>
          <w:trHeight w:val="20"/>
        </w:trPr>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30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432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color w:val="auto"/>
              </w:rPr>
              <w:t>395</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395</w:t>
            </w: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OSB - commodity (MMSF)</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39"/>
              <w:spacing w:after="0"/>
              <w:rPr>
                <w:sz w:val="20"/>
                <w:szCs w:val="20"/>
                <w:color w:val="auto"/>
              </w:rPr>
            </w:pPr>
            <w:r>
              <w:rPr>
                <w:rFonts w:ascii="Arial" w:cs="Arial" w:eastAsia="Arial" w:hAnsi="Arial"/>
                <w:sz w:val="16"/>
                <w:szCs w:val="16"/>
                <w:color w:val="auto"/>
                <w:w w:val="89"/>
              </w:rPr>
              <w:t>533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Arial" w:cs="Arial" w:eastAsia="Arial" w:hAnsi="Arial"/>
                <w:sz w:val="16"/>
                <w:szCs w:val="16"/>
                <w:color w:val="auto"/>
                <w:w w:val="89"/>
              </w:rPr>
              <w:t>531</w:t>
            </w:r>
          </w:p>
        </w:tc>
        <w:tc>
          <w:tcPr>
            <w:tcW w:w="360" w:type="dxa"/>
            <w:vAlign w:val="bottom"/>
          </w:tcPr>
          <w:p>
            <w:pPr>
              <w:spacing w:after="0"/>
              <w:rPr>
                <w:sz w:val="18"/>
                <w:szCs w:val="18"/>
                <w:color w:val="auto"/>
              </w:rPr>
            </w:pPr>
          </w:p>
        </w:tc>
        <w:tc>
          <w:tcPr>
            <w:tcW w:w="6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531</w:t>
            </w: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 (MMSF)</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419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406</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406</w:t>
            </w: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I-Joist (MMLF)</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1180" w:type="dxa"/>
            <w:vAlign w:val="bottom"/>
            <w:gridSpan w:val="3"/>
          </w:tcPr>
          <w:p>
            <w:pPr>
              <w:jc w:val="right"/>
              <w:ind w:right="339"/>
              <w:spacing w:after="0"/>
              <w:rPr>
                <w:sz w:val="20"/>
                <w:szCs w:val="20"/>
                <w:color w:val="auto"/>
              </w:rPr>
            </w:pPr>
            <w:r>
              <w:rPr>
                <w:rFonts w:ascii="Arial" w:cs="Arial" w:eastAsia="Arial" w:hAnsi="Arial"/>
                <w:sz w:val="16"/>
                <w:szCs w:val="16"/>
                <w:color w:val="auto"/>
              </w:rPr>
              <w:t>32</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99"/>
              <w:spacing w:after="0"/>
              <w:rPr>
                <w:sz w:val="20"/>
                <w:szCs w:val="20"/>
                <w:color w:val="auto"/>
              </w:rPr>
            </w:pPr>
            <w:r>
              <w:rPr>
                <w:rFonts w:ascii="Arial" w:cs="Arial" w:eastAsia="Arial" w:hAnsi="Arial"/>
                <w:sz w:val="16"/>
                <w:szCs w:val="16"/>
                <w:color w:val="auto"/>
              </w:rPr>
              <w:t>28</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LVL (MCF)</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w:t>
            </w:r>
          </w:p>
        </w:tc>
        <w:tc>
          <w:tcPr>
            <w:tcW w:w="1180" w:type="dxa"/>
            <w:vAlign w:val="bottom"/>
            <w:gridSpan w:val="3"/>
            <w:shd w:val="clear" w:color="auto" w:fill="CCEEFF"/>
          </w:tcPr>
          <w:p>
            <w:pPr>
              <w:jc w:val="right"/>
              <w:ind w:right="339"/>
              <w:spacing w:after="0"/>
              <w:rPr>
                <w:sz w:val="20"/>
                <w:szCs w:val="20"/>
                <w:color w:val="auto"/>
              </w:rPr>
            </w:pPr>
            <w:r>
              <w:rPr>
                <w:rFonts w:ascii="Arial" w:cs="Arial" w:eastAsia="Arial" w:hAnsi="Arial"/>
                <w:sz w:val="16"/>
                <w:szCs w:val="16"/>
                <w:color w:val="auto"/>
              </w:rPr>
              <w:t>1,628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1,791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1,791</w:t>
            </w: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color w:val="auto"/>
              </w:rPr>
              <w:t>LSL (MCF)</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79"/>
              <w:spacing w:after="0"/>
              <w:rPr>
                <w:sz w:val="20"/>
                <w:szCs w:val="20"/>
                <w:color w:val="auto"/>
              </w:rPr>
            </w:pPr>
            <w:r>
              <w:rPr>
                <w:rFonts w:ascii="Arial" w:cs="Arial" w:eastAsia="Arial" w:hAnsi="Arial"/>
                <w:sz w:val="16"/>
                <w:szCs w:val="16"/>
                <w:color w:val="auto"/>
                <w:w w:val="99"/>
              </w:rPr>
              <w:t>—</w:t>
            </w:r>
          </w:p>
        </w:tc>
        <w:tc>
          <w:tcPr>
            <w:tcW w:w="1180" w:type="dxa"/>
            <w:vAlign w:val="bottom"/>
            <w:gridSpan w:val="3"/>
          </w:tcPr>
          <w:p>
            <w:pPr>
              <w:jc w:val="right"/>
              <w:ind w:right="339"/>
              <w:spacing w:after="0"/>
              <w:rPr>
                <w:sz w:val="20"/>
                <w:szCs w:val="20"/>
                <w:color w:val="auto"/>
              </w:rPr>
            </w:pPr>
            <w:r>
              <w:rPr>
                <w:rFonts w:ascii="Arial" w:cs="Arial" w:eastAsia="Arial" w:hAnsi="Arial"/>
                <w:sz w:val="16"/>
                <w:szCs w:val="16"/>
                <w:color w:val="auto"/>
              </w:rPr>
              <w:t>767</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99"/>
              <w:spacing w:after="0"/>
              <w:rPr>
                <w:sz w:val="20"/>
                <w:szCs w:val="20"/>
                <w:color w:val="auto"/>
              </w:rPr>
            </w:pPr>
            <w:r>
              <w:rPr>
                <w:rFonts w:ascii="Arial" w:cs="Arial" w:eastAsia="Arial" w:hAnsi="Arial"/>
                <w:sz w:val="16"/>
                <w:szCs w:val="16"/>
                <w:color w:val="auto"/>
              </w:rPr>
              <w:t>850</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850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gridSpan w:val="10"/>
          </w:tcPr>
          <w:p>
            <w:pPr>
              <w:ind w:left="300"/>
              <w:spacing w:after="0"/>
              <w:rPr>
                <w:sz w:val="20"/>
                <w:szCs w:val="20"/>
                <w:color w:val="auto"/>
              </w:rPr>
            </w:pPr>
            <w:r>
              <w:rPr>
                <w:rFonts w:ascii="Arial" w:cs="Arial" w:eastAsia="Arial" w:hAnsi="Arial"/>
                <w:sz w:val="16"/>
                <w:szCs w:val="16"/>
                <w:b w:val="1"/>
                <w:bCs w:val="1"/>
                <w:color w:val="auto"/>
              </w:rPr>
              <w:t>Nine Months Ended September 30, 2021</w:t>
            </w:r>
          </w:p>
        </w:tc>
        <w:tc>
          <w:tcPr>
            <w:tcW w:w="260" w:type="dxa"/>
            <w:vAlign w:val="bottom"/>
          </w:tcPr>
          <w:p>
            <w:pPr>
              <w:spacing w:after="0"/>
              <w:rPr>
                <w:sz w:val="18"/>
                <w:szCs w:val="18"/>
                <w:color w:val="auto"/>
              </w:rPr>
            </w:pPr>
          </w:p>
        </w:tc>
        <w:tc>
          <w:tcPr>
            <w:tcW w:w="3620" w:type="dxa"/>
            <w:vAlign w:val="bottom"/>
            <w:gridSpan w:val="10"/>
          </w:tcPr>
          <w:p>
            <w:pPr>
              <w:jc w:val="right"/>
              <w:ind w:right="560"/>
              <w:spacing w:after="0"/>
              <w:rPr>
                <w:sz w:val="20"/>
                <w:szCs w:val="20"/>
                <w:color w:val="auto"/>
              </w:rPr>
            </w:pPr>
            <w:r>
              <w:rPr>
                <w:rFonts w:ascii="Arial" w:cs="Arial" w:eastAsia="Arial" w:hAnsi="Arial"/>
                <w:sz w:val="16"/>
                <w:szCs w:val="16"/>
                <w:b w:val="1"/>
                <w:bCs w:val="1"/>
                <w:color w:val="auto"/>
              </w:rPr>
              <w:t>Nine Months Ended September 30, 2020</w:t>
            </w:r>
          </w:p>
        </w:tc>
      </w:tr>
      <w:tr>
        <w:trPr>
          <w:trHeight w:val="175"/>
        </w:trPr>
        <w:tc>
          <w:tcPr>
            <w:tcW w:w="334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Sales Volume</w:t>
            </w:r>
          </w:p>
        </w:tc>
        <w:tc>
          <w:tcPr>
            <w:tcW w:w="1100" w:type="dxa"/>
            <w:vAlign w:val="bottom"/>
            <w:tcBorders>
              <w:top w:val="single" w:sz="8" w:color="auto"/>
            </w:tcBorders>
            <w:gridSpan w:val="3"/>
          </w:tcPr>
          <w:p>
            <w:pPr>
              <w:jc w:val="right"/>
              <w:ind w:right="319"/>
              <w:spacing w:after="0" w:line="175" w:lineRule="exact"/>
              <w:rPr>
                <w:sz w:val="20"/>
                <w:szCs w:val="20"/>
                <w:color w:val="auto"/>
              </w:rPr>
            </w:pPr>
            <w:r>
              <w:rPr>
                <w:rFonts w:ascii="Arial" w:cs="Arial" w:eastAsia="Arial" w:hAnsi="Arial"/>
                <w:sz w:val="16"/>
                <w:szCs w:val="16"/>
                <w:b w:val="1"/>
                <w:bCs w:val="1"/>
                <w:color w:val="auto"/>
              </w:rPr>
              <w:t>Siding</w:t>
            </w:r>
          </w:p>
        </w:tc>
        <w:tc>
          <w:tcPr>
            <w:tcW w:w="1140" w:type="dxa"/>
            <w:vAlign w:val="bottom"/>
            <w:tcBorders>
              <w:top w:val="single" w:sz="8" w:color="auto"/>
            </w:tcBorders>
            <w:gridSpan w:val="3"/>
          </w:tcPr>
          <w:p>
            <w:pPr>
              <w:jc w:val="right"/>
              <w:ind w:right="539"/>
              <w:spacing w:after="0" w:line="175" w:lineRule="exact"/>
              <w:rPr>
                <w:sz w:val="20"/>
                <w:szCs w:val="20"/>
                <w:color w:val="auto"/>
              </w:rPr>
            </w:pPr>
            <w:r>
              <w:rPr>
                <w:rFonts w:ascii="Arial" w:cs="Arial" w:eastAsia="Arial" w:hAnsi="Arial"/>
                <w:sz w:val="16"/>
                <w:szCs w:val="16"/>
                <w:b w:val="1"/>
                <w:bCs w:val="1"/>
                <w:color w:val="auto"/>
              </w:rPr>
              <w:t>OSB</w:t>
            </w:r>
          </w:p>
        </w:tc>
        <w:tc>
          <w:tcPr>
            <w:tcW w:w="980" w:type="dxa"/>
            <w:vAlign w:val="bottom"/>
            <w:tcBorders>
              <w:top w:val="single" w:sz="8" w:color="auto"/>
            </w:tcBorders>
            <w:gridSpan w:val="2"/>
          </w:tcPr>
          <w:p>
            <w:pPr>
              <w:jc w:val="right"/>
              <w:ind w:right="519"/>
              <w:spacing w:after="0" w:line="175" w:lineRule="exact"/>
              <w:rPr>
                <w:sz w:val="20"/>
                <w:szCs w:val="20"/>
                <w:color w:val="auto"/>
              </w:rPr>
            </w:pPr>
            <w:r>
              <w:rPr>
                <w:rFonts w:ascii="Arial" w:cs="Arial" w:eastAsia="Arial" w:hAnsi="Arial"/>
                <w:sz w:val="16"/>
                <w:szCs w:val="16"/>
                <w:b w:val="1"/>
                <w:bCs w:val="1"/>
                <w:color w:val="auto"/>
                <w:w w:val="98"/>
              </w:rPr>
              <w:t>EWP</w:t>
            </w:r>
          </w:p>
        </w:tc>
        <w:tc>
          <w:tcPr>
            <w:tcW w:w="680" w:type="dxa"/>
            <w:vAlign w:val="bottom"/>
            <w:tcBorders>
              <w:top w:val="single" w:sz="8" w:color="auto"/>
            </w:tcBorders>
            <w:gridSpan w:val="2"/>
          </w:tcPr>
          <w:p>
            <w:pPr>
              <w:jc w:val="right"/>
              <w:ind w:right="320"/>
              <w:spacing w:after="0" w:line="175" w:lineRule="exact"/>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ind w:right="499"/>
              <w:spacing w:after="0" w:line="175" w:lineRule="exact"/>
              <w:rPr>
                <w:sz w:val="20"/>
                <w:szCs w:val="20"/>
                <w:color w:val="auto"/>
              </w:rPr>
            </w:pPr>
            <w:r>
              <w:rPr>
                <w:rFonts w:ascii="Arial" w:cs="Arial" w:eastAsia="Arial" w:hAnsi="Arial"/>
                <w:sz w:val="16"/>
                <w:szCs w:val="16"/>
                <w:b w:val="1"/>
                <w:bCs w:val="1"/>
                <w:color w:val="auto"/>
                <w:w w:val="85"/>
              </w:rPr>
              <w:t>Siding</w:t>
            </w:r>
          </w:p>
        </w:tc>
        <w:tc>
          <w:tcPr>
            <w:tcW w:w="780" w:type="dxa"/>
            <w:vAlign w:val="bottom"/>
            <w:tcBorders>
              <w:top w:val="single" w:sz="8" w:color="auto"/>
            </w:tcBorders>
            <w:gridSpan w:val="2"/>
          </w:tcPr>
          <w:p>
            <w:pPr>
              <w:jc w:val="right"/>
              <w:ind w:right="359"/>
              <w:spacing w:after="0" w:line="175" w:lineRule="exact"/>
              <w:rPr>
                <w:sz w:val="20"/>
                <w:szCs w:val="20"/>
                <w:color w:val="auto"/>
              </w:rPr>
            </w:pPr>
            <w:r>
              <w:rPr>
                <w:rFonts w:ascii="Arial" w:cs="Arial" w:eastAsia="Arial" w:hAnsi="Arial"/>
                <w:sz w:val="16"/>
                <w:szCs w:val="16"/>
                <w:b w:val="1"/>
                <w:bCs w:val="1"/>
                <w:color w:val="auto"/>
                <w:w w:val="92"/>
              </w:rPr>
              <w:t>OSB</w:t>
            </w:r>
          </w:p>
        </w:tc>
        <w:tc>
          <w:tcPr>
            <w:tcW w:w="960" w:type="dxa"/>
            <w:vAlign w:val="bottom"/>
            <w:tcBorders>
              <w:top w:val="single" w:sz="8" w:color="auto"/>
            </w:tcBorders>
            <w:gridSpan w:val="3"/>
          </w:tcPr>
          <w:p>
            <w:pPr>
              <w:jc w:val="right"/>
              <w:ind w:right="339"/>
              <w:spacing w:after="0" w:line="175" w:lineRule="exact"/>
              <w:rPr>
                <w:sz w:val="20"/>
                <w:szCs w:val="20"/>
                <w:color w:val="auto"/>
              </w:rPr>
            </w:pPr>
            <w:r>
              <w:rPr>
                <w:rFonts w:ascii="Arial" w:cs="Arial" w:eastAsia="Arial" w:hAnsi="Arial"/>
                <w:sz w:val="16"/>
                <w:szCs w:val="16"/>
                <w:b w:val="1"/>
                <w:bCs w:val="1"/>
                <w:color w:val="auto"/>
              </w:rPr>
              <w:t>EWP</w:t>
            </w:r>
          </w:p>
        </w:tc>
        <w:tc>
          <w:tcPr>
            <w:tcW w:w="860" w:type="dxa"/>
            <w:vAlign w:val="bottom"/>
            <w:tcBorders>
              <w:top w:val="single" w:sz="8" w:color="auto"/>
            </w:tcBorders>
            <w:gridSpan w:val="3"/>
          </w:tcPr>
          <w:p>
            <w:pPr>
              <w:jc w:val="right"/>
              <w:ind w:right="300"/>
              <w:spacing w:after="0" w:line="175" w:lineRule="exact"/>
              <w:rPr>
                <w:sz w:val="20"/>
                <w:szCs w:val="20"/>
                <w:color w:val="auto"/>
              </w:rPr>
            </w:pPr>
            <w:r>
              <w:rPr>
                <w:rFonts w:ascii="Arial" w:cs="Arial" w:eastAsia="Arial" w:hAnsi="Arial"/>
                <w:sz w:val="16"/>
                <w:szCs w:val="16"/>
                <w:b w:val="1"/>
                <w:bCs w:val="1"/>
                <w:color w:val="auto"/>
              </w:rPr>
              <w:t>Total</w:t>
            </w:r>
          </w:p>
        </w:tc>
      </w:tr>
      <w:tr>
        <w:trPr>
          <w:trHeight w:val="21"/>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Siding Solutions (MMSF)</w:t>
            </w:r>
          </w:p>
        </w:tc>
        <w:tc>
          <w:tcPr>
            <w:tcW w:w="11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1,241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1,241</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99"/>
              <w:spacing w:after="0"/>
              <w:rPr>
                <w:sz w:val="20"/>
                <w:szCs w:val="20"/>
                <w:color w:val="auto"/>
              </w:rPr>
            </w:pPr>
            <w:r>
              <w:rPr>
                <w:rFonts w:ascii="Arial" w:cs="Arial" w:eastAsia="Arial" w:hAnsi="Arial"/>
                <w:sz w:val="16"/>
                <w:szCs w:val="16"/>
                <w:color w:val="auto"/>
              </w:rPr>
              <w:t>1,005</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1,005</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OSB - commodity (MMSF)</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239"/>
              <w:spacing w:after="0"/>
              <w:rPr>
                <w:sz w:val="20"/>
                <w:szCs w:val="20"/>
                <w:color w:val="auto"/>
              </w:rPr>
            </w:pPr>
            <w:r>
              <w:rPr>
                <w:rFonts w:ascii="Arial" w:cs="Arial" w:eastAsia="Arial" w:hAnsi="Arial"/>
                <w:sz w:val="16"/>
                <w:szCs w:val="16"/>
                <w:color w:val="auto"/>
              </w:rPr>
              <w:t>1,470</w:t>
            </w:r>
          </w:p>
        </w:tc>
        <w:tc>
          <w:tcPr>
            <w:tcW w:w="380" w:type="dxa"/>
            <w:vAlign w:val="bottom"/>
          </w:tcPr>
          <w:p>
            <w:pPr>
              <w:spacing w:after="0"/>
              <w:rPr>
                <w:sz w:val="18"/>
                <w:szCs w:val="18"/>
                <w:color w:val="auto"/>
              </w:rPr>
            </w:pP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1,470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19"/>
              <w:spacing w:after="0"/>
              <w:rPr>
                <w:sz w:val="20"/>
                <w:szCs w:val="20"/>
                <w:color w:val="auto"/>
              </w:rPr>
            </w:pPr>
            <w:r>
              <w:rPr>
                <w:rFonts w:ascii="Arial" w:cs="Arial" w:eastAsia="Arial" w:hAnsi="Arial"/>
                <w:sz w:val="16"/>
                <w:szCs w:val="16"/>
                <w:color w:val="auto"/>
              </w:rPr>
              <w:t>1,533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1,533</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OSB - Structural Solutions (MMSF)</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1,222</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1,142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1,142</w:t>
            </w: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I-Joist (MMLF)</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79"/>
              <w:spacing w:after="0"/>
              <w:rPr>
                <w:sz w:val="20"/>
                <w:szCs w:val="20"/>
                <w:color w:val="auto"/>
              </w:rPr>
            </w:pPr>
            <w:r>
              <w:rPr>
                <w:rFonts w:ascii="Arial" w:cs="Arial" w:eastAsia="Arial" w:hAnsi="Arial"/>
                <w:sz w:val="16"/>
                <w:szCs w:val="16"/>
                <w:color w:val="auto"/>
              </w:rPr>
              <w:t>96</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99"/>
              <w:spacing w:after="0"/>
              <w:rPr>
                <w:sz w:val="20"/>
                <w:szCs w:val="20"/>
                <w:color w:val="auto"/>
              </w:rPr>
            </w:pPr>
            <w:r>
              <w:rPr>
                <w:rFonts w:ascii="Arial" w:cs="Arial" w:eastAsia="Arial" w:hAnsi="Arial"/>
                <w:sz w:val="16"/>
                <w:szCs w:val="16"/>
                <w:color w:val="auto"/>
              </w:rPr>
              <w:t>78</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78</w:t>
            </w: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LVL (MCF)</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5,348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5,084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5,084</w:t>
            </w:r>
          </w:p>
        </w:tc>
      </w:tr>
      <w:tr>
        <w:trPr>
          <w:trHeight w:val="210"/>
        </w:trPr>
        <w:tc>
          <w:tcPr>
            <w:tcW w:w="3340" w:type="dxa"/>
            <w:vAlign w:val="bottom"/>
          </w:tcPr>
          <w:p>
            <w:pPr>
              <w:ind w:left="20"/>
              <w:spacing w:after="0"/>
              <w:rPr>
                <w:sz w:val="20"/>
                <w:szCs w:val="20"/>
                <w:color w:val="auto"/>
              </w:rPr>
            </w:pPr>
            <w:r>
              <w:rPr>
                <w:rFonts w:ascii="Arial" w:cs="Arial" w:eastAsia="Arial" w:hAnsi="Arial"/>
                <w:sz w:val="16"/>
                <w:szCs w:val="16"/>
                <w:color w:val="auto"/>
              </w:rPr>
              <w:t>LSL (MCF)</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79"/>
              <w:spacing w:after="0"/>
              <w:rPr>
                <w:sz w:val="20"/>
                <w:szCs w:val="20"/>
                <w:color w:val="auto"/>
              </w:rPr>
            </w:pPr>
            <w:r>
              <w:rPr>
                <w:rFonts w:ascii="Arial" w:cs="Arial" w:eastAsia="Arial" w:hAnsi="Arial"/>
                <w:sz w:val="16"/>
                <w:szCs w:val="16"/>
                <w:color w:val="auto"/>
              </w:rPr>
              <w:t>1,744</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1,744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99"/>
              <w:spacing w:after="0"/>
              <w:rPr>
                <w:sz w:val="20"/>
                <w:szCs w:val="20"/>
                <w:color w:val="auto"/>
              </w:rPr>
            </w:pPr>
            <w:r>
              <w:rPr>
                <w:rFonts w:ascii="Arial" w:cs="Arial" w:eastAsia="Arial" w:hAnsi="Arial"/>
                <w:sz w:val="16"/>
                <w:szCs w:val="16"/>
                <w:color w:val="auto"/>
              </w:rPr>
              <w:t>2,122</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2,122</w:t>
            </w:r>
          </w:p>
        </w:tc>
      </w:tr>
    </w:tbl>
    <w:p>
      <w:pPr>
        <w:spacing w:after="0" w:line="2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It should be noted that other companies may present OEE differently and, therefore, as presented by us, OEE may not be comparable to similarly-titled measures reported by other companies. We believe that when used in conjunction with other metrics, OEE can be a useful measure for evaluating our ability to generate profits, and that providing this measure should allow interested persons to more readily monitor operational improvements. OEE for the three and nine months ended September 30, 2021, and 2020 for each of our segments is listed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35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2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2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21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Siding</w:t>
            </w:r>
          </w:p>
        </w:tc>
        <w:tc>
          <w:tcPr>
            <w:tcW w:w="1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1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OSB</w:t>
            </w:r>
          </w:p>
        </w:tc>
        <w:tc>
          <w:tcPr>
            <w:tcW w:w="560" w:type="dxa"/>
            <w:vAlign w:val="bottom"/>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EWP</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0"/>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South America</w:t>
            </w:r>
          </w:p>
        </w:tc>
        <w:tc>
          <w:tcPr>
            <w:tcW w:w="56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 of certain legal and environmental matters involving LP set forth in Item 1 of this quarterly report on Form 10-Q under Note 12 to the Notes to the Condensed Consolidated Financial Statements contained herein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an investor should carefully consider the factors discussed in Part I, “Item 1A. Risk Factors” in the Company’s Annual Report on Form 10-K for the year ended December 31, 2020, as filed on February 18, 2021 ("2020 Annual Report on Form 10-K"). There have been no material changes to the risk factors previously disclosed under caption "Risk Factors" in our 2020 Annual Report on Form 10-K. The risks, as described in our 2020 Annual Report on Form 10-K,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200" w:lineRule="exact"/>
        <w:rPr>
          <w:sz w:val="20"/>
          <w:szCs w:val="20"/>
          <w:color w:val="auto"/>
        </w:rPr>
      </w:pPr>
    </w:p>
    <w:p>
      <w:pPr>
        <w:spacing w:after="0" w:line="26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February 2020, LP’s Board of Directors authorized the 2020 Share Repurchase Program under which LP was authorized to repurchase up to $200 million of shares of LP’s common stock. In November 2020, LP’s Board of Directors authorized the expansion of the 2020 Share Repurchase Program under which LP was authorized to repurchase up to an additional $300 million of shares of LP’s common stock. The 2020 Share Repurchase Program was exhausted in May 2021. On May 4, 2021, our Board of Directors authorized the 2021 Share Repurchase Program under which LP may repurchase up to $1 billion of shares of LP's common stock. LP may initiate, discontinue or resume purchases of its common stock under the 2021 Share Repurchase Program and make additional repurchases of common stock in the open market, in block and privately-negotiated transactions, including under Rule 10b5-1 plans, at times and in such amounts as management deems appropriate without prior notice, subject to market and business conditions, regulatory requirements and other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our common stock were repurchased under these authorizations during the quarter ended September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80" w:type="dxa"/>
            <w:vAlign w:val="bottom"/>
          </w:tcPr>
          <w:p>
            <w:pPr>
              <w:spacing w:after="0"/>
              <w:rPr>
                <w:sz w:val="14"/>
                <w:szCs w:val="14"/>
                <w:color w:val="auto"/>
              </w:rPr>
            </w:pPr>
          </w:p>
        </w:tc>
        <w:tc>
          <w:tcPr>
            <w:tcW w:w="19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 Paid Per</w:t>
            </w:r>
          </w:p>
        </w:tc>
        <w:tc>
          <w:tcPr>
            <w:tcW w:w="20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80" w:type="dxa"/>
            <w:vAlign w:val="bottom"/>
          </w:tcPr>
          <w:p>
            <w:pPr>
              <w:spacing w:after="0"/>
              <w:rPr>
                <w:sz w:val="11"/>
                <w:szCs w:val="11"/>
                <w:color w:val="auto"/>
              </w:rPr>
            </w:pPr>
          </w:p>
        </w:tc>
        <w:tc>
          <w:tcPr>
            <w:tcW w:w="19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3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vMerge w:val="continue"/>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Announced Purchase Plans or</w:t>
            </w:r>
          </w:p>
        </w:tc>
        <w:tc>
          <w:tcPr>
            <w:tcW w:w="80" w:type="dxa"/>
            <w:vAlign w:val="bottom"/>
          </w:tcPr>
          <w:p>
            <w:pPr>
              <w:spacing w:after="0"/>
              <w:rPr>
                <w:sz w:val="11"/>
                <w:szCs w:val="11"/>
                <w:color w:val="auto"/>
              </w:rPr>
            </w:pPr>
          </w:p>
        </w:tc>
        <w:tc>
          <w:tcPr>
            <w:tcW w:w="19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89"/>
        </w:trPr>
        <w:tc>
          <w:tcPr>
            <w:tcW w:w="3920" w:type="dxa"/>
            <w:vAlign w:val="bottom"/>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2040" w:type="dxa"/>
            <w:vAlign w:val="bottom"/>
            <w:gridSpan w:val="2"/>
          </w:tcPr>
          <w:p>
            <w:pPr>
              <w:jc w:val="center"/>
              <w:ind w:right="140"/>
              <w:spacing w:after="0" w:line="189" w:lineRule="exact"/>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4"/>
                <w:szCs w:val="14"/>
                <w:b w:val="1"/>
                <w:bCs w:val="1"/>
                <w:i w:val="1"/>
                <w:iCs w:val="1"/>
                <w:color w:val="auto"/>
                <w:w w:val="94"/>
              </w:rPr>
              <w:t>In millions</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July 1, 2021 - July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2,333,746</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56.23</w:t>
            </w:r>
          </w:p>
        </w:tc>
        <w:tc>
          <w:tcPr>
            <w:tcW w:w="12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2,333,746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August 1, 2021 - August 31, 2021</w:t>
            </w:r>
          </w:p>
        </w:tc>
        <w:tc>
          <w:tcPr>
            <w:tcW w:w="1520" w:type="dxa"/>
            <w:vAlign w:val="bottom"/>
          </w:tcPr>
          <w:p>
            <w:pPr>
              <w:jc w:val="right"/>
              <w:spacing w:after="0"/>
              <w:rPr>
                <w:sz w:val="20"/>
                <w:szCs w:val="20"/>
                <w:color w:val="auto"/>
              </w:rPr>
            </w:pPr>
            <w:r>
              <w:rPr>
                <w:rFonts w:ascii="Arial" w:cs="Arial" w:eastAsia="Arial" w:hAnsi="Arial"/>
                <w:sz w:val="14"/>
                <w:szCs w:val="14"/>
                <w:color w:val="auto"/>
              </w:rPr>
              <w:t>2,317,818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57.90</w:t>
            </w:r>
          </w:p>
        </w:tc>
        <w:tc>
          <w:tcPr>
            <w:tcW w:w="1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2,317,818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1, 2021 - September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2,147,642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62.24</w:t>
            </w:r>
          </w:p>
        </w:tc>
        <w:tc>
          <w:tcPr>
            <w:tcW w:w="12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2,147,642</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Total for Third Quarter 2021</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6,799,206</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firstLine="8"/>
        <w:spacing w:after="0" w:line="273" w:lineRule="auto"/>
        <w:tabs>
          <w:tab w:leader="none" w:pos="70" w:val="left"/>
        </w:tabs>
        <w:numPr>
          <w:ilvl w:val="0"/>
          <w:numId w:val="8"/>
        </w:numPr>
        <w:rPr>
          <w:rFonts w:ascii="Arial" w:cs="Arial" w:eastAsia="Arial" w:hAnsi="Arial"/>
          <w:sz w:val="9"/>
          <w:szCs w:val="9"/>
          <w:color w:val="auto"/>
        </w:rPr>
      </w:pPr>
      <w:r>
        <w:rPr>
          <w:rFonts w:ascii="Arial" w:cs="Arial" w:eastAsia="Arial" w:hAnsi="Arial"/>
          <w:sz w:val="14"/>
          <w:szCs w:val="14"/>
          <w:color w:val="auto"/>
        </w:rPr>
        <w:t>On May 4, 2021, our Board of Directors authorized the 2021 Share Repurchase Program under which we may repurchase up to $1 billion of shares of our common stock. As of September 30, 2021, LP has used $687 million to repurchase common stock under the 2021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48" w:lineRule="exact"/>
        <w:rPr>
          <w:sz w:val="20"/>
          <w:szCs w:val="20"/>
          <w:color w:val="auto"/>
        </w:rPr>
      </w:pPr>
    </w:p>
    <w:p>
      <w:pPr>
        <w:ind w:left="1120" w:right="440" w:hanging="721"/>
        <w:spacing w:after="0" w:line="259" w:lineRule="auto"/>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59">
        <w:r>
          <w:rPr>
            <w:rFonts w:ascii="Arial" w:cs="Arial" w:eastAsia="Arial" w:hAnsi="Arial"/>
            <w:sz w:val="16"/>
            <w:szCs w:val="16"/>
            <w:u w:val="single" w:color="auto"/>
            <w:color w:val="0000FF"/>
          </w:rPr>
          <w:t>Fourth Amendment to Amended and Restated Credit Agreement, dated August 6, 2021, among the Company, as borrower, American</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AgCredit PCA, as administrative agent, CoBank, ACB, as letter of credit issuer and lenders and voting participants party thereto,</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incorporated herein by reference to Exhibit 10.1 to the Company's Current Report on Form 8-K, filed on August 6, 2021.</w:t>
        </w:r>
      </w:hyperlink>
    </w:p>
    <w:p>
      <w:pPr>
        <w:spacing w:after="0" w:line="39" w:lineRule="exact"/>
        <w:rPr>
          <w:rFonts w:ascii="Arial" w:cs="Arial" w:eastAsia="Arial" w:hAnsi="Arial"/>
          <w:sz w:val="16"/>
          <w:szCs w:val="16"/>
          <w:u w:val="single" w:color="auto"/>
          <w:color w:val="0000FF"/>
        </w:rPr>
      </w:pPr>
    </w:p>
    <w:p>
      <w:pPr>
        <w:ind w:left="40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4">
        <w:r>
          <w:rPr>
            <w:rFonts w:ascii="Arial" w:cs="Arial" w:eastAsia="Arial" w:hAnsi="Arial"/>
            <w:sz w:val="16"/>
            <w:szCs w:val="16"/>
            <w:u w:val="single" w:color="auto"/>
            <w:color w:val="0000FF"/>
          </w:rPr>
          <w:t xml:space="preserve">Certifications of Chief Executive Officer Pursuant to Rule 13a-14(a) under the Securities Exchange Act of 1934. </w:t>
        </w:r>
      </w:hyperlink>
      <w:r>
        <w:rPr>
          <w:rFonts w:ascii="Arial" w:cs="Arial" w:eastAsia="Arial" w:hAnsi="Arial"/>
          <w:sz w:val="16"/>
          <w:szCs w:val="16"/>
          <w:color w:val="000000"/>
        </w:rPr>
        <w:t>*</w:t>
      </w:r>
    </w:p>
    <w:p>
      <w:pPr>
        <w:spacing w:after="0" w:line="77" w:lineRule="exact"/>
        <w:rPr>
          <w:rFonts w:ascii="Arial" w:cs="Arial" w:eastAsia="Arial" w:hAnsi="Arial"/>
          <w:sz w:val="16"/>
          <w:szCs w:val="16"/>
          <w:u w:val="single" w:color="auto"/>
          <w:color w:val="0000FF"/>
        </w:rPr>
      </w:pPr>
    </w:p>
    <w:p>
      <w:pPr>
        <w:ind w:left="40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5">
        <w:r>
          <w:rPr>
            <w:rFonts w:ascii="Arial" w:cs="Arial" w:eastAsia="Arial" w:hAnsi="Arial"/>
            <w:sz w:val="16"/>
            <w:szCs w:val="16"/>
            <w:u w:val="single" w:color="auto"/>
            <w:color w:val="0000FF"/>
          </w:rPr>
          <w:t xml:space="preserve">Certifications of Chief Financial Officer Pursuant to Rule 13a-14(a) under the Securities Exchange Act of 1934. </w:t>
        </w:r>
      </w:hyperlink>
      <w:r>
        <w:rPr>
          <w:rFonts w:ascii="Arial" w:cs="Arial" w:eastAsia="Arial" w:hAnsi="Arial"/>
          <w:sz w:val="16"/>
          <w:szCs w:val="16"/>
          <w:color w:val="000000"/>
        </w:rPr>
        <w:t>*</w:t>
      </w:r>
    </w:p>
    <w:p>
      <w:pPr>
        <w:spacing w:after="0" w:line="77" w:lineRule="exact"/>
        <w:rPr>
          <w:rFonts w:ascii="Arial" w:cs="Arial" w:eastAsia="Arial" w:hAnsi="Arial"/>
          <w:sz w:val="16"/>
          <w:szCs w:val="16"/>
          <w:u w:val="single" w:color="auto"/>
          <w:color w:val="0000FF"/>
        </w:rPr>
      </w:pPr>
    </w:p>
    <w:p>
      <w:pPr>
        <w:ind w:left="1120" w:hanging="655"/>
        <w:spacing w:after="0"/>
        <w:tabs>
          <w:tab w:leader="none" w:pos="1120" w:val="left"/>
        </w:tabs>
        <w:numPr>
          <w:ilvl w:val="0"/>
          <w:numId w:val="9"/>
        </w:numPr>
        <w:rPr>
          <w:rFonts w:ascii="Arial" w:cs="Arial" w:eastAsia="Arial" w:hAnsi="Arial"/>
          <w:sz w:val="18"/>
          <w:szCs w:val="18"/>
          <w:color w:val="0000FF"/>
        </w:rPr>
      </w:pPr>
      <w:hyperlink w:anchor="page46">
        <w:r>
          <w:rPr>
            <w:rFonts w:ascii="Arial" w:cs="Arial" w:eastAsia="Arial" w:hAnsi="Arial"/>
            <w:sz w:val="18"/>
            <w:szCs w:val="18"/>
            <w:u w:val="single" w:color="auto"/>
            <w:color w:val="0000FF"/>
          </w:rPr>
          <w:t>Certifications pursuant to § 906 of the Sarbanes-Oxley Act of 2002.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46" w:lineRule="exact"/>
        <w:rPr>
          <w:rFonts w:ascii="Arial" w:cs="Arial" w:eastAsia="Arial" w:hAnsi="Arial"/>
          <w:sz w:val="16"/>
          <w:szCs w:val="16"/>
          <w:u w:val="single" w:color="auto"/>
          <w:color w:val="0000FF"/>
        </w:rPr>
      </w:pPr>
    </w:p>
    <w:tbl>
      <w:tblPr>
        <w:tblLayout w:type="fixed"/>
        <w:tblInd w:w="220" w:type="dxa"/>
        <w:tblCellMar>
          <w:top w:w="0" w:type="dxa"/>
          <w:left w:w="0" w:type="dxa"/>
          <w:bottom w:w="0" w:type="dxa"/>
          <w:right w:w="0" w:type="dxa"/>
        </w:tblCellMar>
      </w:tblPr>
      <w:tr>
        <w:trPr>
          <w:trHeight w:val="207"/>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2"/>
              </w:rPr>
              <w:t>101.INS</w:t>
            </w:r>
          </w:p>
        </w:tc>
        <w:tc>
          <w:tcPr>
            <w:tcW w:w="10160" w:type="dxa"/>
            <w:vAlign w:val="bottom"/>
          </w:tcPr>
          <w:p>
            <w:pPr>
              <w:ind w:left="1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780" w:type="dxa"/>
            <w:vAlign w:val="bottom"/>
          </w:tcPr>
          <w:p>
            <w:pPr>
              <w:spacing w:after="0"/>
              <w:rPr>
                <w:sz w:val="20"/>
                <w:szCs w:val="20"/>
                <w:color w:val="auto"/>
              </w:rPr>
            </w:pPr>
          </w:p>
        </w:tc>
        <w:tc>
          <w:tcPr>
            <w:tcW w:w="10160" w:type="dxa"/>
            <w:vAlign w:val="bottom"/>
          </w:tcPr>
          <w:p>
            <w:pPr>
              <w:ind w:left="120"/>
              <w:spacing w:after="0"/>
              <w:rPr>
                <w:sz w:val="20"/>
                <w:szCs w:val="20"/>
                <w:color w:val="auto"/>
              </w:rPr>
            </w:pPr>
            <w:r>
              <w:rPr>
                <w:rFonts w:ascii="Arial" w:cs="Arial" w:eastAsia="Arial" w:hAnsi="Arial"/>
                <w:sz w:val="18"/>
                <w:szCs w:val="18"/>
                <w:color w:val="auto"/>
              </w:rPr>
              <w:t>the Inline XBRL document.*</w:t>
            </w:r>
          </w:p>
        </w:tc>
      </w:tr>
      <w:tr>
        <w:trPr>
          <w:trHeight w:val="283"/>
        </w:trPr>
        <w:tc>
          <w:tcPr>
            <w:tcW w:w="780" w:type="dxa"/>
            <w:vAlign w:val="bottom"/>
          </w:tcPr>
          <w:p>
            <w:pPr>
              <w:jc w:val="center"/>
              <w:ind w:right="30"/>
              <w:spacing w:after="0"/>
              <w:rPr>
                <w:sz w:val="20"/>
                <w:szCs w:val="20"/>
                <w:color w:val="auto"/>
              </w:rPr>
            </w:pPr>
            <w:r>
              <w:rPr>
                <w:rFonts w:ascii="Arial" w:cs="Arial" w:eastAsia="Arial" w:hAnsi="Arial"/>
                <w:sz w:val="18"/>
                <w:szCs w:val="18"/>
                <w:color w:val="auto"/>
                <w:w w:val="90"/>
              </w:rPr>
              <w:t>101.SCH</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7"/>
              </w:rPr>
              <w:t>101.CAL</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8"/>
              </w:rPr>
              <w:t>101.LAB</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88"/>
              </w:rPr>
              <w:t>101.PRE</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780" w:type="dxa"/>
            <w:vAlign w:val="bottom"/>
          </w:tcPr>
          <w:p>
            <w:pPr>
              <w:jc w:val="center"/>
              <w:ind w:right="30"/>
              <w:spacing w:after="0"/>
              <w:rPr>
                <w:sz w:val="20"/>
                <w:szCs w:val="20"/>
                <w:color w:val="auto"/>
              </w:rPr>
            </w:pPr>
            <w:r>
              <w:rPr>
                <w:rFonts w:ascii="Arial" w:cs="Arial" w:eastAsia="Arial" w:hAnsi="Arial"/>
                <w:sz w:val="18"/>
                <w:szCs w:val="18"/>
                <w:color w:val="auto"/>
                <w:w w:val="92"/>
              </w:rPr>
              <w:t>101.DEF</w:t>
            </w:r>
          </w:p>
        </w:tc>
        <w:tc>
          <w:tcPr>
            <w:tcW w:w="1016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780" w:type="dxa"/>
            <w:vAlign w:val="bottom"/>
          </w:tcPr>
          <w:p>
            <w:pPr>
              <w:jc w:val="center"/>
              <w:ind w:right="30"/>
              <w:spacing w:after="0"/>
              <w:rPr>
                <w:sz w:val="20"/>
                <w:szCs w:val="20"/>
                <w:color w:val="auto"/>
              </w:rPr>
            </w:pPr>
            <w:r>
              <w:rPr>
                <w:rFonts w:ascii="Arial" w:cs="Arial" w:eastAsia="Arial" w:hAnsi="Arial"/>
                <w:sz w:val="18"/>
                <w:szCs w:val="18"/>
                <w:color w:val="auto"/>
                <w:w w:val="86"/>
              </w:rPr>
              <w:t>104</w:t>
            </w:r>
          </w:p>
        </w:tc>
        <w:tc>
          <w:tcPr>
            <w:tcW w:w="10160" w:type="dxa"/>
            <w:vAlign w:val="bottom"/>
          </w:tcPr>
          <w:p>
            <w:pPr>
              <w:ind w:left="120"/>
              <w:spacing w:after="0"/>
              <w:rPr>
                <w:sz w:val="20"/>
                <w:szCs w:val="20"/>
                <w:color w:val="auto"/>
              </w:rPr>
            </w:pPr>
            <w:r>
              <w:rPr>
                <w:rFonts w:ascii="Arial" w:cs="Arial" w:eastAsia="Arial" w:hAnsi="Arial"/>
                <w:sz w:val="18"/>
                <w:szCs w:val="18"/>
                <w:color w:val="auto"/>
              </w:rPr>
              <w:t>Cover Page Interactive Data File (embedded with Inline XBRL document and contained in Exhibit 101)*</w:t>
            </w:r>
          </w:p>
        </w:tc>
      </w:tr>
    </w:tbl>
    <w:p>
      <w:pPr>
        <w:spacing w:after="0" w:line="22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9" w:lineRule="exact"/>
        <w:rPr>
          <w:rFonts w:ascii="Arial" w:cs="Arial" w:eastAsia="Arial" w:hAnsi="Arial"/>
          <w:sz w:val="16"/>
          <w:szCs w:val="16"/>
          <w:u w:val="single" w:color="auto"/>
          <w:color w:val="0000FF"/>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SIGNATURES</w:t>
      </w:r>
    </w:p>
    <w:p>
      <w:pPr>
        <w:spacing w:after="0" w:line="104"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380" w:type="dxa"/>
            <w:vAlign w:val="bottom"/>
            <w:gridSpan w:val="2"/>
          </w:tcPr>
          <w:p>
            <w:pPr>
              <w:ind w:left="1600"/>
              <w:spacing w:after="0"/>
              <w:rPr>
                <w:sz w:val="20"/>
                <w:szCs w:val="20"/>
                <w:color w:val="auto"/>
              </w:rPr>
            </w:pPr>
            <w:r>
              <w:rPr>
                <w:rFonts w:ascii="Arial" w:cs="Arial" w:eastAsia="Arial" w:hAnsi="Arial"/>
                <w:sz w:val="18"/>
                <w:szCs w:val="18"/>
                <w:color w:val="auto"/>
              </w:rPr>
              <w:t>LOUISIANA-PACIFIC CORPORATION</w:t>
            </w:r>
          </w:p>
        </w:tc>
      </w:tr>
      <w:tr>
        <w:trPr>
          <w:trHeight w:val="50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260"/>
              <w:spacing w:after="0"/>
              <w:rPr>
                <w:sz w:val="20"/>
                <w:szCs w:val="20"/>
                <w:color w:val="auto"/>
              </w:rPr>
            </w:pPr>
            <w:r>
              <w:rPr>
                <w:rFonts w:ascii="Arial" w:cs="Arial" w:eastAsia="Arial" w:hAnsi="Arial"/>
                <w:sz w:val="18"/>
                <w:szCs w:val="18"/>
                <w:color w:val="auto"/>
              </w:rPr>
              <w:t>November 3, 2021</w:t>
            </w:r>
          </w:p>
        </w:tc>
        <w:tc>
          <w:tcPr>
            <w:tcW w:w="2100" w:type="dxa"/>
            <w:vAlign w:val="bottom"/>
          </w:tcPr>
          <w:p>
            <w:pPr>
              <w:ind w:left="16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 BRADLEY SOUTHERN</w:t>
            </w:r>
          </w:p>
        </w:tc>
      </w:tr>
      <w:tr>
        <w:trPr>
          <w:trHeight w:val="173"/>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2"/>
              </w:rPr>
              <w:t>W. Bradley Southern</w:t>
            </w:r>
          </w:p>
        </w:tc>
      </w:tr>
      <w:tr>
        <w:trPr>
          <w:trHeight w:val="186"/>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3"/>
              </w:rPr>
              <w:t>Chief Executive Officer</w:t>
            </w:r>
          </w:p>
        </w:tc>
      </w:tr>
      <w:tr>
        <w:trPr>
          <w:trHeight w:val="51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260"/>
              <w:spacing w:after="0"/>
              <w:rPr>
                <w:sz w:val="20"/>
                <w:szCs w:val="20"/>
                <w:color w:val="auto"/>
              </w:rPr>
            </w:pPr>
            <w:r>
              <w:rPr>
                <w:rFonts w:ascii="Arial" w:cs="Arial" w:eastAsia="Arial" w:hAnsi="Arial"/>
                <w:sz w:val="18"/>
                <w:szCs w:val="18"/>
                <w:color w:val="auto"/>
              </w:rPr>
              <w:t>November 3, 2021</w:t>
            </w:r>
          </w:p>
        </w:tc>
        <w:tc>
          <w:tcPr>
            <w:tcW w:w="2100" w:type="dxa"/>
            <w:vAlign w:val="bottom"/>
          </w:tcPr>
          <w:p>
            <w:pPr>
              <w:ind w:left="16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ALAN J.M. HAUGHIE</w:t>
            </w:r>
          </w:p>
        </w:tc>
      </w:tr>
      <w:tr>
        <w:trPr>
          <w:trHeight w:val="180"/>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6"/>
              </w:rPr>
              <w:t>Alan J.M. Haughie</w:t>
            </w:r>
          </w:p>
        </w:tc>
      </w:tr>
    </w:tbl>
    <w:p>
      <w:pPr>
        <w:jc w:val="center"/>
        <w:ind w:left="5940"/>
        <w:spacing w:after="0"/>
        <w:rPr>
          <w:sz w:val="20"/>
          <w:szCs w:val="20"/>
          <w:color w:val="auto"/>
        </w:rPr>
      </w:pPr>
      <w:r>
        <w:rPr>
          <w:rFonts w:ascii="Arial" w:cs="Arial" w:eastAsia="Arial" w:hAnsi="Arial"/>
          <w:sz w:val="14"/>
          <w:szCs w:val="14"/>
          <w:b w:val="1"/>
          <w:bCs w:val="1"/>
          <w:color w:val="auto"/>
        </w:rPr>
        <w:t>Executive Vice President and</w:t>
      </w:r>
    </w:p>
    <w:p>
      <w:pPr>
        <w:spacing w:after="0" w:line="2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4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sz w:val="20"/>
          <w:szCs w:val="20"/>
          <w:color w:val="auto"/>
        </w:rPr>
      </w:pPr>
    </w:p>
    <w:p>
      <w:pPr>
        <w:ind w:left="980" w:right="20" w:hanging="648"/>
        <w:spacing w:after="0" w:line="308" w:lineRule="auto"/>
        <w:tabs>
          <w:tab w:leader="none" w:pos="9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November 3, 2021</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 BRADLEY SOUTHERN</w:t>
            </w:r>
          </w:p>
        </w:tc>
      </w:tr>
      <w:tr>
        <w:trPr>
          <w:trHeight w:val="222"/>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5"/>
              </w:rPr>
              <w:t>W. BRADLEY SOUTHERN</w:t>
            </w:r>
          </w:p>
        </w:tc>
      </w:tr>
      <w:tr>
        <w:trPr>
          <w:trHeight w:val="230"/>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Louisiana-Pacific Corporation;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jc w:val="both"/>
        <w:ind w:left="980" w:hanging="648"/>
        <w:spacing w:after="0" w:line="263" w:lineRule="auto"/>
        <w:tabs>
          <w:tab w:leader="none" w:pos="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648"/>
        <w:spacing w:after="0" w:line="263" w:lineRule="auto"/>
        <w:tabs>
          <w:tab w:leader="none" w:pos="9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648"/>
        <w:spacing w:after="0" w:line="308" w:lineRule="auto"/>
        <w:tabs>
          <w:tab w:leader="none" w:pos="971"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sz w:val="20"/>
          <w:szCs w:val="20"/>
          <w:color w:val="auto"/>
        </w:rPr>
      </w:pPr>
    </w:p>
    <w:p>
      <w:pPr>
        <w:ind w:left="980" w:right="20" w:hanging="648"/>
        <w:spacing w:after="0" w:line="308" w:lineRule="auto"/>
        <w:tabs>
          <w:tab w:leader="none" w:pos="9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648"/>
        <w:spacing w:after="0" w:line="277" w:lineRule="auto"/>
        <w:tabs>
          <w:tab w:leader="none" w:pos="9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 November 3, 2021</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ALAN J.M. HAUGHIE</w:t>
            </w:r>
          </w:p>
        </w:tc>
      </w:tr>
      <w:tr>
        <w:trPr>
          <w:trHeight w:val="222"/>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9"/>
              </w:rPr>
              <w:t>ALAN J.M. HAUGHIE</w:t>
            </w:r>
          </w:p>
        </w:tc>
      </w:tr>
      <w:tr>
        <w:trPr>
          <w:trHeight w:val="230"/>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1240"/>
          </w:cols>
          <w:pgMar w:left="320" w:top="113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Certifications of Chief Executive Officer and Chief Financial Officer Pursuant to 18 U.S.C. § 1350 as Adopted Pursuant to Section 906 of the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jc w:val="both"/>
        <w:ind w:firstLine="405"/>
        <w:spacing w:after="0" w:line="305" w:lineRule="auto"/>
        <w:rPr>
          <w:sz w:val="20"/>
          <w:szCs w:val="20"/>
          <w:color w:val="auto"/>
        </w:rPr>
      </w:pPr>
      <w:r>
        <w:rPr>
          <w:rFonts w:ascii="Arial" w:cs="Arial" w:eastAsia="Arial" w:hAnsi="Arial"/>
          <w:sz w:val="16"/>
          <w:szCs w:val="16"/>
          <w:color w:val="auto"/>
        </w:rPr>
        <w:t>Pursuant to 18 U.S.C. § 1350, as adopted pursuant to § 906 of the Sarbanes-Oxley Act of 2002, in connection with the filing of the Quarterly Report on Form 10-Q of Louisiana-Pacific Corporation (the “Company”) for the nine months ended September 30, 2021, as filed with the Securities and Exchange Commission on the date hereof (the “Report”), each of the undersigned officers of the Company certifies, that, to such officer’s knowledge:</w:t>
      </w:r>
    </w:p>
    <w:p>
      <w:pPr>
        <w:spacing w:after="0" w:line="1" w:lineRule="exact"/>
        <w:rPr>
          <w:sz w:val="20"/>
          <w:szCs w:val="20"/>
          <w:color w:val="auto"/>
        </w:rPr>
      </w:pPr>
    </w:p>
    <w:p>
      <w:pPr>
        <w:ind w:left="980" w:hanging="567"/>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74" w:lineRule="exact"/>
        <w:rPr>
          <w:rFonts w:ascii="Arial" w:cs="Arial" w:eastAsia="Arial" w:hAnsi="Arial"/>
          <w:sz w:val="17"/>
          <w:szCs w:val="17"/>
          <w:color w:val="auto"/>
        </w:rPr>
      </w:pPr>
    </w:p>
    <w:p>
      <w:pPr>
        <w:ind w:left="980" w:hanging="567"/>
        <w:spacing w:after="0" w:line="277" w:lineRule="auto"/>
        <w:tabs>
          <w:tab w:leader="none" w:pos="9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14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W. BRADLEY SOUTHERN</w:t>
      </w:r>
    </w:p>
    <w:p>
      <w:pPr>
        <w:ind w:left="5800"/>
        <w:spacing w:after="0"/>
        <w:rPr>
          <w:sz w:val="20"/>
          <w:szCs w:val="20"/>
          <w:color w:val="auto"/>
        </w:rPr>
      </w:pPr>
      <w:r>
        <w:rPr>
          <w:rFonts w:ascii="Arial" w:cs="Arial" w:eastAsia="Arial" w:hAnsi="Arial"/>
          <w:sz w:val="18"/>
          <w:szCs w:val="18"/>
          <w:color w:val="auto"/>
        </w:rPr>
        <w:t>Title: Chief Executive Officer</w:t>
      </w:r>
    </w:p>
    <w:p>
      <w:pPr>
        <w:spacing w:after="0" w:line="39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Alan J.M. Haughie</w:t>
      </w:r>
    </w:p>
    <w:p>
      <w:pPr>
        <w:ind w:left="5800"/>
        <w:spacing w:after="0"/>
        <w:rPr>
          <w:sz w:val="20"/>
          <w:szCs w:val="20"/>
          <w:color w:val="auto"/>
        </w:rPr>
      </w:pPr>
      <w:r>
        <w:rPr>
          <w:rFonts w:ascii="Arial" w:cs="Arial" w:eastAsia="Arial" w:hAnsi="Arial"/>
          <w:sz w:val="18"/>
          <w:szCs w:val="18"/>
          <w:color w:val="auto"/>
        </w:rPr>
        <w:t>Title: Chief Financial Officer</w:t>
      </w:r>
    </w:p>
    <w:p>
      <w:pPr>
        <w:spacing w:after="0" w:line="2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amp;"/>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decimal"/>
      <w:start w:val="3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9" Type="http://schemas.openxmlformats.org/officeDocument/2006/relationships/hyperlink" Target="https://www.sec.gov/Archives/edgar/data/60519/000162828021016082/fourthamendmentarcredi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2021-11-03T14:55:47Z</dcterms:created>
  <dcterms:modified xsi:type="dcterms:W3CDTF">2021-11-03T14:55:47Z</dcterms:modified>
</cp:coreProperties>
</file>