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5400" w:right="220" w:hanging="5163"/>
        <w:spacing w:after="0" w:line="268" w:lineRule="auto"/>
        <w:tabs>
          <w:tab w:leader="none" w:pos="51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2023</w:t>
      </w:r>
    </w:p>
    <w:p>
      <w:pPr>
        <w:spacing w:after="0" w:line="98" w:lineRule="exact"/>
        <w:rPr>
          <w:sz w:val="24"/>
          <w:szCs w:val="24"/>
          <w:color w:val="auto"/>
        </w:rPr>
      </w:pPr>
    </w:p>
    <w:p>
      <w:pPr>
        <w:jc w:val="center"/>
        <w:ind w:left="5400" w:right="200" w:hanging="5200"/>
        <w:spacing w:after="0" w:line="275" w:lineRule="auto"/>
        <w:tabs>
          <w:tab w:leader="none" w:pos="532"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60960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6"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93-0609074</w:t>
            </w:r>
          </w:p>
        </w:tc>
      </w:tr>
      <w:tr>
        <w:trPr>
          <w:trHeight w:val="148"/>
        </w:trPr>
        <w:tc>
          <w:tcPr>
            <w:tcW w:w="3960" w:type="dxa"/>
            <w:vAlign w:val="bottom"/>
          </w:tcPr>
          <w:p>
            <w:pPr>
              <w:jc w:val="center"/>
              <w:ind w:right="20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1610 West End Avenue, Suite 200, Nashville, TN 37203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55880</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117" w:lineRule="exact"/>
        <w:rPr>
          <w:sz w:val="24"/>
          <w:szCs w:val="24"/>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71"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72,043,353 shares of common stock, $1 par value, outstanding as of May 1, 2023.</w:t>
      </w:r>
    </w:p>
    <w:p>
      <w:pPr>
        <w:spacing w:after="0" w:line="1" w:lineRule="exact"/>
        <w:rPr>
          <w:sz w:val="24"/>
          <w:szCs w:val="24"/>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the forward-looking statements include, but are not limited to, the following:</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and monetary policies, including tariffs and levels of employment;</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and global economic conditions, including impacts from global pandemics, rising inflation, supply chain disruptions and the military conflict between Russia and Ukraine;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the supply of and demand for raw materials, including wood fiber and resins, used in manufacturing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manufacturing our products internationally;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launch or production ramp-up of newly introduced products;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Brazilian real, and Chilean peso;</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others in the industry;</w:t>
      </w:r>
    </w:p>
    <w:p>
      <w:pPr>
        <w:spacing w:after="0" w:line="36"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ind w:left="660" w:right="20" w:hanging="328"/>
        <w:spacing w:after="0" w:line="27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political or civil unrest, natural disasters, fire, floods, earthquakes, inclement weather, and other matters beyond our control.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were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We undertake no obligation to revise or update any of the forward-looking statements to reflect subsequent events or circumstances except to the extent required by applicable law.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4"/>
                <w:szCs w:val="24"/>
                <w:color w:val="auto"/>
              </w:rPr>
            </w:pPr>
          </w:p>
        </w:tc>
        <w:tc>
          <w:tcPr>
            <w:tcW w:w="6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9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Dollar and share amounts in millions, except per share amounts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694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06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tcPr>
          <w:p>
            <w:pPr>
              <w:spacing w:after="0"/>
              <w:rPr>
                <w:sz w:val="18"/>
                <w:szCs w:val="18"/>
                <w:color w:val="auto"/>
              </w:rPr>
            </w:pPr>
          </w:p>
        </w:tc>
        <w:tc>
          <w:tcPr>
            <w:tcW w:w="69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6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1,167</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69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6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1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556</w:t>
            </w: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Investment income</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544</w:t>
            </w: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10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10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6"/>
        </w:trPr>
        <w:tc>
          <w:tcPr>
            <w:tcW w:w="1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94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Net (income) loss attributed to noncontrolling interest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gridSpan w:val="2"/>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24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 per share of common stock:</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per share continuing operations - basic</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per share discontinued operations - basic</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0" w:type="dxa"/>
            <w:vAlign w:val="bottom"/>
          </w:tcPr>
          <w:p>
            <w:pPr>
              <w:spacing w:after="0"/>
              <w:rPr>
                <w:sz w:val="1"/>
                <w:szCs w:val="1"/>
                <w:color w:val="auto"/>
              </w:rPr>
            </w:pPr>
          </w:p>
        </w:tc>
      </w:tr>
      <w:tr>
        <w:trPr>
          <w:trHeight w:val="207"/>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69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per share continuing operations - diluted</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per share discontinued operations - diluted</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07"/>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69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69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6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6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Borders>
              <w:bottom w:val="single" w:sz="8" w:color="auto"/>
            </w:tcBorders>
          </w:tcPr>
          <w:p>
            <w:pPr>
              <w:spacing w:after="0"/>
              <w:rPr>
                <w:sz w:val="18"/>
                <w:szCs w:val="18"/>
                <w:color w:val="auto"/>
              </w:rPr>
            </w:pPr>
          </w:p>
        </w:tc>
      </w:tr>
      <w:tr>
        <w:trPr>
          <w:trHeight w:val="211"/>
        </w:trPr>
        <w:tc>
          <w:tcPr>
            <w:tcW w:w="8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r>
      <w:tr>
        <w:trPr>
          <w:trHeight w:val="21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483</w:t>
            </w: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Changes in defined benefit pension plans</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508</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associated with noncontrolling interest</w:t>
            </w:r>
          </w:p>
        </w:tc>
        <w:tc>
          <w:tcPr>
            <w:tcW w:w="1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attributed to LP</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508</w:t>
            </w:r>
          </w:p>
        </w:tc>
      </w:tr>
      <w:tr>
        <w:trPr>
          <w:trHeight w:val="22"/>
        </w:trPr>
        <w:tc>
          <w:tcPr>
            <w:tcW w:w="8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08"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 million as of March 31, 2023 and December 31, 2022</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854</w:t>
            </w:r>
          </w:p>
        </w:tc>
        <w:tc>
          <w:tcPr>
            <w:tcW w:w="0" w:type="dxa"/>
            <w:vAlign w:val="bottom"/>
          </w:tcPr>
          <w:p>
            <w:pPr>
              <w:spacing w:after="0"/>
              <w:rPr>
                <w:sz w:val="1"/>
                <w:szCs w:val="1"/>
                <w:color w:val="auto"/>
              </w:rPr>
            </w:pPr>
          </w:p>
        </w:tc>
      </w:tr>
      <w:tr>
        <w:trPr>
          <w:trHeight w:val="76"/>
        </w:trPr>
        <w:tc>
          <w:tcPr>
            <w:tcW w:w="7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p>
        </w:tc>
        <w:tc>
          <w:tcPr>
            <w:tcW w:w="0" w:type="dxa"/>
            <w:vAlign w:val="bottom"/>
          </w:tcPr>
          <w:p>
            <w:pPr>
              <w:spacing w:after="0"/>
              <w:rPr>
                <w:sz w:val="1"/>
                <w:szCs w:val="1"/>
                <w:color w:val="auto"/>
              </w:rPr>
            </w:pPr>
          </w:p>
        </w:tc>
      </w:tr>
      <w:tr>
        <w:trPr>
          <w:trHeight w:val="48"/>
        </w:trPr>
        <w:tc>
          <w:tcPr>
            <w:tcW w:w="75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75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0" w:type="dxa"/>
            <w:vAlign w:val="bottom"/>
          </w:tcPr>
          <w:p>
            <w:pPr>
              <w:spacing w:after="0"/>
              <w:rPr>
                <w:sz w:val="1"/>
                <w:szCs w:val="1"/>
                <w:color w:val="auto"/>
              </w:rPr>
            </w:pPr>
          </w:p>
        </w:tc>
      </w:tr>
      <w:tr>
        <w:trPr>
          <w:trHeight w:val="76"/>
        </w:trPr>
        <w:tc>
          <w:tcPr>
            <w:tcW w:w="7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916</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75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7"/>
        </w:trPr>
        <w:tc>
          <w:tcPr>
            <w:tcW w:w="7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58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Common stock, $1 par value, 200,000,000 shares authorized; 87,986,865 and 72,031,465 shares issued and</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respectively, as of March 31, 2023; and 87,986,865 and 71,748,200 shares issued and outstanding,</w:t>
            </w:r>
          </w:p>
        </w:tc>
        <w:tc>
          <w:tcPr>
            <w:tcW w:w="2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 as of December 31, 2022</w:t>
            </w:r>
          </w:p>
        </w:tc>
        <w:tc>
          <w:tcPr>
            <w:tcW w:w="2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Treasury stock, 15,955,400 shares and 16,238,665 shares, at cost as of March 31, 2023, and December 31, 2022,</w:t>
            </w: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assets</w:t>
            </w: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loss due to settlement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taxes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adjustments, net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cash (used) provided by operating activities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r>
      <w:tr>
        <w:trPr>
          <w:trHeight w:val="19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8"/>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r>
      <w:tr>
        <w:trPr>
          <w:trHeight w:val="197"/>
        </w:trPr>
        <w:tc>
          <w:tcPr>
            <w:tcW w:w="20" w:type="dxa"/>
            <w:vAlign w:val="bottom"/>
            <w:shd w:val="clear" w:color="auto" w:fill="CCEEFF"/>
          </w:tcPr>
          <w:p>
            <w:pPr>
              <w:spacing w:after="0"/>
              <w:rPr>
                <w:sz w:val="17"/>
                <w:szCs w:val="17"/>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6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6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r>
      <w:tr>
        <w:trPr>
          <w:trHeight w:val="207"/>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EFFECT OF EXCHANGE RATE ON CASH, CASH EQUIVALENTS, AND RESTRICTED CASH</w:t>
            </w: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5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 and share amounts 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right"/>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jc w:val="center"/>
              <w:ind w:right="41"/>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4"/>
        </w:trPr>
        <w:tc>
          <w:tcPr>
            <w:tcW w:w="2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88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16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462</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1,371</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1,433</w:t>
            </w:r>
          </w:p>
        </w:tc>
        <w:tc>
          <w:tcPr>
            <w:tcW w:w="0" w:type="dxa"/>
            <w:vAlign w:val="bottom"/>
          </w:tcPr>
          <w:p>
            <w:pPr>
              <w:spacing w:after="0"/>
              <w:rPr>
                <w:sz w:val="1"/>
                <w:szCs w:val="1"/>
                <w:color w:val="auto"/>
              </w:rPr>
            </w:pPr>
          </w:p>
        </w:tc>
      </w:tr>
      <w:tr>
        <w:trPr>
          <w:trHeight w:val="213"/>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($0.24 per share)</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70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7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awards</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76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88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16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1,375</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1,450</w:t>
            </w:r>
          </w:p>
        </w:tc>
        <w:tc>
          <w:tcPr>
            <w:tcW w:w="0" w:type="dxa"/>
            <w:vAlign w:val="bottom"/>
          </w:tcPr>
          <w:p>
            <w:pPr>
              <w:spacing w:after="0"/>
              <w:rPr>
                <w:sz w:val="1"/>
                <w:szCs w:val="1"/>
                <w:color w:val="auto"/>
              </w:rPr>
            </w:pPr>
          </w:p>
        </w:tc>
      </w:tr>
      <w:tr>
        <w:trPr>
          <w:trHeight w:val="292"/>
        </w:trPr>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right"/>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jc w:val="center"/>
              <w:ind w:right="81"/>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1,239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1,235</w:t>
            </w:r>
          </w:p>
        </w:tc>
        <w:tc>
          <w:tcPr>
            <w:tcW w:w="0" w:type="dxa"/>
            <w:vAlign w:val="bottom"/>
          </w:tcPr>
          <w:p>
            <w:pPr>
              <w:spacing w:after="0"/>
              <w:rPr>
                <w:sz w:val="1"/>
                <w:szCs w:val="1"/>
                <w:color w:val="auto"/>
              </w:rPr>
            </w:pPr>
          </w:p>
        </w:tc>
      </w:tr>
      <w:tr>
        <w:trPr>
          <w:trHeight w:val="213"/>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paid ($0.22 per share)</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700" w:type="dxa"/>
            <w:vAlign w:val="bottom"/>
            <w:gridSpan w:val="2"/>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stock-based awards</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65"/>
        </w:trPr>
        <w:tc>
          <w:tcPr>
            <w:tcW w:w="2700" w:type="dxa"/>
            <w:vAlign w:val="bottom"/>
            <w:gridSpan w:val="2"/>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w:t>
            </w: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with stock-based compensation</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March 31, 2022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1,601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1,613</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FOR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homebuilding and industrial businesses in North America and South America, with limited sales to Asia, Australia, and Europe. The Company operates 22 plants across the U.S., Canada, Chile, and Brazil through foreign subsidiaries, and operates additional facilities through a joint venture. References to "LP," the "Company," "we," "our," and "us" refer to Louisiana-Pacific Corporation and its consolidated subsidiaries as a whole.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sold our 50% equity interest in two joint ventures that produce I-joists to Resolute Forest Products Inc., and we sold the remaining assets related to the EWP segment to Pacific Woodtech Corporation, a Washington corporation, and Pacific Woodtech Canada Holdings Limited, a British Columbia limited company (collectively, the Purchaser). Accordingly, the results of our previously-owned EWP segment have been presented as discontinued operations in our Condensed Consolidated Statements of Income for all periods presented. See "Note 7 –Discontinued Operations"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2022, filed with the SEC on February 21, 2023 (2022 Annual Report on Form 10-K). Results of operations for interim periods are not necessarily indicative of results to be expected for an entire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 revenues, disaggregated by revenue source. 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in the segment reporting information in Note 16 below, our reportable segments are Siding, Oriented Strand Board (OSB), and South America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2023</w:t>
            </w:r>
          </w:p>
        </w:tc>
        <w:tc>
          <w:tcPr>
            <w:tcW w:w="1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40" w:type="dxa"/>
            <w:vAlign w:val="bottom"/>
          </w:tcPr>
          <w:p>
            <w:pPr>
              <w:spacing w:after="0"/>
              <w:rPr>
                <w:sz w:val="18"/>
                <w:szCs w:val="18"/>
                <w:color w:val="auto"/>
              </w:rPr>
            </w:pPr>
          </w:p>
        </w:tc>
        <w:tc>
          <w:tcPr>
            <w:tcW w:w="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w w:val="98"/>
              </w:rPr>
              <w:t>Other</w:t>
            </w:r>
          </w:p>
        </w:tc>
        <w:tc>
          <w:tcPr>
            <w:tcW w:w="24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2022</w:t>
            </w:r>
          </w:p>
        </w:tc>
        <w:tc>
          <w:tcPr>
            <w:tcW w:w="1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40" w:type="dxa"/>
            <w:vAlign w:val="bottom"/>
          </w:tcPr>
          <w:p>
            <w:pPr>
              <w:spacing w:after="0"/>
              <w:rPr>
                <w:sz w:val="18"/>
                <w:szCs w:val="18"/>
                <w:color w:val="auto"/>
              </w:rPr>
            </w:pPr>
          </w:p>
        </w:tc>
        <w:tc>
          <w:tcPr>
            <w:tcW w:w="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w w:val="98"/>
              </w:rPr>
              <w:t>Other</w:t>
            </w:r>
          </w:p>
        </w:tc>
        <w:tc>
          <w:tcPr>
            <w:tcW w:w="24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a contract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estimation of customer volume achievement and other factors incorporated into customer agreements, such as new product purchases, store sell-through, and merchandising support. Management adjusts accruals when circumstances indicate (typically as a result of a change in volume expectations).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from continuing operations are reported because the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and share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attributed to noncontrolling interest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for discontinued operations, net of income taxes</w:t>
            </w:r>
          </w:p>
        </w:tc>
        <w:tc>
          <w:tcPr>
            <w:tcW w:w="10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6"/>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10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for diluted earnings per share</w:t>
            </w: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basic:</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0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0" w:type="dxa"/>
            <w:vAlign w:val="bottom"/>
          </w:tcPr>
          <w:p>
            <w:pPr>
              <w:spacing w:after="0"/>
              <w:rPr>
                <w:sz w:val="1"/>
                <w:szCs w:val="1"/>
                <w:color w:val="auto"/>
              </w:rPr>
            </w:pPr>
          </w:p>
        </w:tc>
      </w:tr>
      <w:tr>
        <w:trPr>
          <w:trHeight w:val="236"/>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 per share - basic</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diluted:</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08"/>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 per share - diluted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0.29</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5.60</w:t>
            </w: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3.625% Senior Notes due in 2029 (2029 Senior Notes) was estimated to be $302 million and $306 million as of March 31, 2023 and December 31, 2022, respectively, based on market quotations.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LP entered into a Second Amended and Restated Credit Agreement with American AgCredit, PCA, as administrative agent and sole lead arranger, and CoBank, ACB, as letter of credit issuer (the Credit Agreement), relating to its revolving credit facility (as amended, the Amended Credit Facility). The Credit Agreement provides for a revolving credit facility in the principal amount of up to $550 million, with a $60 million sub-limit for letters of credit. The Credit Agreement, and all loans thereunder, become due on November 29,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there were no outstanding amounts borrowed under our Amended Credit Facility. As of May, 3, 2023, there was $45 million outstanding under the Amended Credit Facility.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Carrying amounts reported on the balance sheet for cash and cash equivalents, accounts receivables, and accounts payable approximate fair value due to the short-term maturity of these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consisted of the following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68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80" w:type="dxa"/>
            <w:vAlign w:val="bottom"/>
            <w:tcBorders>
              <w:bottom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Other receivables as of March 31, 2023 and December 31, 2022, primarily consist of sales tax receivables, vendor rebates, and other miscellaneous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68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inventories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80" w:type="dxa"/>
            <w:vAlign w:val="bottom"/>
            <w:tcBorders>
              <w:bottom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Wood Products (EWP)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the Company sold its 50% equity interest in two joint ventures that produce I-joists to Resolute Forest Products Inc. for $59 million, resulting in a pre-tax gain associated with the sale of $39 million recorded in the year ended December 31, 2022 within Income from discontinued operations, net of income taxes in the Condensed Consolidated Statements of Income.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2022, the Company completed the sale of the assets related to the EWP segment to the Purchaser. As a result of the sale, the Company received $217 million in gross cash proceeds after taking into account working capital adjustments. The Company paid $12 million in direct transaction costs, resulting in net proceeds of $205 million. During the year ended December 31, 2022, the Company recorded a pre-tax gain of approximately $118 million within Income from discontinued operations, net of income taxes in the Condensed Consolidated Statements of Income.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closing, the Company entered into the transition services agreement (TSA) with the Purchaser, pursuant to which the Company agreed to support the various activities of the EWP segment for a period not to exceed eight months, which concluded during the three months ended March 31, 2023. During the three months ended March 31, 2023, the Company collected $11 million on the Purchaser's behalf pursuant to the TSA. As of March 31, 2023,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no amounts due to or due from the Purchaser.</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the results of its EWP segment as discontinued operations in its Condensed Consolidated Statements of Income for the prior period presented. The following table presents the financial results of the EWP segment for the three months ended March 31, 2022 (dollar amounts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r>
      <w:tr>
        <w:trPr>
          <w:trHeight w:val="213"/>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0"/>
        </w:trPr>
        <w:tc>
          <w:tcPr>
            <w:tcW w:w="8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of discontinued operations</w:t>
            </w:r>
          </w:p>
        </w:tc>
        <w:tc>
          <w:tcPr>
            <w:tcW w:w="1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w w:val="99"/>
              </w:rPr>
              <w:t>38</w:t>
            </w:r>
          </w:p>
        </w:tc>
      </w:tr>
      <w:tr>
        <w:trPr>
          <w:trHeight w:val="213"/>
        </w:trPr>
        <w:tc>
          <w:tcPr>
            <w:tcW w:w="8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160" w:type="dxa"/>
            <w:vAlign w:val="bottom"/>
          </w:tcPr>
          <w:p>
            <w:pPr>
              <w:spacing w:after="0"/>
              <w:rPr>
                <w:sz w:val="18"/>
                <w:szCs w:val="18"/>
                <w:color w:val="auto"/>
              </w:rPr>
            </w:pPr>
          </w:p>
        </w:tc>
        <w:tc>
          <w:tcPr>
            <w:tcW w:w="136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disposal before income taxes</w:t>
            </w:r>
          </w:p>
        </w:tc>
        <w:tc>
          <w:tcPr>
            <w:tcW w:w="1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39</w:t>
            </w:r>
          </w:p>
        </w:tc>
      </w:tr>
      <w:tr>
        <w:trPr>
          <w:trHeight w:val="208"/>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before income taxes</w:t>
            </w:r>
          </w:p>
        </w:tc>
        <w:tc>
          <w:tcPr>
            <w:tcW w:w="1160" w:type="dxa"/>
            <w:vAlign w:val="bottom"/>
          </w:tcPr>
          <w:p>
            <w:pPr>
              <w:spacing w:after="0"/>
              <w:rPr>
                <w:sz w:val="18"/>
                <w:szCs w:val="18"/>
                <w:color w:val="auto"/>
              </w:rPr>
            </w:pPr>
          </w:p>
        </w:tc>
        <w:tc>
          <w:tcPr>
            <w:tcW w:w="136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w w:val="99"/>
              </w:rPr>
              <w:t>77</w:t>
            </w:r>
          </w:p>
        </w:tc>
      </w:tr>
      <w:tr>
        <w:trPr>
          <w:trHeight w:val="218"/>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income taxes</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w w:val="99"/>
              </w:rPr>
              <w:t>62</w:t>
            </w:r>
          </w:p>
        </w:tc>
      </w:tr>
      <w:tr>
        <w:trPr>
          <w:trHeight w:val="22"/>
        </w:trPr>
        <w:tc>
          <w:tcPr>
            <w:tcW w:w="8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total cash provided by operations and total cash provided by investing activities related to the EWP segment and included in the Condensed Consolidated Statements of Cash Flows for the three months ended March 31, 2022 (dollar amounts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jc w:val="right"/>
              <w:ind w:right="2519"/>
              <w:spacing w:after="0"/>
              <w:rPr>
                <w:sz w:val="20"/>
                <w:szCs w:val="20"/>
                <w:color w:val="auto"/>
              </w:rPr>
            </w:pPr>
            <w:r>
              <w:rPr>
                <w:rFonts w:ascii="Times New Roman" w:cs="Times New Roman" w:eastAsia="Times New Roman" w:hAnsi="Times New Roman"/>
                <w:sz w:val="16"/>
                <w:szCs w:val="16"/>
                <w:color w:val="auto"/>
              </w:rPr>
              <w:t>Net cash provided by discontinued operating activities</w:t>
            </w:r>
          </w:p>
        </w:tc>
        <w:tc>
          <w:tcPr>
            <w:tcW w:w="376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6160" w:type="dxa"/>
            <w:vAlign w:val="bottom"/>
          </w:tcPr>
          <w:p>
            <w:pPr>
              <w:jc w:val="right"/>
              <w:ind w:right="2539"/>
              <w:spacing w:after="0"/>
              <w:rPr>
                <w:sz w:val="20"/>
                <w:szCs w:val="20"/>
                <w:color w:val="auto"/>
              </w:rPr>
            </w:pPr>
            <w:r>
              <w:rPr>
                <w:rFonts w:ascii="Times New Roman" w:cs="Times New Roman" w:eastAsia="Times New Roman" w:hAnsi="Times New Roman"/>
                <w:sz w:val="16"/>
                <w:szCs w:val="16"/>
                <w:color w:val="auto"/>
              </w:rPr>
              <w:t>Net cash provided by discontinued investing activities</w:t>
            </w:r>
          </w:p>
        </w:tc>
        <w:tc>
          <w:tcPr>
            <w:tcW w:w="376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bl>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discontinued investing activities for the three months ended March 31, 2022, includes $59 million of proceeds from the sale of our 50% equity interest in two joint ventures that produce I-joists.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OTHER INTANGIBLES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goodwill and other intangible assets for the three months ended March 31, 2023, are provided in the following table (dollar amounts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Timber Licenses</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6"/>
                <w:szCs w:val="16"/>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Developed</w:t>
            </w:r>
          </w:p>
        </w:tc>
        <w:tc>
          <w:tcPr>
            <w:tcW w:w="200" w:type="dxa"/>
            <w:vAlign w:val="bottom"/>
          </w:tcPr>
          <w:p>
            <w:pPr>
              <w:spacing w:after="0"/>
              <w:rPr>
                <w:sz w:val="16"/>
                <w:szCs w:val="16"/>
                <w:color w:val="auto"/>
              </w:rPr>
            </w:pPr>
          </w:p>
        </w:tc>
        <w:tc>
          <w:tcPr>
            <w:tcW w:w="12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Trademarks</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2022</w:t>
            </w: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58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March 31, 2023</w:t>
            </w: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provision for income taxes from continuing operations for the three months ended March 31, 2023 and 2022, reflected an estimated annual effective tax rate of 28% and 24%, respectively, excluding discrete items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discussed below. The total effective tax rate for continuing operations for the three months ended March 31, 2023 was 5%, compared to 23% for the comparable period in 2022.</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net discrete tax benefits of $5 million and $9 million in the three months ended March 31, 2023 and 2022, respectively. The discrete benefits primarily relate to excess tax benefits from stock-based compensation and inflationary adjustments.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levies a 1% excise tax on net stock repurchases after December 31, 2022 and imposes a 15% corporate alternative minimum tax ("CAMT") for tax years beginning after December 31, 2022. The Company did not repurchase any shares during the three months ended March 31, 2023. CAMT is not expected to have a material impact on our results of operations or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reserves for various contingent liabilities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840" w:type="dxa"/>
            <w:vAlign w:val="bottom"/>
            <w:shd w:val="clear" w:color="auto" w:fill="CCEEFF"/>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18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9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contingencies</w:t>
            </w:r>
          </w:p>
        </w:tc>
        <w:tc>
          <w:tcPr>
            <w:tcW w:w="1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6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1840" w:type="dxa"/>
            <w:vAlign w:val="bottom"/>
            <w:tcBorders>
              <w:bottom w:val="single" w:sz="8" w:color="auto"/>
            </w:tcBorders>
            <w:shd w:val="clear" w:color="auto" w:fill="CCEEFF"/>
          </w:tcPr>
          <w:p>
            <w:pPr>
              <w:jc w:val="right"/>
              <w:ind w:right="16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6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b w:val="1"/>
                <w:bCs w:val="1"/>
                <w:color w:val="auto"/>
              </w:rPr>
              <w:t>26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and our subsidiaries are parties to certain legal proceedings. Based on the information currently available, management believes the resolution of such proceedings will not have a material effect on our financial position, results of operations, cash flows,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the carrying values of our long-lived assets.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March 31, 2023, there were no indications of impairment.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months ended March 31, 2023 and 2022, is summarized in the following table (dollar amounts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18"/>
                <w:szCs w:val="18"/>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to expense</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w:t>
            </w:r>
          </w:p>
        </w:tc>
        <w:tc>
          <w:tcPr>
            <w:tcW w:w="1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warranty reserves</w:t>
            </w: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Current portion of warranty reserves (included in Accounts payable and accrued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8"/>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Long-term portion of warranty reserves (included in Other long-term liabilities)</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22"/>
        </w:trPr>
        <w:tc>
          <w:tcPr>
            <w:tcW w:w="8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monitor warranty and other claims associated with our products and believe, as of March 31, 2023, that the warranty reserve balances associated with these matters are adequate to cover future warranty payments. However, it is possible that additional changes may be required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DEFINED BENEFIT PENSION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periodic pension cost for our defined benefit pension and postretirement plans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and 2022 (dollar amounts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8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components of net periodic pension cost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net loss</w:t>
            </w:r>
          </w:p>
        </w:tc>
        <w:tc>
          <w:tcPr>
            <w:tcW w:w="11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pension costs before loss due to settlement</w:t>
            </w: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due to settlement</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periodic pension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Other components of net periodic pension cost are included in Other non-operating items on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2021, the Company initiated the termination of our frozen U.S. and Canadian defined benefit pension plans (collectively, the Plan), which would result in the full settlement of the Company's Plan obligations. During the year ended December 31, 2022, the Company liquidated substantially all of the Plan assets to fund lump-sum distributions to participants and purchase non-participating group annuity contracts. As a result, a substantial portion of the Plan was settled during the year ended December 31, 2022. During the three months ended March 31, 2023, the Company completed the termination of the Plan resulting in recognition of non-cash, pre-tax charges of $6 million from Accumulated comprehensive loss to Other non-operating items in our Condensed Consolidated Statements of Income. Liquidation of remaining Plan assets in surplus of the defined benefit pension obligation will be made once the Plan satisfies all regulatory requirements, which is expected to be completed during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recognized in Other comprehensive loss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actuarial gain (loss) and prior service (cost) arising during the period, net of tax</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actuarial loss, prior service cost and settlements, net of tax</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amounts recognized in Other comprehensive income</w:t>
            </w:r>
          </w:p>
        </w:tc>
        <w:tc>
          <w:tcPr>
            <w:tcW w:w="1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three months ended March 31, 2023 and 2022 (dollar amounts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6"/>
                <w:szCs w:val="16"/>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16"/>
                <w:szCs w:val="16"/>
                <w:color w:val="auto"/>
              </w:rPr>
            </w:pPr>
          </w:p>
        </w:tc>
        <w:tc>
          <w:tcPr>
            <w:tcW w:w="106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7"/>
              </w:rPr>
              <w:t>(94)</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8"/>
                <w:szCs w:val="18"/>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7"/>
              </w:rPr>
              <w:t>(79)</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22"/>
                <w:szCs w:val="22"/>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22"/>
                <w:szCs w:val="22"/>
                <w:color w:val="auto"/>
              </w:rPr>
            </w:pPr>
          </w:p>
        </w:tc>
        <w:tc>
          <w:tcPr>
            <w:tcW w:w="106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7"/>
              </w:rPr>
              <w:t>(96)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8"/>
                <w:szCs w:val="18"/>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7"/>
              </w:rPr>
              <w:t>(73)</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Amounts of actuarial loss and prior service cost are components of net periodic benefit cost. See Note 14 above for additional details.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recoveries</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Reorganization charges</w:t>
            </w:r>
          </w:p>
        </w:tc>
        <w:tc>
          <w:tcPr>
            <w:tcW w:w="120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costs</w:t>
            </w:r>
          </w:p>
        </w:tc>
        <w:tc>
          <w:tcPr>
            <w:tcW w:w="1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credits and charges, net</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non-operating items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11"/>
        </w:trPr>
        <w:tc>
          <w:tcPr>
            <w:tcW w:w="79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pension cost, excluding service cost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non-operating items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SELECTED SEGMENT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three segments: Siding, OSB, and South America.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business segments based on Net sales and segment Adjusted EBITDA. Accordingly, our chief operating decision maker evaluates performance and allocates resources based primarily on Net sales and segment Adjusted EBITDA for our business segments. Segment Adjusted EBITDA is defined as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pension settlement charges, and other non-operating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Information about our business segments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09"/>
        </w:trPr>
        <w:tc>
          <w:tcPr>
            <w:tcW w:w="8040" w:type="dxa"/>
            <w:vAlign w:val="bottom"/>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r>
      <w:tr>
        <w:trPr>
          <w:trHeight w:val="197"/>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Siding</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OSB</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South America</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Intersegment sales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sales</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584</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TO ADJUSTED EBITDA RECONCILIATION</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w:t>
            </w:r>
          </w:p>
        </w:tc>
      </w:tr>
      <w:tr>
        <w:trPr>
          <w:trHeight w:val="218"/>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 (deduct):</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 attributed to noncontrolling interest</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8"/>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attributed to LP from continuing operations</w:t>
            </w: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r>
      <w:tr>
        <w:trPr>
          <w:trHeight w:val="218"/>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income</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Siding</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OSB</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 America</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Corporate</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Adjusted EBITDA</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2023, the Company announced the shutdown of Entekra Holdings, LLC (Entekra), an off-site framing operation previously reported within our "other" operating segment, which is expected to result in a pre-tax, non-cash charges of between $25 million and $30 million in the second quarter of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the Company acquired substantially all of the assets of Wawa OSB Inc., an Ontario, Canada corporation, for $80 million. The acquisition was funded together with cash on hand and borrowings under the Amended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 See "Cautionary Statement Regarding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reliability, and sustainability. Our manufacturing facilities are located in the U.S., Canada, Chile, and Brazil.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serve these markets, we primarily operate in three segments: Siding, OSB, and South America.</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2022, we sold our 50% equity interest in two joint ventures that produce I-joists to Resolute for $59 million. The joint ventures were comprised of Resolute-LP Engineered Wood Larouche Inc. in Larouche, Quebec, and Resolute-LP Engineered Wood St-Prime Limited Partnership in Saint-Prime, Quebec. In August 2022, LP completed the sale of the EWP segment assets to the Purchaser in exchange for the Purchaser’s payment to the Company of $217 million in gross cash proceeds. The historical results of the EWP segment are reflected in the Company’s Condensed Consolidated Financial Statements as discontinued operations. See "Note 7 – Discontinued Operations" of the Notes to the Condensed Consolidated Financial Statements included in Item 1 of this quarterly report on Form 10-Q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Building Products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products correlates positively with new home construction and repair and remodeling activity in North America, which historically has been characterized by significant cyclicality. The U.S. Census Bureau reported on April 18, 2023, that actual single-family housing starts were 29% lower for the three months ended March 31, 2023, as compared to the same period in 2022. Actual multi-family housing starts for the three months ended March 31, 2023 were about 5% higher as compared to the same period in 2022. Repair and remodeling activity is difficult to reasonably measure, but many indications suggest that repair and remodeling activity is continuing to show resiliency.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economic conditions in the United States and the demand for homes are uncertain due to inflationary impacts on the economy, including interest rates, employment levels, consumer confidence, and financial markets, among other things. Additionally, we have experienced increases in material prices, supply disruptions, and labor challenges, which we continue to address as we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Siding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Siding Solutions is a specialty building material and is subject to competition from various siding technologies, including vinyl, stucco, wood, fiber cement, brick, and others. We believe we are the largest manufacturer in the engineered wood siding market. We have consistently grown our Siding Solutions above the underlying market growth rates. Siding Solutions is generally less sensitive to new housing market cyclicality since demand comes from other markets, including sheds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Supply and Demand for OSB</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During the three months ended March 31, 2023, OSB commodity prices have fallen with the decline in market demand for OSB commodity product. We cannot predict whether the prices of our OSB products will remain at current levels or increase or decrease in the future.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factors affecting our results, refer to the “Overview” within our “Management's Discussion and Analysis of Financial Condition and Results of Operations” section and our “Risk Factors” section contained in our 2022 Annual Report on Form 10-K, and to the “Cautionary Statement Regarding Forward-Looking Statements” section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Condensed Consolidated Financial Statements included in our 2022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from continuing operations before interest expense, provision for income taxes, depreciation and amortization, and excluding stock-based compensation expense, loss on impairment attributed to LP, product-line discontinuance charges, other operating credits and charges, net, loss on early debt extinguishment, investment income, pension settlement charges, and other non-operating items as Adjusted EBITDA from continuing operations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from continuing operations, excluding loss on impairment attributed to LP, product-line discontinuance charges, interest expense outside of normal operations, other operating credits and charges, net, loss on early debt extinguishment, gain (loss) on acquisition, and pension settlement charges, and adjusting for a normalized tax rate, as Adjusted Income from continuing operations (Adjusted Income). We also disclose Adjusted Diluted EPS from continuing operations (Adjusted Diluted EPS),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Adjusted Income, and Adjusted Diluted EPS are not substitutes for the U.S. GAAP measures of Net income, Income attributed to LP from continuing operations, and Net income attributed to LP from continuing operations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8"/>
                <w:szCs w:val="18"/>
                <w:color w:val="auto"/>
              </w:rPr>
            </w:pPr>
          </w:p>
        </w:tc>
      </w:tr>
      <w:tr>
        <w:trPr>
          <w:trHeight w:val="211"/>
        </w:trPr>
        <w:tc>
          <w:tcPr>
            <w:tcW w:w="80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483</w:t>
            </w:r>
          </w:p>
        </w:tc>
      </w:tr>
      <w:tr>
        <w:trPr>
          <w:trHeight w:val="213"/>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Add (deduct):</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9"/>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 loss attributed to noncontrolling interest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10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10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income</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15"/>
        </w:trPr>
        <w:tc>
          <w:tcPr>
            <w:tcW w:w="80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8"/>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Siding</w:t>
            </w:r>
          </w:p>
        </w:tc>
        <w:tc>
          <w:tcPr>
            <w:tcW w:w="10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OSB</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America</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10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Adjusted EBITDA</w:t>
            </w: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r>
      <w:tr>
        <w:trPr>
          <w:trHeight w:val="21"/>
        </w:trPr>
        <w:tc>
          <w:tcPr>
            <w:tcW w:w="8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of Net income to Adjusted Income (dollar amounts in millions, except per share amounts):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 from continuing operations per share - diluted</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4.89</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483</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attributed to noncontrolling interest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10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8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Reported tax provision</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income before tax</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set forth: (1) housing starts, (2) our North American sales volume,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housing starts data presented by us may not be comparable to similarly-titled indicators reported by other companies.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 of units)</w:t>
            </w:r>
          </w:p>
        </w:tc>
        <w:tc>
          <w:tcPr>
            <w:tcW w:w="312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Housing starts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0"/>
        </w:trPr>
        <w:tc>
          <w:tcPr>
            <w:tcW w:w="8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3"/>
        </w:trPr>
        <w:tc>
          <w:tcPr>
            <w:tcW w:w="8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09" w:lineRule="exact"/>
        <w:rPr>
          <w:sz w:val="20"/>
          <w:szCs w:val="20"/>
          <w:color w:val="auto"/>
        </w:rPr>
      </w:pPr>
    </w:p>
    <w:p>
      <w:pPr>
        <w:ind w:left="100" w:hanging="74"/>
        <w:spacing w:after="0"/>
        <w:tabs>
          <w:tab w:leader="none" w:pos="1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Actual U.S. housing starts data reported by the U.S. Census Bureau as published through April 18,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OSB and South America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months ended March 31, 2023 and 2022:</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0"/>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0" w:type="dxa"/>
            <w:vAlign w:val="bottom"/>
          </w:tcPr>
          <w:p>
            <w:pPr>
              <w:spacing w:after="0"/>
              <w:rPr>
                <w:sz w:val="1"/>
                <w:szCs w:val="1"/>
                <w:color w:val="auto"/>
              </w:rPr>
            </w:pPr>
          </w:p>
        </w:tc>
      </w:tr>
      <w:tr>
        <w:trPr>
          <w:trHeight w:val="17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84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380"/>
              <w:spacing w:after="0" w:line="172" w:lineRule="exact"/>
              <w:rPr>
                <w:sz w:val="20"/>
                <w:szCs w:val="20"/>
                <w:color w:val="auto"/>
              </w:rPr>
            </w:pPr>
            <w:r>
              <w:rPr>
                <w:rFonts w:ascii="Times New Roman" w:cs="Times New Roman" w:eastAsia="Times New Roman" w:hAnsi="Times New Roman"/>
                <w:sz w:val="16"/>
                <w:szCs w:val="16"/>
                <w:b w:val="1"/>
                <w:bCs w:val="1"/>
                <w:color w:val="auto"/>
                <w:w w:val="94"/>
              </w:rPr>
              <w:t>South</w:t>
            </w:r>
          </w:p>
        </w:tc>
        <w:tc>
          <w:tcPr>
            <w:tcW w:w="9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4"/>
                <w:szCs w:val="14"/>
                <w:color w:val="auto"/>
              </w:rPr>
            </w:pPr>
          </w:p>
        </w:tc>
        <w:tc>
          <w:tcPr>
            <w:tcW w:w="96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w w:val="96"/>
              </w:rPr>
              <w:t>Siding</w:t>
            </w:r>
          </w:p>
        </w:tc>
        <w:tc>
          <w:tcPr>
            <w:tcW w:w="80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1020" w:type="dxa"/>
            <w:vAlign w:val="bottom"/>
            <w:gridSpan w:val="4"/>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auto"/>
              </w:rPr>
              <w:t>South</w:t>
            </w: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3"/>
              </w:rPr>
              <w:t>America</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72"/>
              </w:rPr>
              <w:t>America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 (MMSF)</w:t>
            </w:r>
          </w:p>
        </w:tc>
        <w:tc>
          <w:tcPr>
            <w:tcW w:w="1060" w:type="dxa"/>
            <w:vAlign w:val="bottom"/>
            <w:gridSpan w:val="3"/>
            <w:shd w:val="clear" w:color="auto" w:fill="CCEEFF"/>
          </w:tcPr>
          <w:p>
            <w:pPr>
              <w:jc w:val="center"/>
              <w:ind w:left="444"/>
              <w:spacing w:after="0"/>
              <w:rPr>
                <w:sz w:val="20"/>
                <w:szCs w:val="20"/>
                <w:color w:val="auto"/>
              </w:rPr>
            </w:pPr>
            <w:r>
              <w:rPr>
                <w:rFonts w:ascii="Times New Roman" w:cs="Times New Roman" w:eastAsia="Times New Roman" w:hAnsi="Times New Roman"/>
                <w:sz w:val="14"/>
                <w:szCs w:val="14"/>
                <w:color w:val="auto"/>
              </w:rPr>
              <w:t>383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421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 (MMSF)</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327</w:t>
            </w:r>
          </w:p>
        </w:tc>
        <w:tc>
          <w:tcPr>
            <w:tcW w:w="9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127</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525</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150</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It should be noted that other companies may present OEE differently, and therefore, as presented by us, OEE may not be comparable to similarly titled measures reported by other companies. OEE for the three months ended March 31, 2023 and 2022, for each of our segments is listed below:</w:t>
      </w:r>
    </w:p>
    <w:p>
      <w:pPr>
        <w:spacing w:after="0" w:line="12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716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9"/>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for each of our segments are discussed below, as are the results of operations for the “other” category, which comprises other products that are not individually significant. See Note 16 of the Notes to the Condensed Consolidated Financial Statements included in Item 1 of this quarterly report on Form 10-Q for further information regarding our segments.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Siding segment serves diverse end markets with a broad product offering of engineered wood siding, trim, and fascia,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w:t>
      </w:r>
    </w:p>
    <w:p>
      <w:pPr>
        <w:ind w:firstLine="8"/>
        <w:spacing w:after="0" w:line="219"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(collectively referred to as Siding Solutions).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4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4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36"/>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changes in average net sales price and unit shipments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34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r>
      <w:tr>
        <w:trPr>
          <w:trHeight w:val="214"/>
        </w:trPr>
        <w:tc>
          <w:tcPr>
            <w:tcW w:w="7420" w:type="dxa"/>
            <w:vAlign w:val="bottom"/>
          </w:tcPr>
          <w:p>
            <w:pPr>
              <w:spacing w:after="0"/>
              <w:rPr>
                <w:sz w:val="18"/>
                <w:szCs w:val="18"/>
                <w:color w:val="auto"/>
              </w:rPr>
            </w:pPr>
          </w:p>
        </w:tc>
        <w:tc>
          <w:tcPr>
            <w:tcW w:w="334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March 31, 2023 versus 2022</w:t>
            </w:r>
          </w:p>
        </w:tc>
        <w:tc>
          <w:tcPr>
            <w:tcW w:w="480" w:type="dxa"/>
            <w:vAlign w:val="bottom"/>
            <w:tcBorders>
              <w:bottom w:val="single" w:sz="8" w:color="auto"/>
            </w:tcBorders>
          </w:tcPr>
          <w:p>
            <w:pPr>
              <w:spacing w:after="0"/>
              <w:rPr>
                <w:sz w:val="18"/>
                <w:szCs w:val="18"/>
                <w:color w:val="auto"/>
              </w:rPr>
            </w:pPr>
          </w:p>
        </w:tc>
      </w:tr>
      <w:tr>
        <w:trPr>
          <w:trHeight w:val="157"/>
        </w:trPr>
        <w:tc>
          <w:tcPr>
            <w:tcW w:w="7420" w:type="dxa"/>
            <w:vAlign w:val="bottom"/>
          </w:tcPr>
          <w:p>
            <w:pPr>
              <w:spacing w:after="0"/>
              <w:rPr>
                <w:sz w:val="13"/>
                <w:szCs w:val="13"/>
                <w:color w:val="auto"/>
              </w:rPr>
            </w:pPr>
          </w:p>
        </w:tc>
        <w:tc>
          <w:tcPr>
            <w:tcW w:w="1400" w:type="dxa"/>
            <w:vAlign w:val="bottom"/>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left="39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80" w:type="dxa"/>
            <w:vAlign w:val="bottom"/>
          </w:tcPr>
          <w:p>
            <w:pPr>
              <w:spacing w:after="0"/>
              <w:rPr>
                <w:sz w:val="13"/>
                <w:szCs w:val="13"/>
                <w:color w:val="auto"/>
              </w:rPr>
            </w:pPr>
          </w:p>
        </w:tc>
      </w:tr>
      <w:tr>
        <w:trPr>
          <w:trHeight w:val="213"/>
        </w:trPr>
        <w:tc>
          <w:tcPr>
            <w:tcW w:w="74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rPr>
              <w:t>Shipments</w:t>
            </w:r>
          </w:p>
        </w:tc>
        <w:tc>
          <w:tcPr>
            <w:tcW w:w="480" w:type="dxa"/>
            <w:vAlign w:val="bottom"/>
            <w:tcBorders>
              <w:bottom w:val="single" w:sz="8" w:color="auto"/>
            </w:tcBorders>
          </w:tcPr>
          <w:p>
            <w:pPr>
              <w:spacing w:after="0"/>
              <w:rPr>
                <w:sz w:val="18"/>
                <w:szCs w:val="18"/>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effects of list price increases and customer mix shifts drove year-over-year increases in the average net selling price for the three months ended March 31, 2023. The volume decrease for the three months ended March 31, 2023 was driven by a challenging new home construction market and elevated levels of channel inventory compared to the prior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decreased year-over-year by $15 million in the first quarter of 2023 due to lower volume and $17 million of raw material, freight and labor inflation, partially offset by an increase in the average net sales price.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11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our value-added OSB portfolio known as LP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LP NovaCore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Thermal Insulated Sheathing,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Sub-Flooring). OSB is manufactured using wood strands arranged in layers and bonded with resins.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3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4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08"/>
        </w:trPr>
        <w:tc>
          <w:tcPr>
            <w:tcW w:w="7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744</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r>
      <w:tr>
        <w:trPr>
          <w:trHeight w:val="22"/>
        </w:trPr>
        <w:tc>
          <w:tcPr>
            <w:tcW w:w="7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changes in average net sales price and unit shipments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330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r>
      <w:tr>
        <w:trPr>
          <w:trHeight w:val="214"/>
        </w:trPr>
        <w:tc>
          <w:tcPr>
            <w:tcW w:w="7440" w:type="dxa"/>
            <w:vAlign w:val="bottom"/>
          </w:tcPr>
          <w:p>
            <w:pPr>
              <w:spacing w:after="0"/>
              <w:rPr>
                <w:sz w:val="18"/>
                <w:szCs w:val="18"/>
                <w:color w:val="auto"/>
              </w:rPr>
            </w:pPr>
          </w:p>
        </w:tc>
        <w:tc>
          <w:tcPr>
            <w:tcW w:w="330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 2023 versus 2022</w:t>
            </w:r>
          </w:p>
        </w:tc>
        <w:tc>
          <w:tcPr>
            <w:tcW w:w="500" w:type="dxa"/>
            <w:vAlign w:val="bottom"/>
            <w:tcBorders>
              <w:bottom w:val="single" w:sz="8" w:color="auto"/>
            </w:tcBorders>
          </w:tcPr>
          <w:p>
            <w:pPr>
              <w:spacing w:after="0"/>
              <w:rPr>
                <w:sz w:val="18"/>
                <w:szCs w:val="18"/>
                <w:color w:val="auto"/>
              </w:rPr>
            </w:pPr>
          </w:p>
        </w:tc>
      </w:tr>
      <w:tr>
        <w:trPr>
          <w:trHeight w:val="157"/>
        </w:trPr>
        <w:tc>
          <w:tcPr>
            <w:tcW w:w="7440" w:type="dxa"/>
            <w:vAlign w:val="bottom"/>
          </w:tcPr>
          <w:p>
            <w:pPr>
              <w:spacing w:after="0"/>
              <w:rPr>
                <w:sz w:val="13"/>
                <w:szCs w:val="13"/>
                <w:color w:val="auto"/>
              </w:rPr>
            </w:pPr>
          </w:p>
        </w:tc>
        <w:tc>
          <w:tcPr>
            <w:tcW w:w="1380" w:type="dxa"/>
            <w:vAlign w:val="bottom"/>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92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500" w:type="dxa"/>
            <w:vAlign w:val="bottom"/>
          </w:tcPr>
          <w:p>
            <w:pPr>
              <w:spacing w:after="0"/>
              <w:rPr>
                <w:sz w:val="13"/>
                <w:szCs w:val="13"/>
                <w:color w:val="auto"/>
              </w:rPr>
            </w:pPr>
          </w:p>
        </w:tc>
      </w:tr>
      <w:tr>
        <w:trPr>
          <w:trHeight w:val="213"/>
        </w:trPr>
        <w:tc>
          <w:tcPr>
            <w:tcW w:w="7440" w:type="dxa"/>
            <w:vAlign w:val="bottom"/>
          </w:tcPr>
          <w:p>
            <w:pPr>
              <w:spacing w:after="0"/>
              <w:rPr>
                <w:sz w:val="18"/>
                <w:szCs w:val="18"/>
                <w:color w:val="auto"/>
              </w:rPr>
            </w:pPr>
          </w:p>
        </w:tc>
        <w:tc>
          <w:tcPr>
            <w:tcW w:w="1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Shipments</w:t>
            </w:r>
          </w:p>
        </w:tc>
        <w:tc>
          <w:tcPr>
            <w:tcW w:w="500" w:type="dxa"/>
            <w:vAlign w:val="bottom"/>
          </w:tcPr>
          <w:p>
            <w:pPr>
              <w:spacing w:after="0"/>
              <w:rPr>
                <w:sz w:val="18"/>
                <w:szCs w:val="18"/>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92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rPr>
              <w:t>(56)%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192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rPr>
              <w:t>(74)%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net sales decrease of $555 million for the three months ended March 31, 2023 reflects a $470 million decrease in OSB prices, a $51 million decrease in sales volume from production curtailments, and a $27 million decrease related in production volume from the conversion of the Sagola mill to Siding production.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decrease in Adjusted EBITDA of $500 million for the three months ended March 31, 2023 reflects lower OSB prices and sales volume (as described above) and increased raw material and wage inflation of $7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America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Colombia, Argentina, and Paraguay.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3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were as follows (dollar amounts in millions):</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3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08"/>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r>
      <w:tr>
        <w:trPr>
          <w:trHeight w:val="22"/>
        </w:trPr>
        <w:tc>
          <w:tcPr>
            <w:tcW w:w="7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changes in average Net sales price and unit shipments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3320" w:type="dxa"/>
            <w:vAlign w:val="bottom"/>
            <w:gridSpan w:val="4"/>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r>
      <w:tr>
        <w:trPr>
          <w:trHeight w:val="214"/>
        </w:trPr>
        <w:tc>
          <w:tcPr>
            <w:tcW w:w="7400" w:type="dxa"/>
            <w:vAlign w:val="bottom"/>
          </w:tcPr>
          <w:p>
            <w:pPr>
              <w:spacing w:after="0"/>
              <w:rPr>
                <w:sz w:val="18"/>
                <w:szCs w:val="18"/>
                <w:color w:val="auto"/>
              </w:rPr>
            </w:pPr>
          </w:p>
        </w:tc>
        <w:tc>
          <w:tcPr>
            <w:tcW w:w="33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March 31, 2023 versus 2022</w:t>
            </w:r>
          </w:p>
        </w:tc>
        <w:tc>
          <w:tcPr>
            <w:tcW w:w="520" w:type="dxa"/>
            <w:vAlign w:val="bottom"/>
            <w:tcBorders>
              <w:bottom w:val="single" w:sz="8" w:color="auto"/>
            </w:tcBorders>
          </w:tcPr>
          <w:p>
            <w:pPr>
              <w:spacing w:after="0"/>
              <w:rPr>
                <w:sz w:val="18"/>
                <w:szCs w:val="18"/>
                <w:color w:val="auto"/>
              </w:rPr>
            </w:pPr>
          </w:p>
        </w:tc>
      </w:tr>
      <w:tr>
        <w:trPr>
          <w:trHeight w:val="157"/>
        </w:trPr>
        <w:tc>
          <w:tcPr>
            <w:tcW w:w="7400" w:type="dxa"/>
            <w:vAlign w:val="bottom"/>
          </w:tcPr>
          <w:p>
            <w:pPr>
              <w:spacing w:after="0"/>
              <w:rPr>
                <w:sz w:val="13"/>
                <w:szCs w:val="13"/>
                <w:color w:val="auto"/>
              </w:rPr>
            </w:pPr>
          </w:p>
        </w:tc>
        <w:tc>
          <w:tcPr>
            <w:tcW w:w="1420" w:type="dxa"/>
            <w:vAlign w:val="bottom"/>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43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520" w:type="dxa"/>
            <w:vAlign w:val="bottom"/>
          </w:tcPr>
          <w:p>
            <w:pPr>
              <w:spacing w:after="0"/>
              <w:rPr>
                <w:sz w:val="13"/>
                <w:szCs w:val="13"/>
                <w:color w:val="auto"/>
              </w:rPr>
            </w:pPr>
          </w:p>
        </w:tc>
      </w:tr>
      <w:tr>
        <w:trPr>
          <w:trHeight w:val="213"/>
        </w:trPr>
        <w:tc>
          <w:tcPr>
            <w:tcW w:w="74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Shipments</w:t>
            </w:r>
          </w:p>
        </w:tc>
        <w:tc>
          <w:tcPr>
            <w:tcW w:w="520" w:type="dxa"/>
            <w:vAlign w:val="bottom"/>
            <w:tcBorders>
              <w:bottom w:val="single" w:sz="8" w:color="auto"/>
            </w:tcBorders>
          </w:tcPr>
          <w:p>
            <w:pPr>
              <w:spacing w:after="0"/>
              <w:rPr>
                <w:sz w:val="18"/>
                <w:szCs w:val="18"/>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 America net sales decreased year-over-year by $13 million, or 17%, for the three months ended March 31, 2023, predominantly driven by lower OSB sales volumes and pricing.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decrease in Adjusted EBITDA of $13 million for the three months ended March 31, 2023 reflects lower sales volumes and pricing as well as higher raw material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other products segment includes off-site framing operation Entekra Holdings LLC (Entekra), remaining timber and timberlands, and other minor products, services, and closed operations, which do not qualify as discontinued operations. Other net sales were $8 million for the three months ended March 31, 2023, as compared to $26 million for the corresponding period in 2022. The decrease in Other net sales for the three months ended March 31, 2023 was primarily due to lower Entekra sales volumes.</w:t>
      </w:r>
    </w:p>
    <w:p>
      <w:pPr>
        <w:spacing w:after="0" w:line="72" w:lineRule="exact"/>
        <w:rPr>
          <w:sz w:val="20"/>
          <w:szCs w:val="20"/>
          <w:color w:val="auto"/>
        </w:rPr>
      </w:pPr>
    </w:p>
    <w:p>
      <w:pPr>
        <w:ind w:right="660"/>
        <w:spacing w:after="0" w:line="375" w:lineRule="auto"/>
        <w:rPr>
          <w:sz w:val="20"/>
          <w:szCs w:val="20"/>
          <w:color w:val="auto"/>
        </w:rPr>
      </w:pPr>
      <w:r>
        <w:rPr>
          <w:rFonts w:ascii="Times New Roman" w:cs="Times New Roman" w:eastAsia="Times New Roman" w:hAnsi="Times New Roman"/>
          <w:sz w:val="18"/>
          <w:szCs w:val="18"/>
          <w:color w:val="auto"/>
        </w:rPr>
        <w:t xml:space="preserve">Adjusted EBITDA was $(9) million for the three months ended March 31, 2023, as compared to $(6) million for the corresponding period in 2022. </w:t>
      </w:r>
      <w:r>
        <w:rPr>
          <w:rFonts w:ascii="Times New Roman" w:cs="Times New Roman" w:eastAsia="Times New Roman" w:hAnsi="Times New Roman"/>
          <w:sz w:val="18"/>
          <w:szCs w:val="18"/>
          <w:i w:val="1"/>
          <w:iCs w:val="1"/>
          <w:color w:val="auto"/>
        </w:rPr>
        <w:t>Selling, General, and Administrative Expenses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$66 million for the three months ended March 31, 2023, compared to $62 million for the corresponding period in 2022. The increase in 2023 was due to increased labor, travel, and sales and marketing, partially offset by costs associated with stock compensation.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an estimated tax provision from continuing operations of $1 million and $124 million in the three months ended March 31, 2023, and 2022, respectively. The total effective tax rate for continuing operations for the three months ended March 31, 2023 and 2022 was 5% and 23%, respectively. Each quarter the income tax accrual is adjusted to the latest estimate, and the difference from the previously accrued year-to-date balance is recorded in the current quarter. For 2023 the primary differences between the U.S. statutory rate of 21% and the effective rate relates to benefits from stock-based compensation and inflationary adjustments, partially offset by expenses from state taxes and executive compensation deduction limitations. For 2022, the primary difference between the U.S. statutory rate of 21% and the effective rate relates to state income tax.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2022 Annual Report on Form 10-K and Note 10 of the Notes to the Condensed Consolidated Financial Statements included in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will continue to rely on our credit facility for any long-term funding not provided by operating cash flows. We may also, from time to time, issue and sell equity, debt, or hybrid securities or engage in other capital market transactions.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6" w:name="page27"/>
    <w:bookmarkEnd w:id="2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and 2022, cash provided by operations was $(119) million and $425 million, respectively. The decrease in cash provided by operations was primarily related a lower income from operations and timing of cash paid for income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and 2022, cash used in investing activities was $113 million and $33 million, respectively. During the three months ended March 31, 2022, we received $59 million in proceeds from the sale of our 50% equity interest in two joint ventures.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2023 and 2022, were $114 million and $92 million, respectively, primarily related to siding conversion expenditures and growth and maintenance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cash used in financing activities was $27 million. We paid cash dividends of $17 million and used $10 million to repurchase stock from employees in connection with income tax withholding requirements associated with our employee stock-based compensation plans.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cash used in financing activities was $137 million. During the three months ended March 31, 2022, we used $104 million to repurchase shares of LP common stock under the share repurchase program authorized by LP's Board of Directors in November 2021 for the repurchase of up to $500 million shares of LP common stock and we paid cash dividends of $19 million. Additionally, we used $15 million to repurchase stock from employees in connection with income tax withholding requirements associated with our employee stock-based compensation plans.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Letter of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LP entered into the Credit Agreement with American AgCredit, PCA, as administrative agent and sole lead arranger, and CoBank, ACB, as letter of credit issuer, relating to the Amended Credit Facility. The Credit Agreement provides for a revolving credit facility in the principal amount of up to $550 million, with a $60 million sub-limit for letters of credit. The Credit Agreement, and all loans thereunder, become due on November 29, 2028. As of March 31, 2023, we had no amounts outstanding under the Amended Credit Facility. As of May 3, 2023, the outstanding amount under the Amended Credit Facility was $45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and customary events of default. The breach of restrictive covenants or the occurrence of any other event of default under the Credit Agreement could result in the acceleration of our obligation to repay the indebtedness outstanding thereunder. The Credit Agreement also contains financial covenants that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57.5%. As of March 31, 2023, we were in compliance with all financial covenants under the Credit Agreement.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LP entered into the Letter of Credit Facility, which provides for the funding of letters of credit up to an aggregate outstanding amount of $20 million, which may be secured by certain cash collateral of LP. The Letter of Credit Facility provides for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As of March 31, 2023, we were in compliance with all covenants under the Letter of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we had standby letters of credit of $13 million outstanding related to collateral for environmental impact on owned properties, a deposit for a forestry license, and insurance collateral, including workers'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Impairments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the carrying values of our long-lived assets as of March 31, 2023. In April 2023, we announced the shutdown of Entekra. We expect this to result in a pre-tax, non-cash impairment charge of between $25 million and $30 million in the second quarter of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March 31, 2023, there were no indications of impairment.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Canadian dollar, the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previously disclosed under the caption “Item 7A. Quantitative and Qualitative Disclosures about Market Risk” in our 2022 Annual Report on Form 10-K.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March 31, 2023, we had no outstanding amounts borrowed under our Amended Credit Facility. We do not currently have any derivative or hedging arrangements, or other known exposures, to changes in interest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historically have not entered into material commodity futures and swaps, although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2023,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March 31, 2023, LP’s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of this quarterly report on Form 10-Q under Note 10 of the Notes to the Condensed Consolidated Financial Statements contained herein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of the Company’s 2022 Annual Report on Form 10-K. Except as set forth below, there were no material changes to the risk factors previously disclosed under the caption "Item 1A. Risk Factors" in Part I of our 2022 Annual Report on Form 10-K.</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cash, cash equivalents and investments could be adversely affected if the financial institutions in which we hold our cash, cash equivalents and investments fail.</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(the “FDIC”) insurance limit. The FDIC took control and was appointed receiver of Silicon Valley Bank and New York Signature Bank on March 10, 2023 and March 12, 2023, respectively. The Company does not have any direct exposure to Silicon Valley Bank or New York Signature Bank. However,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risks described in our 2022 Annual Report on Form 10-K, as supplemented above,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200" w:lineRule="exact"/>
        <w:rPr>
          <w:sz w:val="20"/>
          <w:szCs w:val="20"/>
          <w:color w:val="auto"/>
        </w:rPr>
      </w:pP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 2022, LP's Board of Directors authorized a share repurchase program under which LP was authorized to repurchase shares of its common stock totaling up to $600 million (the 2022 Share Repurchase Program). No purchases were made under the 2022 Share Repurchase Program during the first quarter of 2023. As of March 31, 2023, LP had repurchased common stock totaling $400 million under the 2022 Share Repurchase Program. LP may initiate, discontinue, or resume purchases of its common stock under the 2022 Share Repurchase Program in the open market, in block, and in privately negotiated transactions, including under Rule 10b5-1 plans, at times and in such amounts as management deems appropriate without prior notice, subject to market and business conditions, regulatory requirements,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8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0"/>
        </w:trPr>
        <w:tc>
          <w:tcPr>
            <w:tcW w:w="460" w:type="dxa"/>
            <w:vAlign w:val="bottom"/>
            <w:gridSpan w:val="2"/>
          </w:tcPr>
          <w:p>
            <w:pPr>
              <w:spacing w:after="0"/>
              <w:rPr>
                <w:sz w:val="24"/>
                <w:szCs w:val="24"/>
                <w:color w:val="auto"/>
              </w:rPr>
            </w:pPr>
          </w:p>
        </w:tc>
        <w:tc>
          <w:tcPr>
            <w:tcW w:w="260" w:type="dxa"/>
            <w:vAlign w:val="bottom"/>
            <w:gridSpan w:val="2"/>
          </w:tcPr>
          <w:p>
            <w:pPr>
              <w:jc w:val="center"/>
              <w:ind w:right="60"/>
              <w:spacing w:after="0"/>
              <w:rPr>
                <w:rFonts w:ascii="Times New Roman" w:cs="Times New Roman" w:eastAsia="Times New Roman" w:hAnsi="Times New Roman"/>
                <w:sz w:val="18"/>
                <w:szCs w:val="18"/>
                <w:color w:val="0000FF"/>
                <w:w w:val="88"/>
              </w:rPr>
            </w:pPr>
            <w:hyperlink r:id="rId49">
              <w:r>
                <w:rPr>
                  <w:rFonts w:ascii="Times New Roman" w:cs="Times New Roman" w:eastAsia="Times New Roman" w:hAnsi="Times New Roman"/>
                  <w:sz w:val="18"/>
                  <w:szCs w:val="18"/>
                  <w:color w:val="0000FF"/>
                  <w:w w:val="88"/>
                </w:rPr>
                <w:t>2.</w:t>
              </w:r>
              <w:r>
                <w:rPr>
                  <w:rFonts w:ascii="Times New Roman" w:cs="Times New Roman" w:eastAsia="Times New Roman" w:hAnsi="Times New Roman"/>
                  <w:sz w:val="18"/>
                  <w:szCs w:val="18"/>
                  <w:u w:val="single" w:color="auto"/>
                  <w:color w:val="0000FF"/>
                  <w:w w:val="88"/>
                </w:rPr>
                <w:t>1</w:t>
              </w:r>
            </w:hyperlink>
          </w:p>
        </w:tc>
        <w:tc>
          <w:tcPr>
            <w:tcW w:w="420" w:type="dxa"/>
            <w:vAlign w:val="bottom"/>
          </w:tcPr>
          <w:p>
            <w:pPr>
              <w:spacing w:after="0"/>
              <w:rPr>
                <w:sz w:val="24"/>
                <w:szCs w:val="24"/>
                <w:color w:val="auto"/>
              </w:rPr>
            </w:pPr>
          </w:p>
        </w:tc>
        <w:tc>
          <w:tcPr>
            <w:tcW w:w="10080" w:type="dxa"/>
            <w:vAlign w:val="bottom"/>
            <w:gridSpan w:val="11"/>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Asset Purchase Agreement, dated as of June 21, 2022, by and among Louisiana-Pacific Corporation, Louisiana-Pacific Canada LTD,</w:t>
              </w:r>
            </w:hyperlink>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gridSpan w:val="11"/>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Pacific Woodtech Corporation and Pacific Woodtech Canada Holdings Limited. Incorporated herein by reference to Exhibit 2.1 to LP’s</w:t>
              </w:r>
            </w:hyperlink>
          </w:p>
        </w:tc>
      </w:tr>
      <w:tr>
        <w:trPr>
          <w:trHeight w:val="156"/>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Current Report on Form 8-K filed on June 22, 2022.***</w:t>
              </w:r>
            </w:hyperlink>
          </w:p>
        </w:tc>
        <w:tc>
          <w:tcPr>
            <w:tcW w:w="570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720" w:type="dxa"/>
            <w:vAlign w:val="bottom"/>
            <w:gridSpan w:val="4"/>
          </w:tcPr>
          <w:p>
            <w:pPr>
              <w:jc w:val="center"/>
              <w:ind w:left="31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4"/>
                <w:szCs w:val="24"/>
                <w:color w:val="auto"/>
              </w:rPr>
            </w:pPr>
          </w:p>
        </w:tc>
        <w:tc>
          <w:tcPr>
            <w:tcW w:w="10080" w:type="dxa"/>
            <w:vAlign w:val="bottom"/>
            <w:gridSpan w:val="11"/>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Form of Restricted Stock Unit Award Agreement for directors under the 2022 Omnibus Stock Award Plan. Incorporated herein by reference</w:t>
              </w:r>
            </w:hyperlink>
          </w:p>
        </w:tc>
      </w:tr>
      <w:tr>
        <w:trPr>
          <w:trHeight w:val="156"/>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hereto to Exhibit 10.22 to LP’s Annual Report on Form 10-K for the year ended December 31, 2022.</w:t>
              </w:r>
            </w:hyperlink>
          </w:p>
        </w:tc>
        <w:tc>
          <w:tcPr>
            <w:tcW w:w="28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720" w:type="dxa"/>
            <w:vAlign w:val="bottom"/>
            <w:gridSpan w:val="4"/>
          </w:tcPr>
          <w:p>
            <w:pPr>
              <w:jc w:val="center"/>
              <w:ind w:left="31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420" w:type="dxa"/>
            <w:vAlign w:val="bottom"/>
          </w:tcPr>
          <w:p>
            <w:pPr>
              <w:spacing w:after="0"/>
              <w:rPr>
                <w:sz w:val="24"/>
                <w:szCs w:val="24"/>
                <w:color w:val="auto"/>
              </w:rPr>
            </w:pPr>
          </w:p>
        </w:tc>
        <w:tc>
          <w:tcPr>
            <w:tcW w:w="10080" w:type="dxa"/>
            <w:vAlign w:val="bottom"/>
            <w:gridSpan w:val="11"/>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Restricted Stock Unit Award Agreement under the 2022 Omnibus Stock Award Plan. Incorporated herein by reference hereto to</w:t>
              </w:r>
            </w:hyperlink>
          </w:p>
        </w:tc>
      </w:tr>
      <w:tr>
        <w:trPr>
          <w:trHeight w:val="156"/>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Exhibit 10.23 to LP’s Annual Report on Form 10-K for the year ended December 31, 2022.</w:t>
              </w:r>
            </w:hyperlink>
          </w:p>
        </w:tc>
        <w:tc>
          <w:tcPr>
            <w:tcW w:w="3240" w:type="dxa"/>
            <w:vAlign w:val="bottom"/>
            <w:tcBorders>
              <w:top w:val="single" w:sz="8" w:color="0000FF"/>
            </w:tcBorders>
            <w:gridSpan w:val="6"/>
          </w:tcPr>
          <w:p>
            <w:pPr>
              <w:spacing w:after="0"/>
              <w:rPr>
                <w:sz w:val="13"/>
                <w:szCs w:val="13"/>
                <w:color w:val="auto"/>
              </w:rPr>
            </w:pPr>
          </w:p>
        </w:tc>
        <w:tc>
          <w:tcPr>
            <w:tcW w:w="280" w:type="dxa"/>
            <w:vAlign w:val="bottom"/>
            <w:gridSpan w:val="2"/>
          </w:tcPr>
          <w:p>
            <w:pPr>
              <w:spacing w:after="0"/>
              <w:rPr>
                <w:sz w:val="13"/>
                <w:szCs w:val="13"/>
                <w:color w:val="auto"/>
              </w:rPr>
            </w:pPr>
          </w:p>
        </w:tc>
      </w:tr>
      <w:tr>
        <w:trPr>
          <w:trHeight w:val="277"/>
        </w:trPr>
        <w:tc>
          <w:tcPr>
            <w:tcW w:w="720" w:type="dxa"/>
            <w:vAlign w:val="bottom"/>
            <w:gridSpan w:val="4"/>
          </w:tcPr>
          <w:p>
            <w:pPr>
              <w:jc w:val="center"/>
              <w:ind w:left="310"/>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20" w:type="dxa"/>
            <w:vAlign w:val="bottom"/>
          </w:tcPr>
          <w:p>
            <w:pPr>
              <w:spacing w:after="0"/>
              <w:rPr>
                <w:sz w:val="24"/>
                <w:szCs w:val="24"/>
                <w:color w:val="auto"/>
              </w:rPr>
            </w:pPr>
          </w:p>
        </w:tc>
        <w:tc>
          <w:tcPr>
            <w:tcW w:w="10080" w:type="dxa"/>
            <w:vAlign w:val="bottom"/>
            <w:gridSpan w:val="11"/>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Form of Performance Shares Award Agreement under the 2022 Omnibus Stock Award Plan. Incorporated herein by reference hereto to</w:t>
              </w:r>
            </w:hyperlink>
          </w:p>
        </w:tc>
      </w:tr>
      <w:tr>
        <w:trPr>
          <w:trHeight w:val="156"/>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Exhibit 10.24 to LP’s Annual Report on Form 10-K for the year ended December 31, 2022.</w:t>
              </w:r>
            </w:hyperlink>
          </w:p>
        </w:tc>
        <w:tc>
          <w:tcPr>
            <w:tcW w:w="3140" w:type="dxa"/>
            <w:vAlign w:val="bottom"/>
            <w:tcBorders>
              <w:top w:val="single" w:sz="8" w:color="0000FF"/>
            </w:tcBorders>
            <w:gridSpan w:val="4"/>
          </w:tcPr>
          <w:p>
            <w:pPr>
              <w:spacing w:after="0"/>
              <w:rPr>
                <w:sz w:val="13"/>
                <w:szCs w:val="13"/>
                <w:color w:val="auto"/>
              </w:rPr>
            </w:pPr>
          </w:p>
        </w:tc>
        <w:tc>
          <w:tcPr>
            <w:tcW w:w="380" w:type="dxa"/>
            <w:vAlign w:val="bottom"/>
            <w:gridSpan w:val="4"/>
          </w:tcPr>
          <w:p>
            <w:pPr>
              <w:spacing w:after="0"/>
              <w:rPr>
                <w:sz w:val="13"/>
                <w:szCs w:val="13"/>
                <w:color w:val="auto"/>
              </w:rPr>
            </w:pPr>
          </w:p>
        </w:tc>
      </w:tr>
      <w:tr>
        <w:trPr>
          <w:trHeight w:val="277"/>
        </w:trPr>
        <w:tc>
          <w:tcPr>
            <w:tcW w:w="7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2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Certifications of Chief Executive Officer Pursuant to Rule 13a-14(a) under the Securities Exchange Act of 1934. </w:t>
            </w:r>
            <w:r>
              <w:rPr>
                <w:rFonts w:ascii="Times New Roman" w:cs="Times New Roman" w:eastAsia="Times New Roman" w:hAnsi="Times New Roman"/>
                <w:sz w:val="18"/>
                <w:szCs w:val="18"/>
                <w:color w:val="000000"/>
              </w:rPr>
              <w:t>*</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00" w:type="dxa"/>
            <w:vAlign w:val="bottom"/>
            <w:tcBorders>
              <w:left w:val="single" w:sz="8" w:color="0000FF"/>
            </w:tcBorders>
            <w:gridSpan w:val="6"/>
          </w:tcPr>
          <w:p>
            <w:pPr>
              <w:spacing w:after="0" w:line="20" w:lineRule="exact"/>
              <w:rPr>
                <w:sz w:val="1"/>
                <w:szCs w:val="1"/>
                <w:color w:val="auto"/>
              </w:rPr>
            </w:pPr>
          </w:p>
        </w:tc>
      </w:tr>
      <w:tr>
        <w:trPr>
          <w:trHeight w:val="264"/>
        </w:trPr>
        <w:tc>
          <w:tcPr>
            <w:tcW w:w="7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20" w:type="dxa"/>
            <w:vAlign w:val="bottom"/>
          </w:tcPr>
          <w:p>
            <w:pPr>
              <w:spacing w:after="0"/>
              <w:rPr>
                <w:sz w:val="22"/>
                <w:szCs w:val="22"/>
                <w:color w:val="auto"/>
              </w:rPr>
            </w:pP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Certifications of Chief Financial Officer Pursuant to Rule 13a-14(a) under the Securities Exchange Act of 1934. </w:t>
            </w:r>
            <w:r>
              <w:rPr>
                <w:rFonts w:ascii="Times New Roman" w:cs="Times New Roman" w:eastAsia="Times New Roman" w:hAnsi="Times New Roman"/>
                <w:sz w:val="18"/>
                <w:szCs w:val="18"/>
                <w:color w:val="000000"/>
              </w:rPr>
              <w:t>*</w:t>
            </w:r>
          </w:p>
        </w:tc>
      </w:tr>
      <w:tr>
        <w:trPr>
          <w:trHeight w:val="20"/>
        </w:trPr>
        <w:tc>
          <w:tcPr>
            <w:tcW w:w="46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r>
      <w:tr>
        <w:trPr>
          <w:trHeight w:val="263"/>
        </w:trPr>
        <w:tc>
          <w:tcPr>
            <w:tcW w:w="460" w:type="dxa"/>
            <w:vAlign w:val="bottom"/>
            <w:gridSpan w:val="2"/>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Certifications pursuant to § 906 of the Sarbanes-Oxley Act of 2002. </w:t>
            </w:r>
            <w:r>
              <w:rPr>
                <w:rFonts w:ascii="Times New Roman" w:cs="Times New Roman" w:eastAsia="Times New Roman" w:hAnsi="Times New Roman"/>
                <w:sz w:val="18"/>
                <w:szCs w:val="18"/>
                <w:color w:val="000000"/>
              </w:rPr>
              <w:t>**</w:t>
            </w:r>
          </w:p>
        </w:tc>
      </w:tr>
      <w:tr>
        <w:trPr>
          <w:trHeight w:val="20"/>
        </w:trPr>
        <w:tc>
          <w:tcPr>
            <w:tcW w:w="4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r>
      <w:tr>
        <w:trPr>
          <w:trHeight w:val="250"/>
        </w:trPr>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101.INS</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92"/>
        </w:trPr>
        <w:tc>
          <w:tcPr>
            <w:tcW w:w="11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101.SCH</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101.PRE</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1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7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42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3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schedules and certain exhibits have been omitted pursuant to Item 601(b)(2) of Regulation S-K. The Asset Purchase Agreement as filed identifies such schedules and exhibits, including the general nature of their contents. Louisiana-Pacific Corporation will furnish a copy of any omitted attachment to the Securities and Exchange Commission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3, 2023</w:t>
            </w:r>
          </w:p>
        </w:tc>
        <w:tc>
          <w:tcPr>
            <w:tcW w:w="2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184"/>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 Bradley Southern</w:t>
            </w:r>
          </w:p>
        </w:tc>
      </w:tr>
      <w:tr>
        <w:trPr>
          <w:trHeight w:val="191"/>
        </w:trPr>
        <w:tc>
          <w:tcPr>
            <w:tcW w:w="6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5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3, 2023</w:t>
            </w:r>
          </w:p>
        </w:tc>
        <w:tc>
          <w:tcPr>
            <w:tcW w:w="2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J.M. HAUGHIE</w:t>
            </w:r>
          </w:p>
        </w:tc>
      </w:tr>
      <w:tr>
        <w:trPr>
          <w:trHeight w:val="184"/>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J.M. Haughie</w:t>
            </w:r>
          </w:p>
        </w:tc>
      </w:tr>
      <w:tr>
        <w:trPr>
          <w:trHeight w:val="191"/>
        </w:trPr>
        <w:tc>
          <w:tcPr>
            <w:tcW w:w="6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tc>
      </w:tr>
      <w:tr>
        <w:trPr>
          <w:trHeight w:val="203"/>
        </w:trPr>
        <w:tc>
          <w:tcPr>
            <w:tcW w:w="6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ectPr>
          <w:pgSz w:w="11900" w:h="16838" w:orient="portrait"/>
          <w:cols w:equalWidth="0" w:num="1">
            <w:col w:w="11240"/>
          </w:cols>
          <w:pgMar w:left="320" w:top="141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2023</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 BRADLEY SOUTHERN</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2023</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J.M. HAUGHIE</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113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in connection with the filing of the quarterly report on Form 10-Q of Louisiana-Pacific Corporation (the “Company”) for quarter ended March 31, 2023,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2023</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W. BRADLEY SOUTHERN</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Alan J.M. Haughie</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amp;"/>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49" Type="http://schemas.openxmlformats.org/officeDocument/2006/relationships/hyperlink" Target="https://www.sec.gov/ix?doc=/Archives/edgar/data/60519/000162828022017792/lpx-20220621.htm" TargetMode="External"/><Relationship Id="rId50" Type="http://schemas.openxmlformats.org/officeDocument/2006/relationships/hyperlink" Target="https://www.sec.gov/Archives/edgar/data/60519/000162828023004259/exhibit1022formofrestric.htm" TargetMode="External"/><Relationship Id="rId51" Type="http://schemas.openxmlformats.org/officeDocument/2006/relationships/hyperlink" Target="https://www.sec.gov/Archives/edgar/data/60519/000162828023004259/exhibit1023formofrestric.htm" TargetMode="External"/><Relationship Id="rId52" Type="http://schemas.openxmlformats.org/officeDocument/2006/relationships/hyperlink" Target="https://www.sec.gov/Archives/edgar/data/60519/000162828023004259/exhibit1024formofrestr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2023-05-03T14:59:07Z</dcterms:created>
  <dcterms:modified xsi:type="dcterms:W3CDTF">2023-05-03T14:59:07Z</dcterms:modified>
</cp:coreProperties>
</file>