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200025</wp:posOffset>
            </wp:positionH>
            <wp:positionV relativeFrom="page">
              <wp:posOffset>701675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675005</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66675</wp:posOffset>
            </wp:positionV>
            <wp:extent cx="17989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53340</wp:posOffset>
            </wp:positionV>
            <wp:extent cx="17989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09" w:lineRule="exact"/>
        <w:rPr>
          <w:sz w:val="24"/>
          <w:szCs w:val="24"/>
          <w:color w:val="auto"/>
        </w:rPr>
      </w:pPr>
    </w:p>
    <w:p>
      <w:pPr>
        <w:jc w:val="center"/>
        <w:ind w:left="3960" w:right="1200" w:hanging="2740"/>
        <w:spacing w:after="0" w:line="319" w:lineRule="auto"/>
        <w:tabs>
          <w:tab w:leader="none" w:pos="144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2025</w:t>
      </w:r>
    </w:p>
    <w:p>
      <w:pPr>
        <w:jc w:val="center"/>
        <w:ind w:left="4500" w:right="1160" w:hanging="3310"/>
        <w:spacing w:after="0" w:line="333" w:lineRule="auto"/>
        <w:tabs>
          <w:tab w:leader="none" w:pos="1464"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Commission File Number </w:t>
      </w:r>
      <w:r>
        <w:rPr>
          <w:rFonts w:ascii="Times New Roman" w:cs="Times New Roman" w:eastAsia="Times New Roman" w:hAnsi="Times New Roman"/>
          <w:sz w:val="14"/>
          <w:szCs w:val="14"/>
          <w:b w:val="1"/>
          <w:bCs w:val="1"/>
          <w:color w:val="auto"/>
        </w:rPr>
        <w:t>1-7107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-11430</wp:posOffset>
            </wp:positionV>
            <wp:extent cx="17989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5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LOUISIANA-PACIFIC CORPORATION</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46990</wp:posOffset>
            </wp:positionV>
            <wp:extent cx="17989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100" w:type="dxa"/>
            <w:vAlign w:val="bottom"/>
          </w:tcPr>
          <w:p>
            <w:pPr>
              <w:spacing w:after="0"/>
              <w:rPr>
                <w:sz w:val="15"/>
                <w:szCs w:val="15"/>
                <w:color w:val="auto"/>
              </w:rPr>
            </w:pPr>
          </w:p>
        </w:tc>
        <w:tc>
          <w:tcPr>
            <w:tcW w:w="3460" w:type="dxa"/>
            <w:vAlign w:val="bottom"/>
          </w:tcPr>
          <w:p>
            <w:pPr>
              <w:jc w:val="center"/>
              <w:ind w:left="1875"/>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0" w:type="dxa"/>
            <w:vAlign w:val="bottom"/>
          </w:tcPr>
          <w:p>
            <w:pPr>
              <w:jc w:val="center"/>
              <w:ind w:right="2035"/>
              <w:spacing w:after="0"/>
              <w:rPr>
                <w:sz w:val="20"/>
                <w:szCs w:val="20"/>
                <w:color w:val="auto"/>
              </w:rPr>
            </w:pPr>
            <w:r>
              <w:rPr>
                <w:rFonts w:ascii="Times New Roman" w:cs="Times New Roman" w:eastAsia="Times New Roman" w:hAnsi="Times New Roman"/>
                <w:sz w:val="14"/>
                <w:szCs w:val="14"/>
                <w:b w:val="1"/>
                <w:bCs w:val="1"/>
                <w:color w:val="auto"/>
              </w:rPr>
              <w:t>93-0609074</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9"/>
                <w:szCs w:val="9"/>
                <w:color w:val="auto"/>
              </w:rPr>
            </w:pPr>
          </w:p>
        </w:tc>
        <w:tc>
          <w:tcPr>
            <w:tcW w:w="3460" w:type="dxa"/>
            <w:vAlign w:val="bottom"/>
          </w:tcPr>
          <w:p>
            <w:pPr>
              <w:jc w:val="center"/>
              <w:ind w:left="1855"/>
              <w:spacing w:after="0" w:line="115"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0" w:type="dxa"/>
            <w:vAlign w:val="bottom"/>
          </w:tcPr>
          <w:p>
            <w:pPr>
              <w:jc w:val="center"/>
              <w:ind w:right="2035"/>
              <w:spacing w:after="0" w:line="115"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460" w:type="dxa"/>
            <w:vAlign w:val="bottom"/>
          </w:tcPr>
          <w:p>
            <w:pPr>
              <w:jc w:val="center"/>
              <w:ind w:left="1875"/>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0" w:type="dxa"/>
            <w:vAlign w:val="bottom"/>
          </w:tcPr>
          <w:p>
            <w:pPr>
              <w:jc w:val="center"/>
              <w:ind w:right="2035"/>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1610 West End Avenue, Suite 200, Nashville, TN 37203</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0" w:type="dxa"/>
            <w:vAlign w:val="bottom"/>
            <w:gridSpan w:val="3"/>
          </w:tcPr>
          <w:p>
            <w:pPr>
              <w:jc w:val="center"/>
              <w:ind w:right="74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2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(615) 986 - 5600</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8"/>
        </w:trPr>
        <w:tc>
          <w:tcPr>
            <w:tcW w:w="35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gridSpan w:val="2"/>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00" w:type="dxa"/>
            <w:vAlign w:val="bottom"/>
            <w:tcBorders>
              <w:right w:val="single" w:sz="8" w:color="auto"/>
            </w:tcBorders>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900" w:type="dxa"/>
            <w:vAlign w:val="bottom"/>
            <w:tcBorders>
              <w:bottom w:val="single" w:sz="8" w:color="auto"/>
              <w:right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4"/>
                <w:szCs w:val="14"/>
                <w:color w:val="auto"/>
              </w:rPr>
              <w:t>Trading Symbol</w:t>
            </w:r>
          </w:p>
        </w:tc>
        <w:tc>
          <w:tcPr>
            <w:tcW w:w="70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jc w:val="center"/>
              <w:ind w:right="655"/>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100" w:type="dxa"/>
            <w:vAlign w:val="bottom"/>
            <w:tcBorders>
              <w:right w:val="single" w:sz="8" w:color="auto"/>
            </w:tcBorders>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$1 par value</w:t>
            </w:r>
          </w:p>
        </w:tc>
        <w:tc>
          <w:tcPr>
            <w:tcW w:w="60" w:type="dxa"/>
            <w:vAlign w:val="bottom"/>
            <w:tcBorders>
              <w:bottom w:val="single" w:sz="8" w:color="auto"/>
              <w:right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900" w:type="dxa"/>
            <w:vAlign w:val="bottom"/>
            <w:tcBorders>
              <w:bottom w:val="single" w:sz="8" w:color="auto"/>
              <w:right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4"/>
                <w:szCs w:val="14"/>
                <w:color w:val="auto"/>
                <w:w w:val="98"/>
              </w:rPr>
              <w:t>LPX</w:t>
            </w:r>
          </w:p>
        </w:tc>
        <w:tc>
          <w:tcPr>
            <w:tcW w:w="700" w:type="dxa"/>
            <w:vAlign w:val="bottom"/>
            <w:tcBorders>
              <w:bottom w:val="single" w:sz="8" w:color="auto"/>
            </w:tcBorders>
          </w:tcPr>
          <w:p>
            <w:pPr>
              <w:spacing w:after="0"/>
              <w:rPr>
                <w:sz w:val="14"/>
                <w:szCs w:val="14"/>
                <w:color w:val="auto"/>
              </w:rPr>
            </w:pPr>
          </w:p>
        </w:tc>
        <w:tc>
          <w:tcPr>
            <w:tcW w:w="3400" w:type="dxa"/>
            <w:vAlign w:val="bottom"/>
            <w:tcBorders>
              <w:bottom w:val="single" w:sz="8" w:color="auto"/>
              <w:right w:val="single" w:sz="8" w:color="auto"/>
            </w:tcBorders>
          </w:tcPr>
          <w:p>
            <w:pPr>
              <w:jc w:val="center"/>
              <w:ind w:right="655"/>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60"/>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50"/>
        </w:trPr>
        <w:tc>
          <w:tcPr>
            <w:tcW w:w="244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Large accelerated filer</w:t>
            </w:r>
          </w:p>
        </w:tc>
        <w:tc>
          <w:tcPr>
            <w:tcW w:w="2560" w:type="dxa"/>
            <w:vAlign w:val="bottom"/>
          </w:tcPr>
          <w:p>
            <w:pPr>
              <w:ind w:left="880"/>
              <w:spacing w:after="0" w:line="151" w:lineRule="exact"/>
              <w:rPr>
                <w:sz w:val="20"/>
                <w:szCs w:val="20"/>
                <w:color w:val="auto"/>
              </w:rPr>
            </w:pPr>
            <w:r>
              <w:rPr>
                <w:rFonts w:ascii="Wingdings" w:cs="Wingdings" w:eastAsia="Wingdings" w:hAnsi="Wingdings"/>
                <w:sz w:val="14"/>
                <w:szCs w:val="14"/>
                <w:b w:val="1"/>
                <w:bCs w:val="1"/>
                <w:color w:val="auto"/>
              </w:rPr>
              <w:t>x</w:t>
            </w:r>
          </w:p>
        </w:tc>
        <w:tc>
          <w:tcPr>
            <w:tcW w:w="3920" w:type="dxa"/>
            <w:vAlign w:val="bottom"/>
          </w:tcPr>
          <w:p>
            <w:pPr>
              <w:ind w:left="1540"/>
              <w:spacing w:after="0" w:line="150" w:lineRule="exact"/>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40"/>
              <w:spacing w:after="0" w:line="151" w:lineRule="exact"/>
              <w:rPr>
                <w:sz w:val="20"/>
                <w:szCs w:val="20"/>
                <w:color w:val="auto"/>
              </w:rPr>
            </w:pPr>
            <w:r>
              <w:rPr>
                <w:rFonts w:ascii="Wingdings" w:cs="Wingdings" w:eastAsia="Wingdings" w:hAnsi="Wingdings"/>
                <w:sz w:val="14"/>
                <w:szCs w:val="14"/>
                <w:b w:val="1"/>
                <w:bCs w:val="1"/>
                <w:color w:val="auto"/>
                <w:w w:val="79"/>
              </w:rPr>
              <w:t>o</w:t>
            </w:r>
          </w:p>
        </w:tc>
      </w:tr>
      <w:tr>
        <w:trPr>
          <w:trHeight w:val="180"/>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560" w:type="dxa"/>
            <w:vAlign w:val="bottom"/>
          </w:tcPr>
          <w:p>
            <w:pPr>
              <w:ind w:left="880"/>
              <w:spacing w:after="0"/>
              <w:rPr>
                <w:sz w:val="20"/>
                <w:szCs w:val="20"/>
                <w:color w:val="auto"/>
              </w:rPr>
            </w:pPr>
            <w:r>
              <w:rPr>
                <w:rFonts w:ascii="Wingdings" w:cs="Wingdings" w:eastAsia="Wingdings" w:hAnsi="Wingdings"/>
                <w:sz w:val="14"/>
                <w:szCs w:val="14"/>
                <w:b w:val="1"/>
                <w:bCs w:val="1"/>
                <w:color w:val="auto"/>
              </w:rPr>
              <w:t>o</w:t>
            </w:r>
          </w:p>
        </w:tc>
        <w:tc>
          <w:tcPr>
            <w:tcW w:w="3920" w:type="dxa"/>
            <w:vAlign w:val="bottom"/>
          </w:tcPr>
          <w:p>
            <w:pPr>
              <w:ind w:left="15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37"/>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5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39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80" w:lineRule="exact"/>
        <w:rPr>
          <w:sz w:val="24"/>
          <w:szCs w:val="24"/>
          <w:color w:val="auto"/>
        </w:rPr>
      </w:pPr>
    </w:p>
    <w:p>
      <w:pPr>
        <w:ind w:right="200"/>
        <w:spacing w:after="0" w:line="263"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tabs>
          <w:tab w:leader="none" w:pos="65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2"/>
          <w:szCs w:val="12"/>
          <w:color w:val="auto"/>
        </w:rPr>
        <w:t>☒</w:t>
      </w:r>
    </w:p>
    <w:p>
      <w:pPr>
        <w:spacing w:after="0" w:line="79" w:lineRule="exact"/>
        <w:rPr>
          <w:sz w:val="24"/>
          <w:szCs w:val="24"/>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69,640,961 shares of common stock, $1 par value per share, outstanding as of August 4, 2025.</w:t>
      </w:r>
    </w:p>
    <w:p>
      <w:pPr>
        <w:ind w:right="320"/>
        <w:spacing w:after="0" w:line="290" w:lineRule="auto"/>
        <w:rPr>
          <w:sz w:val="20"/>
          <w:szCs w:val="20"/>
          <w:color w:val="auto"/>
        </w:rPr>
      </w:pPr>
      <w:r>
        <w:rPr>
          <w:rFonts w:ascii="Times New Roman" w:cs="Times New Roman" w:eastAsia="Times New Roman" w:hAnsi="Times New Roman"/>
          <w:sz w:val="14"/>
          <w:szCs w:val="14"/>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559435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19685</wp:posOffset>
            </wp:positionV>
            <wp:extent cx="71481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wp:posOffset>
            </wp:positionV>
            <wp:extent cx="71481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60"/>
          </w:cols>
          <w:pgMar w:left="300" w:top="116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Section 27A of the Securities Act of 1933, as amended,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quarterly report on Form 10-Q contains, and other reports and documents we file with, or furnish to, the Securities and Exchange Commission (SEC) may contain, forward-looking statements. These statements are based upon the beliefs and assumptions of, and on information currently available to, our management.</w:t>
      </w:r>
    </w:p>
    <w:p>
      <w:pPr>
        <w:spacing w:after="0" w:line="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statements are or may constitute forward-looking statements: statements preceded by, followed by or that include words like “may,” “will,” “could,” “should,” “believe,” “expect,” “anticipate,” “assume,” “intend,” “plan,” “estimate,” “project,” “target,” “potential,” “continue,” “likely,” or “future,” as well as similar expressions, or the negative or other variations thereof. Forward-looking statements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could cause actual results to differ materially from those expressed or implied by forward-looking statements include, but are not limited to, the following:</w:t>
      </w:r>
    </w:p>
    <w:p>
      <w:pPr>
        <w:spacing w:after="0" w:line="9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fiscal, trade, and monetary policies, including the imposition of higher or new tariffs, trade barriers, and levels of employment;</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and global economic conditions, including impacts from rising inflation, supply chain disruptions, new, ongoing, or escalated geopolitical or military conflicts or tensions including the conflict between Russia and Ukraine, the conflicts in the Middle East, tensions between the United States and China, and tensions between China and Taiwan;</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commodity nature of a segment of our products and the prices for those products, which are determined in significant part by external factors such as total industry capacity and wider industry cycles affecting supply and demand trends;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capital;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financing for home mortgages;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level of home construction and repair and remodel activity, including as a result of labor shortages;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competitive conditions and prices for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supply of and demand for building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or business conditions of third-party wholesale distributors and dealers of building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prices and the relationship between the supply of and demand for raw materials, including wood fiber and resins, used in manufacturing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energy, primarily natural gas, electricity, and diesel fuel;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transportation, including transportation services provided by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third-party vendors and suppliers for certain goods and services critical to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and financial impacts from manufacturing our products internationally;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the development, launch or production ramp-up of new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executives, management and other key employees;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formulate and implement effective succession plans from time to time for key members of our management team;</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public health issues (including global pandemics) on the economy, demand for our products or our operations, including the actions and recommendations of governmental authorities to contain such public health issues;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successfully complete and integrate acquisitions, divestitures, joint ventures, capital investments and other corporate strategic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 w:name="page3"/>
    <w:bookmarkEnd w:id="2"/>
    <w:p>
      <w:pPr>
        <w:jc w:val="both"/>
        <w:ind w:left="520" w:hanging="260"/>
        <w:spacing w:after="0" w:line="26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or regional climate conditions, the impacts of climate change, and potential government policies adopted in response to such conditions;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other significant operating expenses;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currency values and exchange rates between the U.S. dollar and other currencies, particularly the Canadian dollar, Brazilian real, Chilean peso, and Argentine peso;</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and interpretations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circumstances giving rise to environmental liabilities or expenditures;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warranty costs exceeding our warranty reserves;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to or exploitation of our intellectual property or other proprietary information by our competitors or other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existing and future product-related litigation, environmental proceedings and remediation efforts, and other legal or environmental proceedings or matters;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covenants and events of default contained in our debt instruments;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any repurchases of our common stock and the payment of dividends on our common stock, which will depend on market and business conditions and other considerations;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events affecting our information technology systems or those of our third-party providers and the related costs and impact of any disruption on our business;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public authorities, war, political or civil unrest, natural disasters, fire, floods, earthquakes, inclement weather, and other matters beyond our control.</w:t>
      </w:r>
    </w:p>
    <w:p>
      <w:pPr>
        <w:spacing w:after="0" w:line="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THIRD-PARTY INFORMATION</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In this quarterly report on Form 10-Q,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60" w:type="dxa"/>
            <w:vAlign w:val="bottom"/>
            <w:gridSpan w:val="4"/>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3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2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Amounts in millions, except per share amounts</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940" w:type="dxa"/>
            <w:vAlign w:val="bottom"/>
            <w:gridSpan w:val="2"/>
          </w:tcPr>
          <w:p>
            <w:pPr>
              <w:jc w:val="center"/>
              <w:ind w:left="1149"/>
              <w:spacing w:after="0"/>
              <w:rPr>
                <w:sz w:val="20"/>
                <w:szCs w:val="20"/>
                <w:color w:val="auto"/>
              </w:rPr>
            </w:pPr>
            <w:r>
              <w:rPr>
                <w:rFonts w:ascii="Times New Roman" w:cs="Times New Roman" w:eastAsia="Times New Roman" w:hAnsi="Times New Roman"/>
                <w:sz w:val="14"/>
                <w:szCs w:val="14"/>
                <w:color w:val="auto"/>
              </w:rPr>
              <w:t>(Unaudited)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9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3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20" w:type="dxa"/>
            <w:vAlign w:val="bottom"/>
          </w:tcPr>
          <w:p>
            <w:pPr>
              <w:spacing w:after="0"/>
              <w:rPr>
                <w:sz w:val="22"/>
                <w:szCs w:val="22"/>
                <w:color w:val="auto"/>
              </w:rPr>
            </w:pPr>
          </w:p>
        </w:tc>
        <w:tc>
          <w:tcPr>
            <w:tcW w:w="2540" w:type="dxa"/>
            <w:vAlign w:val="bottom"/>
            <w:gridSpan w:val="4"/>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61"/>
        </w:trPr>
        <w:tc>
          <w:tcPr>
            <w:tcW w:w="98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2"/>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30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1,539</w:t>
            </w:r>
          </w:p>
        </w:tc>
        <w:tc>
          <w:tcPr>
            <w:tcW w:w="0" w:type="dxa"/>
            <w:vAlign w:val="bottom"/>
          </w:tcPr>
          <w:p>
            <w:pPr>
              <w:spacing w:after="0"/>
              <w:rPr>
                <w:sz w:val="1"/>
                <w:szCs w:val="1"/>
                <w:color w:val="auto"/>
              </w:rPr>
            </w:pPr>
          </w:p>
        </w:tc>
      </w:tr>
      <w:tr>
        <w:trPr>
          <w:trHeight w:val="168"/>
        </w:trPr>
        <w:tc>
          <w:tcPr>
            <w:tcW w:w="9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Cost of sales</w:t>
            </w:r>
          </w:p>
        </w:tc>
        <w:tc>
          <w:tcPr>
            <w:tcW w:w="308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0" w:type="dxa"/>
            <w:vAlign w:val="bottom"/>
          </w:tcPr>
          <w:p>
            <w:pPr>
              <w:spacing w:after="0"/>
              <w:rPr>
                <w:sz w:val="1"/>
                <w:szCs w:val="1"/>
                <w:color w:val="auto"/>
              </w:rPr>
            </w:pPr>
          </w:p>
        </w:tc>
      </w:tr>
      <w:tr>
        <w:trPr>
          <w:trHeight w:val="163"/>
        </w:trPr>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30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0" w:type="dxa"/>
            <w:vAlign w:val="bottom"/>
          </w:tcPr>
          <w:p>
            <w:pPr>
              <w:spacing w:after="0"/>
              <w:rPr>
                <w:sz w:val="1"/>
                <w:szCs w:val="1"/>
                <w:color w:val="auto"/>
              </w:rPr>
            </w:pPr>
          </w:p>
        </w:tc>
      </w:tr>
      <w:tr>
        <w:trPr>
          <w:trHeight w:val="168"/>
        </w:trPr>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72"/>
        </w:trPr>
        <w:tc>
          <w:tcPr>
            <w:tcW w:w="4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Loss on impairment</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4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w:t>
            </w:r>
          </w:p>
        </w:tc>
        <w:tc>
          <w:tcPr>
            <w:tcW w:w="0" w:type="dxa"/>
            <w:vAlign w:val="bottom"/>
          </w:tcPr>
          <w:p>
            <w:pPr>
              <w:spacing w:after="0"/>
              <w:rPr>
                <w:sz w:val="1"/>
                <w:szCs w:val="1"/>
                <w:color w:val="auto"/>
              </w:rPr>
            </w:pPr>
          </w:p>
        </w:tc>
      </w:tr>
      <w:tr>
        <w:trPr>
          <w:trHeight w:val="168"/>
        </w:trPr>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Investment income</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4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Other non-operating income (expense)</w:t>
            </w:r>
          </w:p>
        </w:tc>
        <w:tc>
          <w:tcPr>
            <w:tcW w:w="14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3"/>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349</w:t>
            </w:r>
          </w:p>
        </w:tc>
        <w:tc>
          <w:tcPr>
            <w:tcW w:w="0" w:type="dxa"/>
            <w:vAlign w:val="bottom"/>
          </w:tcPr>
          <w:p>
            <w:pPr>
              <w:spacing w:after="0"/>
              <w:rPr>
                <w:sz w:val="1"/>
                <w:szCs w:val="1"/>
                <w:color w:val="auto"/>
              </w:rPr>
            </w:pPr>
          </w:p>
        </w:tc>
      </w:tr>
      <w:tr>
        <w:trPr>
          <w:trHeight w:val="168"/>
        </w:trPr>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72"/>
        </w:trPr>
        <w:tc>
          <w:tcPr>
            <w:tcW w:w="4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Equity in unconsolidated affiliate</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9"/>
        </w:trPr>
        <w:tc>
          <w:tcPr>
            <w:tcW w:w="98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3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396"/>
              <w:spacing w:after="0" w:line="13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54</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160</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145</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b w:val="1"/>
                <w:bCs w:val="1"/>
                <w:color w:val="auto"/>
              </w:rPr>
              <w:t>267</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8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of common stock:</w:t>
            </w: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30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30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vMerge w:val="continue"/>
          </w:tcPr>
          <w:p>
            <w:pPr>
              <w:spacing w:after="0"/>
              <w:rPr>
                <w:sz w:val="11"/>
                <w:szCs w:val="11"/>
                <w:color w:val="auto"/>
              </w:rPr>
            </w:pPr>
          </w:p>
        </w:tc>
        <w:tc>
          <w:tcPr>
            <w:tcW w:w="3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39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0.77</w:t>
            </w:r>
          </w:p>
        </w:tc>
        <w:tc>
          <w:tcPr>
            <w:tcW w:w="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21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2.23</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7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rPr>
                <w:sz w:val="15"/>
                <w:szCs w:val="15"/>
                <w:color w:val="auto"/>
              </w:rPr>
            </w:pPr>
          </w:p>
        </w:tc>
        <w:tc>
          <w:tcPr>
            <w:tcW w:w="30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Average shares of common stock used to compute net income per share:</w:t>
            </w:r>
          </w:p>
        </w:tc>
        <w:tc>
          <w:tcPr>
            <w:tcW w:w="1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30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3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vMerge w:val="continue"/>
          </w:tcPr>
          <w:p>
            <w:pPr>
              <w:spacing w:after="0"/>
              <w:rPr>
                <w:sz w:val="11"/>
                <w:szCs w:val="11"/>
                <w:color w:val="auto"/>
              </w:rPr>
            </w:pPr>
          </w:p>
        </w:tc>
        <w:tc>
          <w:tcPr>
            <w:tcW w:w="30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4"/>
          <w:szCs w:val="14"/>
          <w:color w:val="auto"/>
        </w:rPr>
        <w:t>Amounts in millions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234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56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b w:val="1"/>
                <w:bCs w:val="1"/>
                <w:color w:val="auto"/>
              </w:rPr>
              <w:t>267</w:t>
            </w:r>
          </w:p>
        </w:tc>
      </w:tr>
      <w:tr>
        <w:trPr>
          <w:trHeight w:val="168"/>
        </w:trPr>
        <w:tc>
          <w:tcPr>
            <w:tcW w:w="5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5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(20)</w:t>
            </w:r>
          </w:p>
        </w:tc>
      </w:tr>
      <w:tr>
        <w:trPr>
          <w:trHeight w:val="159"/>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163</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248</w:t>
            </w:r>
          </w:p>
        </w:tc>
      </w:tr>
      <w:tr>
        <w:trPr>
          <w:trHeight w:val="20"/>
        </w:trPr>
        <w:tc>
          <w:tcPr>
            <w:tcW w:w="5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200" w:type="dxa"/>
            <w:vAlign w:val="bottom"/>
          </w:tcPr>
          <w:p>
            <w:pPr>
              <w:spacing w:after="0"/>
              <w:rPr>
                <w:sz w:val="14"/>
                <w:szCs w:val="14"/>
                <w:color w:val="auto"/>
              </w:rPr>
            </w:pPr>
          </w:p>
        </w:tc>
        <w:tc>
          <w:tcPr>
            <w:tcW w:w="15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2"/>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Receivables, net of allowance for doubtful accounts of $1 as of June 30, 2025 and December 31, 2024</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59"/>
        </w:trPr>
        <w:tc>
          <w:tcPr>
            <w:tcW w:w="7640" w:type="dxa"/>
            <w:vAlign w:val="bottom"/>
          </w:tcPr>
          <w:p>
            <w:pPr>
              <w:ind w:left="28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855</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Timber and timberlands</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Operating lease assets, net</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Goodwill and other intangible assets</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Investments in and advances to affiliates</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assets</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Deferred tax asset</w:t>
            </w: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86"/>
        </w:trPr>
        <w:tc>
          <w:tcPr>
            <w:tcW w:w="76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2,656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2,569</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taxes payable</w:t>
            </w:r>
          </w:p>
        </w:tc>
        <w:tc>
          <w:tcPr>
            <w:tcW w:w="3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9"/>
        </w:trPr>
        <w:tc>
          <w:tcPr>
            <w:tcW w:w="7640" w:type="dxa"/>
            <w:vAlign w:val="bottom"/>
          </w:tcPr>
          <w:p>
            <w:pPr>
              <w:ind w:left="28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299</w:t>
            </w:r>
          </w:p>
        </w:tc>
        <w:tc>
          <w:tcPr>
            <w:tcW w:w="0" w:type="dxa"/>
            <w:vAlign w:val="bottom"/>
          </w:tcPr>
          <w:p>
            <w:pPr>
              <w:spacing w:after="0"/>
              <w:rPr>
                <w:sz w:val="1"/>
                <w:szCs w:val="1"/>
                <w:color w:val="auto"/>
              </w:rPr>
            </w:pPr>
          </w:p>
        </w:tc>
      </w:tr>
      <w:tr>
        <w:trPr>
          <w:trHeight w:val="213"/>
        </w:trPr>
        <w:tc>
          <w:tcPr>
            <w:tcW w:w="7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Long-term debt</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68"/>
        </w:trPr>
        <w:tc>
          <w:tcPr>
            <w:tcW w:w="76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Contingency reserves, excluding current portion</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61"/>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899</w:t>
            </w:r>
          </w:p>
        </w:tc>
        <w:tc>
          <w:tcPr>
            <w:tcW w:w="0" w:type="dxa"/>
            <w:vAlign w:val="bottom"/>
          </w:tcPr>
          <w:p>
            <w:pPr>
              <w:spacing w:after="0"/>
              <w:rPr>
                <w:sz w:val="1"/>
                <w:szCs w:val="1"/>
                <w:color w:val="auto"/>
              </w:rPr>
            </w:pPr>
          </w:p>
        </w:tc>
      </w:tr>
      <w:tr>
        <w:trPr>
          <w:trHeight w:val="193"/>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6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w w:val="99"/>
              </w:rPr>
              <w:t>Common stock, $1 par value per share, 200 shares authorized; 85 shares issued and 70 shares issued and outstanding, respectively, as of June 30,</w:t>
            </w:r>
          </w:p>
        </w:tc>
        <w:tc>
          <w:tcPr>
            <w:tcW w:w="30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02"/>
        </w:trPr>
        <w:tc>
          <w:tcPr>
            <w:tcW w:w="7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2025; and 86 shares issued and 70 shares issued and outstanding, respectively, as of December 31, 2024</w:t>
            </w:r>
          </w:p>
        </w:tc>
        <w:tc>
          <w:tcPr>
            <w:tcW w:w="3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7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68"/>
        </w:trPr>
        <w:tc>
          <w:tcPr>
            <w:tcW w:w="76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Treasury stock, 15 shares and 16 shares at cost as of June 30, 2025 and December 31, 2024, respectively</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Accumulated comprehensive loss</w:t>
            </w: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30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1,671</w:t>
            </w:r>
          </w:p>
        </w:tc>
        <w:tc>
          <w:tcPr>
            <w:tcW w:w="0" w:type="dxa"/>
            <w:vAlign w:val="bottom"/>
          </w:tcPr>
          <w:p>
            <w:pPr>
              <w:spacing w:after="0"/>
              <w:rPr>
                <w:sz w:val="1"/>
                <w:szCs w:val="1"/>
                <w:color w:val="auto"/>
              </w:rPr>
            </w:pPr>
          </w:p>
        </w:tc>
      </w:tr>
      <w:tr>
        <w:trPr>
          <w:trHeight w:val="159"/>
        </w:trPr>
        <w:tc>
          <w:tcPr>
            <w:tcW w:w="764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2,656</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2,569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2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Six Months Ended June 30,</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14"/>
                <w:szCs w:val="14"/>
                <w:color w:val="auto"/>
              </w:rPr>
            </w:pPr>
          </w:p>
        </w:tc>
        <w:tc>
          <w:tcPr>
            <w:tcW w:w="720" w:type="dxa"/>
            <w:vAlign w:val="bottom"/>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net income:</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impairment</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taxes</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currency remeasurement and transaction loss (gain)</w:t>
            </w: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adjustments, net</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Changes in assets and liabilities (net of acquisitions and divestitures):</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Receivables</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Inventories</w:t>
            </w: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taxes payable, net of receivables</w:t>
            </w:r>
          </w:p>
        </w:tc>
        <w:tc>
          <w:tcPr>
            <w:tcW w:w="10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60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Net cash provided by operating activities</w:t>
            </w:r>
          </w:p>
        </w:tc>
        <w:tc>
          <w:tcPr>
            <w:tcW w:w="10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226</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317</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additions</w:t>
            </w: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0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9"/>
        </w:trPr>
        <w:tc>
          <w:tcPr>
            <w:tcW w:w="20" w:type="dxa"/>
            <w:vAlign w:val="bottom"/>
            <w:tcBorders>
              <w:bottom w:val="single" w:sz="8" w:color="CCEEFF"/>
            </w:tcBorders>
          </w:tcPr>
          <w:p>
            <w:pPr>
              <w:spacing w:after="0"/>
              <w:rPr>
                <w:sz w:val="13"/>
                <w:szCs w:val="13"/>
                <w:color w:val="auto"/>
              </w:rPr>
            </w:pPr>
          </w:p>
        </w:tc>
        <w:tc>
          <w:tcPr>
            <w:tcW w:w="760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Net cash used in investing activities</w:t>
            </w:r>
          </w:p>
        </w:tc>
        <w:tc>
          <w:tcPr>
            <w:tcW w:w="10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w:t>
            </w:r>
          </w:p>
        </w:tc>
        <w:tc>
          <w:tcPr>
            <w:tcW w:w="10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Payment of cash dividends</w:t>
            </w:r>
          </w:p>
        </w:tc>
        <w:tc>
          <w:tcPr>
            <w:tcW w:w="10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10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used in financing activities</w:t>
            </w:r>
          </w:p>
        </w:tc>
        <w:tc>
          <w:tcPr>
            <w:tcW w:w="10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(157)</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760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EFFECT OF EXCHANGE RATE ON CASH, CASH EQUIVALENTS, AND RESTRICTED CASH</w:t>
            </w:r>
          </w:p>
        </w:tc>
        <w:tc>
          <w:tcPr>
            <w:tcW w:w="10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0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0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040" w:type="dxa"/>
            <w:vAlign w:val="bottom"/>
            <w:tcBorders>
              <w:bottom w:val="single" w:sz="8" w:color="auto"/>
            </w:tcBorders>
            <w:shd w:val="clear" w:color="auto" w:fill="CCEEFF"/>
          </w:tcPr>
          <w:p>
            <w:pPr>
              <w:jc w:val="right"/>
              <w:ind w:right="9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333</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w w:val="97"/>
              </w:rPr>
              <w:t>Supplemental cash flow information:</w:t>
            </w:r>
          </w:p>
        </w:tc>
        <w:tc>
          <w:tcPr>
            <w:tcW w:w="5580" w:type="dxa"/>
            <w:vAlign w:val="bottom"/>
            <w:tcBorders>
              <w:top w:val="single" w:sz="8" w:color="CCEEFF"/>
              <w:bottom w:val="single" w:sz="8" w:color="CCEEFF"/>
            </w:tcBorders>
            <w:vMerge w:val="restart"/>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020" w:type="dxa"/>
            <w:vAlign w:val="bottom"/>
            <w:tcBorders>
              <w:bottom w:val="single" w:sz="8" w:color="auto"/>
            </w:tcBorders>
            <w:vMerge w:val="continue"/>
          </w:tcPr>
          <w:p>
            <w:pPr>
              <w:spacing w:after="0"/>
              <w:rPr>
                <w:sz w:val="13"/>
                <w:szCs w:val="13"/>
                <w:color w:val="auto"/>
              </w:rPr>
            </w:pPr>
          </w:p>
        </w:tc>
        <w:tc>
          <w:tcPr>
            <w:tcW w:w="55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1040" w:type="dxa"/>
            <w:vAlign w:val="bottom"/>
            <w:shd w:val="clear" w:color="auto" w:fill="CCEEFF"/>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paid for interest, net</w:t>
            </w:r>
          </w:p>
        </w:tc>
        <w:tc>
          <w:tcPr>
            <w:tcW w:w="1040" w:type="dxa"/>
            <w:vAlign w:val="bottom"/>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720" w:type="dxa"/>
            <w:vAlign w:val="bottom"/>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Unpaid capital expenditures</w:t>
            </w:r>
          </w:p>
        </w:tc>
        <w:tc>
          <w:tcPr>
            <w:tcW w:w="1040" w:type="dxa"/>
            <w:vAlign w:val="bottom"/>
            <w:shd w:val="clear" w:color="auto" w:fill="CCEEFF"/>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3"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Amounts in millions, except per share amounts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0" w:type="dxa"/>
            <w:vAlign w:val="bottom"/>
          </w:tcPr>
          <w:p>
            <w:pPr>
              <w:spacing w:after="0"/>
              <w:rPr>
                <w:sz w:val="13"/>
                <w:szCs w:val="13"/>
                <w:color w:val="auto"/>
              </w:rPr>
            </w:pPr>
          </w:p>
        </w:tc>
        <w:tc>
          <w:tcPr>
            <w:tcW w:w="172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74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4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1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42"/>
        </w:trPr>
        <w:tc>
          <w:tcPr>
            <w:tcW w:w="2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gridSpan w:val="2"/>
            <w:vMerge w:val="restart"/>
          </w:tcPr>
          <w:p>
            <w:pPr>
              <w:jc w:val="center"/>
              <w:ind w:right="180"/>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1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 Capital</w:t>
            </w:r>
          </w:p>
        </w:tc>
        <w:tc>
          <w:tcPr>
            <w:tcW w:w="140" w:type="dxa"/>
            <w:vAlign w:val="bottom"/>
          </w:tcPr>
          <w:p>
            <w:pPr>
              <w:spacing w:after="0" w:line="20" w:lineRule="exact"/>
              <w:rPr>
                <w:sz w:val="1"/>
                <w:szCs w:val="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line="20" w:lineRule="exact"/>
              <w:rPr>
                <w:sz w:val="1"/>
                <w:szCs w:val="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line="20" w:lineRule="exact"/>
              <w:rPr>
                <w:sz w:val="1"/>
                <w:szCs w:val="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8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8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86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86</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1,671</w:t>
            </w: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 ($0.28 per share)</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Taxes paid related to net settlement of stock-based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stock</w:t>
            </w:r>
          </w:p>
        </w:tc>
        <w:tc>
          <w:tcPr>
            <w:tcW w:w="72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3"/>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2025</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85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85</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1,692</w:t>
            </w:r>
          </w:p>
        </w:tc>
        <w:tc>
          <w:tcPr>
            <w:tcW w:w="0" w:type="dxa"/>
            <w:vAlign w:val="bottom"/>
          </w:tcPr>
          <w:p>
            <w:pPr>
              <w:spacing w:after="0"/>
              <w:rPr>
                <w:sz w:val="1"/>
                <w:szCs w:val="1"/>
                <w:color w:val="auto"/>
              </w:rPr>
            </w:pPr>
          </w:p>
        </w:tc>
      </w:tr>
      <w:tr>
        <w:trPr>
          <w:trHeight w:val="158"/>
        </w:trPr>
        <w:tc>
          <w:tcPr>
            <w:tcW w:w="280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 ($0.28 per share)</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Taxes paid related to net settlement of stock-based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stock</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1"/>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June 30, 2025</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85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85</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1"/>
        </w:trPr>
        <w:tc>
          <w:tcPr>
            <w:tcW w:w="2800" w:type="dxa"/>
            <w:vAlign w:val="bottom"/>
          </w:tcPr>
          <w:p>
            <w:pPr>
              <w:spacing w:after="0"/>
              <w:rPr>
                <w:sz w:val="13"/>
                <w:szCs w:val="13"/>
                <w:color w:val="auto"/>
              </w:rPr>
            </w:pPr>
          </w:p>
        </w:tc>
        <w:tc>
          <w:tcPr>
            <w:tcW w:w="172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7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w:t>
            </w:r>
          </w:p>
        </w:tc>
        <w:tc>
          <w:tcPr>
            <w:tcW w:w="14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12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6"/>
              </w:rPr>
              <w:t>Total Stockholders’</w:t>
            </w:r>
          </w:p>
        </w:tc>
        <w:tc>
          <w:tcPr>
            <w:tcW w:w="0" w:type="dxa"/>
            <w:vAlign w:val="bottom"/>
          </w:tcPr>
          <w:p>
            <w:pPr>
              <w:spacing w:after="0"/>
              <w:rPr>
                <w:sz w:val="1"/>
                <w:szCs w:val="1"/>
                <w:color w:val="auto"/>
              </w:rPr>
            </w:pPr>
          </w:p>
        </w:tc>
      </w:tr>
      <w:tr>
        <w:trPr>
          <w:trHeight w:val="42"/>
        </w:trPr>
        <w:tc>
          <w:tcPr>
            <w:tcW w:w="2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gridSpan w:val="2"/>
            <w:vMerge w:val="restart"/>
          </w:tcPr>
          <w:p>
            <w:pPr>
              <w:jc w:val="center"/>
              <w:ind w:right="200"/>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1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line="20" w:lineRule="exact"/>
              <w:rPr>
                <w:sz w:val="1"/>
                <w:szCs w:val="1"/>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line="20" w:lineRule="exact"/>
              <w:rPr>
                <w:sz w:val="1"/>
                <w:szCs w:val="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8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8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88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1,557</w:t>
            </w: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 ($0.26 per share)</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Taxes paid related to net settlement of stock-based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stock</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2"/>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88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1,617</w:t>
            </w:r>
          </w:p>
        </w:tc>
        <w:tc>
          <w:tcPr>
            <w:tcW w:w="0" w:type="dxa"/>
            <w:vAlign w:val="bottom"/>
          </w:tcPr>
          <w:p>
            <w:pPr>
              <w:spacing w:after="0"/>
              <w:rPr>
                <w:sz w:val="1"/>
                <w:szCs w:val="1"/>
                <w:color w:val="auto"/>
              </w:rPr>
            </w:pPr>
          </w:p>
        </w:tc>
      </w:tr>
      <w:tr>
        <w:trPr>
          <w:trHeight w:val="158"/>
        </w:trPr>
        <w:tc>
          <w:tcPr>
            <w:tcW w:w="280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 ($0.26 per share)</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Taxes paid related to net settlement of stock-based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awards</w:t>
            </w: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 of stock</w:t>
            </w:r>
          </w:p>
        </w:tc>
        <w:tc>
          <w:tcPr>
            <w:tcW w:w="72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ind w:left="1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compensation</w:t>
            </w:r>
          </w:p>
        </w:tc>
        <w:tc>
          <w:tcPr>
            <w:tcW w:w="8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1"/>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7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3"/>
                <w:szCs w:val="13"/>
                <w:b w:val="1"/>
                <w:bCs w:val="1"/>
                <w:color w:val="auto"/>
              </w:rPr>
              <w:t>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87</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1,658</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4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 AND BASIS OF PRESENTATION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Nature of Operations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and we make limited sales to customers in Asia, Australia, and Europe. The Company operates over 20 manufacturing facilities across the U.S., Canada, Chile, and Brazil, in certain cases through foreign subsidiaries. References to "LP," the "Company," "we," "our," and "us" refer to Louisiana-Pacific Corporation and its consolidated subsidiaries as a whole.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15. Selected Segment Data" below for further information regarding our products and 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unaudited Condensed Consolidated Financial Statements presented here have been prepared in accordance with accounting principles generally accepted in the United States of America (U.S. GAAP) for interim financial reporting. As such, they do not include all the information and footnotes required by U.S. GAAP for complete consolidated financial statements. Management believes that all necessary adjustments for a fair presentation have been included and are of a normal and recurring nature. These Condensed Consolidated Financial Statements and the accompanying Notes should be reviewed in conjunction with our annual report on Form 10-K for the fiscal year ended December 31, 2024, filed with the SEC on February 19, 2025 (2024 Annual Report on Form 10-K). The results of operations for interim periods are not necessarily indicative of the results that may be expected for the full fiscal year.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Condensed Consolidated Financial Statements include the accounts of LP and our controlled subsidiaries. All intercompany transactions, profits, and balances have been eliminated.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REVENUE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noted in the segment reporting information in “Note 15. Selected Segment Data” below, our reportable segments are Siding, Oriented Strand Board (OSB), and LP South America (LPSA). The following tables present our reportable segment revenues, disaggregated by revenue source (dollar amounts in millions):</w:t>
      </w:r>
    </w:p>
    <w:p>
      <w:pPr>
        <w:spacing w:after="0" w:line="73" w:lineRule="exact"/>
        <w:rPr>
          <w:sz w:val="20"/>
          <w:szCs w:val="20"/>
          <w:color w:val="auto"/>
        </w:rPr>
      </w:pPr>
    </w:p>
    <w:tbl>
      <w:tblPr>
        <w:tblLayout w:type="fixed"/>
        <w:tblInd w:w="3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June 30, 2025</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6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8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LPSA</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540" w:type="dxa"/>
            <w:vAlign w:val="bottom"/>
            <w:tcBorders>
              <w:top w:val="single" w:sz="8" w:color="CCEEFF"/>
              <w:left w:val="single" w:sz="8" w:color="CCEEFF"/>
              <w:bottom w:val="single" w:sz="8" w:color="auto"/>
            </w:tcBorders>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w w:val="92"/>
              </w:rPr>
              <w:t>Value-add</w:t>
            </w:r>
          </w:p>
        </w:tc>
        <w:tc>
          <w:tcPr>
            <w:tcW w:w="37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2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Siding Solutions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4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r>
      <w:tr>
        <w:trPr>
          <w:trHeight w:val="172"/>
        </w:trPr>
        <w:tc>
          <w:tcPr>
            <w:tcW w:w="4280" w:type="dxa"/>
            <w:vAlign w:val="bottom"/>
            <w:tcBorders>
              <w:lef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58"/>
        </w:trPr>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643</w:t>
            </w:r>
          </w:p>
        </w:tc>
      </w:tr>
      <w:tr>
        <w:trPr>
          <w:trHeight w:val="120"/>
        </w:trPr>
        <w:tc>
          <w:tcPr>
            <w:tcW w:w="4280" w:type="dxa"/>
            <w:vAlign w:val="bottom"/>
            <w:tcBorders>
              <w:left w:val="single" w:sz="8" w:color="CCEEFF"/>
            </w:tcBorders>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Commodity</w:t>
            </w: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OSB - commodity</w:t>
            </w:r>
          </w:p>
        </w:tc>
        <w:tc>
          <w:tcPr>
            <w:tcW w:w="2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20"/>
        </w:trPr>
        <w:tc>
          <w:tcPr>
            <w:tcW w:w="4280" w:type="dxa"/>
            <w:vAlign w:val="bottom"/>
            <w:tcBorders>
              <w:top w:val="single" w:sz="8" w:color="CCEEFF"/>
              <w:left w:val="single" w:sz="8" w:color="CCEEFF"/>
            </w:tcBorders>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Other</w:t>
            </w:r>
          </w:p>
        </w:tc>
        <w:tc>
          <w:tcPr>
            <w:tcW w:w="2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3"/>
                <w:szCs w:val="13"/>
                <w:color w:val="auto"/>
              </w:rPr>
              <w:t>Other products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85"/>
        </w:trPr>
        <w:tc>
          <w:tcPr>
            <w:tcW w:w="300" w:type="dxa"/>
            <w:vAlign w:val="bottom"/>
            <w:tcBorders>
              <w:left w:val="single" w:sz="8" w:color="CCEEFF"/>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0" w:name="page11"/>
    <w:bookmarkEnd w:id="10"/>
    <w:tbl>
      <w:tblPr>
        <w:tblLayout w:type="fixed"/>
        <w:tblInd w:w="3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June 30, 2024</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6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8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LPSA</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540" w:type="dxa"/>
            <w:vAlign w:val="bottom"/>
            <w:tcBorders>
              <w:top w:val="single" w:sz="8" w:color="CCEEFF"/>
              <w:left w:val="single" w:sz="8" w:color="CCEEFF"/>
              <w:bottom w:val="single" w:sz="8" w:color="auto"/>
            </w:tcBorders>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w w:val="92"/>
              </w:rPr>
              <w:t>Value-add</w:t>
            </w:r>
          </w:p>
        </w:tc>
        <w:tc>
          <w:tcPr>
            <w:tcW w:w="37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2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Siding Solutions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4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r>
      <w:tr>
        <w:trPr>
          <w:trHeight w:val="172"/>
        </w:trPr>
        <w:tc>
          <w:tcPr>
            <w:tcW w:w="4280" w:type="dxa"/>
            <w:vAlign w:val="bottom"/>
            <w:tcBorders>
              <w:lef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58"/>
        </w:trPr>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w:t>
            </w:r>
          </w:p>
        </w:tc>
      </w:tr>
      <w:tr>
        <w:trPr>
          <w:trHeight w:val="120"/>
        </w:trPr>
        <w:tc>
          <w:tcPr>
            <w:tcW w:w="4280" w:type="dxa"/>
            <w:vAlign w:val="bottom"/>
            <w:tcBorders>
              <w:left w:val="single" w:sz="8" w:color="CCEEFF"/>
            </w:tcBorders>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Commodity</w:t>
            </w: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OSB - commodity</w:t>
            </w:r>
          </w:p>
        </w:tc>
        <w:tc>
          <w:tcPr>
            <w:tcW w:w="2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40"/>
        </w:trPr>
        <w:tc>
          <w:tcPr>
            <w:tcW w:w="4280" w:type="dxa"/>
            <w:vAlign w:val="bottom"/>
            <w:tcBorders>
              <w:left w:val="single" w:sz="8" w:color="CCEEFF"/>
            </w:tcBorders>
            <w:gridSpan w:val="4"/>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Other</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3"/>
                <w:szCs w:val="13"/>
                <w:color w:val="auto"/>
              </w:rPr>
              <w:t>Other products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85"/>
        </w:trPr>
        <w:tc>
          <w:tcPr>
            <w:tcW w:w="300" w:type="dxa"/>
            <w:vAlign w:val="bottom"/>
            <w:tcBorders>
              <w:left w:val="single" w:sz="8" w:color="CCEEFF"/>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3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ind w:left="616"/>
              <w:spacing w:after="0"/>
              <w:rPr>
                <w:sz w:val="20"/>
                <w:szCs w:val="20"/>
                <w:color w:val="auto"/>
              </w:rPr>
            </w:pPr>
            <w:r>
              <w:rPr>
                <w:rFonts w:ascii="Times New Roman" w:cs="Times New Roman" w:eastAsia="Times New Roman" w:hAnsi="Times New Roman"/>
                <w:sz w:val="13"/>
                <w:szCs w:val="13"/>
                <w:b w:val="1"/>
                <w:bCs w:val="1"/>
                <w:color w:val="auto"/>
                <w:w w:val="98"/>
              </w:rPr>
              <w:t>Six Months Ended June 30, 2025</w:t>
            </w: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6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8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LPSA</w:t>
            </w:r>
          </w:p>
        </w:tc>
        <w:tc>
          <w:tcPr>
            <w:tcW w:w="30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540" w:type="dxa"/>
            <w:vAlign w:val="bottom"/>
            <w:tcBorders>
              <w:top w:val="single" w:sz="8" w:color="CCEEFF"/>
              <w:left w:val="single" w:sz="8" w:color="CCEEFF"/>
              <w:bottom w:val="single" w:sz="8" w:color="auto"/>
            </w:tcBorders>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w w:val="92"/>
              </w:rPr>
              <w:t>Value-add</w:t>
            </w:r>
          </w:p>
        </w:tc>
        <w:tc>
          <w:tcPr>
            <w:tcW w:w="37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2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Siding Solutions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4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w:t>
            </w:r>
          </w:p>
        </w:tc>
      </w:tr>
      <w:tr>
        <w:trPr>
          <w:trHeight w:val="172"/>
        </w:trPr>
        <w:tc>
          <w:tcPr>
            <w:tcW w:w="4280" w:type="dxa"/>
            <w:vAlign w:val="bottom"/>
            <w:tcBorders>
              <w:lef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r>
      <w:tr>
        <w:trPr>
          <w:trHeight w:val="158"/>
        </w:trPr>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1,237</w:t>
            </w:r>
          </w:p>
        </w:tc>
      </w:tr>
      <w:tr>
        <w:trPr>
          <w:trHeight w:val="120"/>
        </w:trPr>
        <w:tc>
          <w:tcPr>
            <w:tcW w:w="4280" w:type="dxa"/>
            <w:vAlign w:val="bottom"/>
            <w:tcBorders>
              <w:left w:val="single" w:sz="8" w:color="CCEEFF"/>
            </w:tcBorders>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Commodity</w:t>
            </w: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OSB - commodity</w:t>
            </w:r>
          </w:p>
        </w:tc>
        <w:tc>
          <w:tcPr>
            <w:tcW w:w="2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40"/>
        </w:trPr>
        <w:tc>
          <w:tcPr>
            <w:tcW w:w="4280" w:type="dxa"/>
            <w:vAlign w:val="bottom"/>
            <w:tcBorders>
              <w:left w:val="single" w:sz="8" w:color="CCEEFF"/>
            </w:tcBorders>
            <w:gridSpan w:val="4"/>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Other</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3"/>
                <w:szCs w:val="13"/>
                <w:color w:val="auto"/>
              </w:rPr>
              <w:t>Other products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85"/>
        </w:trPr>
        <w:tc>
          <w:tcPr>
            <w:tcW w:w="300" w:type="dxa"/>
            <w:vAlign w:val="bottom"/>
            <w:tcBorders>
              <w:left w:val="single" w:sz="8" w:color="CCEEFF"/>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tbl>
      <w:tblPr>
        <w:tblLayout w:type="fixed"/>
        <w:tblInd w:w="3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ind w:left="616"/>
              <w:spacing w:after="0"/>
              <w:rPr>
                <w:sz w:val="20"/>
                <w:szCs w:val="20"/>
                <w:color w:val="auto"/>
              </w:rPr>
            </w:pPr>
            <w:r>
              <w:rPr>
                <w:rFonts w:ascii="Times New Roman" w:cs="Times New Roman" w:eastAsia="Times New Roman" w:hAnsi="Times New Roman"/>
                <w:sz w:val="13"/>
                <w:szCs w:val="13"/>
                <w:b w:val="1"/>
                <w:bCs w:val="1"/>
                <w:color w:val="auto"/>
                <w:w w:val="98"/>
              </w:rPr>
              <w:t>Six Months Ended June 30, 2024</w:t>
            </w: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64"/>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6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8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LPSA</w:t>
            </w:r>
          </w:p>
        </w:tc>
        <w:tc>
          <w:tcPr>
            <w:tcW w:w="30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80" w:type="dxa"/>
            <w:vAlign w:val="bottom"/>
          </w:tcPr>
          <w:p>
            <w:pPr>
              <w:spacing w:after="0"/>
              <w:rPr>
                <w:sz w:val="14"/>
                <w:szCs w:val="14"/>
                <w:color w:val="auto"/>
              </w:rPr>
            </w:pPr>
          </w:p>
        </w:tc>
        <w:tc>
          <w:tcPr>
            <w:tcW w:w="100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540" w:type="dxa"/>
            <w:vAlign w:val="bottom"/>
            <w:tcBorders>
              <w:top w:val="single" w:sz="8" w:color="CCEEFF"/>
              <w:left w:val="single" w:sz="8" w:color="CCEEFF"/>
              <w:bottom w:val="single" w:sz="8" w:color="auto"/>
            </w:tcBorders>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w w:val="92"/>
              </w:rPr>
              <w:t>Value-add</w:t>
            </w:r>
          </w:p>
        </w:tc>
        <w:tc>
          <w:tcPr>
            <w:tcW w:w="37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2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Siding Solutions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4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r>
      <w:tr>
        <w:trPr>
          <w:trHeight w:val="172"/>
        </w:trPr>
        <w:tc>
          <w:tcPr>
            <w:tcW w:w="4280" w:type="dxa"/>
            <w:vAlign w:val="bottom"/>
            <w:tcBorders>
              <w:lef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r>
      <w:tr>
        <w:trPr>
          <w:trHeight w:val="158"/>
        </w:trPr>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w:t>
            </w:r>
          </w:p>
        </w:tc>
      </w:tr>
      <w:tr>
        <w:trPr>
          <w:trHeight w:val="120"/>
        </w:trPr>
        <w:tc>
          <w:tcPr>
            <w:tcW w:w="4280" w:type="dxa"/>
            <w:vAlign w:val="bottom"/>
            <w:tcBorders>
              <w:left w:val="single" w:sz="8" w:color="CCEEFF"/>
            </w:tcBorders>
            <w:gridSpan w:val="4"/>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Commodity</w:t>
            </w: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auto"/>
              </w:rPr>
              <w:t>OSB - commodity</w:t>
            </w:r>
          </w:p>
        </w:tc>
        <w:tc>
          <w:tcPr>
            <w:tcW w:w="26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r>
      <w:tr>
        <w:trPr>
          <w:trHeight w:val="140"/>
        </w:trPr>
        <w:tc>
          <w:tcPr>
            <w:tcW w:w="4280" w:type="dxa"/>
            <w:vAlign w:val="bottom"/>
            <w:tcBorders>
              <w:left w:val="single" w:sz="8" w:color="CCEEFF"/>
            </w:tcBorders>
            <w:gridSpan w:val="4"/>
            <w:shd w:val="clear" w:color="auto" w:fill="CCEEFF"/>
          </w:tcPr>
          <w:p>
            <w:pPr>
              <w:ind w:left="20"/>
              <w:spacing w:after="0" w:line="140" w:lineRule="exact"/>
              <w:rPr>
                <w:sz w:val="20"/>
                <w:szCs w:val="20"/>
                <w:color w:val="auto"/>
              </w:rPr>
            </w:pPr>
            <w:r>
              <w:rPr>
                <w:rFonts w:ascii="Times New Roman" w:cs="Times New Roman" w:eastAsia="Times New Roman" w:hAnsi="Times New Roman"/>
                <w:sz w:val="13"/>
                <w:szCs w:val="13"/>
                <w:color w:val="auto"/>
              </w:rPr>
              <w:t>Other</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32"/>
        </w:trPr>
        <w:tc>
          <w:tcPr>
            <w:tcW w:w="300" w:type="dxa"/>
            <w:vAlign w:val="bottom"/>
            <w:tcBorders>
              <w:lef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168"/>
        </w:trPr>
        <w:tc>
          <w:tcPr>
            <w:tcW w:w="4280" w:type="dxa"/>
            <w:vAlign w:val="bottom"/>
            <w:tcBorders>
              <w:bottom w:val="single" w:sz="8" w:color="CCEEFF"/>
            </w:tcBorders>
            <w:gridSpan w:val="4"/>
          </w:tcPr>
          <w:p>
            <w:pPr>
              <w:ind w:left="120"/>
              <w:spacing w:after="0"/>
              <w:rPr>
                <w:sz w:val="20"/>
                <w:szCs w:val="20"/>
                <w:color w:val="auto"/>
              </w:rPr>
            </w:pPr>
            <w:r>
              <w:rPr>
                <w:rFonts w:ascii="Times New Roman" w:cs="Times New Roman" w:eastAsia="Times New Roman" w:hAnsi="Times New Roman"/>
                <w:sz w:val="13"/>
                <w:szCs w:val="13"/>
                <w:color w:val="auto"/>
              </w:rPr>
              <w:t>Other products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85"/>
        </w:trPr>
        <w:tc>
          <w:tcPr>
            <w:tcW w:w="300" w:type="dxa"/>
            <w:vAlign w:val="bottom"/>
            <w:tcBorders>
              <w:left w:val="single" w:sz="8" w:color="CCEEFF"/>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Revenue is recognized when obligations under the terms of contracts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businesses routinely incur customer program costs to obtain favorable product placement, promote sales of products, and maintain competitive pricing. Customer program costs and incentives are accounted for as a reduction in net sales at the time the program is initiated and/or the revenue is recognized. The costs include, but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9" w:right="319" w:bottom="1440" w:gutter="0" w:footer="0" w:header="0"/>
        </w:sectPr>
      </w:pPr>
    </w:p>
    <w:bookmarkStart w:id="11" w:name="page12"/>
    <w:bookmarkEnd w:id="11"/>
    <w:p>
      <w:pPr>
        <w:jc w:val="both"/>
        <w:spacing w:after="0" w:line="264" w:lineRule="auto"/>
        <w:rPr>
          <w:sz w:val="20"/>
          <w:szCs w:val="20"/>
          <w:color w:val="auto"/>
        </w:rPr>
      </w:pPr>
      <w:r>
        <w:rPr>
          <w:rFonts w:ascii="Times New Roman" w:cs="Times New Roman" w:eastAsia="Times New Roman" w:hAnsi="Times New Roman"/>
          <w:sz w:val="14"/>
          <w:szCs w:val="14"/>
          <w:color w:val="auto"/>
        </w:rPr>
        <w:t>limited to, volume allowances and rebates, promotional allowances, and cooperative advertising programs. These costs are recorded at the later of (i) the time of sale or (ii)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EARNINGS PER SHARE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earnings per share is based on the weighted-average number of shares of common stock outstanding. Diluted earnings per share is based upon the weighted-average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stock-settled appreciation rights, restricted stock units, and performance stock units) be excluded from the calculation of diluted earnings per share for the periods in which losses are reported because the effect is anti-dilutive.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(dollar and share amounts in millions,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61"/>
        </w:trPr>
        <w:tc>
          <w:tcPr>
            <w:tcW w:w="53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68"/>
        </w:trPr>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Dilutive effect of employee stock plans</w:t>
            </w:r>
          </w:p>
        </w:tc>
        <w:tc>
          <w:tcPr>
            <w:tcW w:w="100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used for diluted earnings per share</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of common stock:</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300" w:type="dxa"/>
            <w:vAlign w:val="bottom"/>
            <w:tcBorders>
              <w:bottom w:val="single" w:sz="8" w:color="CCEEFF"/>
            </w:tcBorders>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30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3"/>
                <w:szCs w:val="13"/>
                <w:color w:val="auto"/>
              </w:rPr>
              <w:t>Basic</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0" w:type="dxa"/>
            <w:vAlign w:val="bottom"/>
          </w:tcPr>
          <w:p>
            <w:pPr>
              <w:spacing w:after="0"/>
              <w:rPr>
                <w:sz w:val="1"/>
                <w:szCs w:val="1"/>
                <w:color w:val="auto"/>
              </w:rPr>
            </w:pPr>
          </w:p>
        </w:tc>
      </w:tr>
      <w:tr>
        <w:trPr>
          <w:trHeight w:val="158"/>
        </w:trPr>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10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0.77</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FAIR VALUE MEASUREMENTS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(i) recurring—measured on a periodic basis, and (ii) non-recurring—measured on an as-needed basis.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three levels of inputs that may be used to measure fair value:</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1</w:t>
        <w:tab/>
        <w:t>Unadjusted quoted prices in active markets that are accessible at the measurement date for identical, unrestricted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2" w:name="page13"/>
    <w:bookmarkEnd w:id="12"/>
    <w:p>
      <w:pPr>
        <w:jc w:val="both"/>
        <w:ind w:left="640" w:hanging="763"/>
        <w:spacing w:after="0" w:line="287" w:lineRule="auto"/>
        <w:tabs>
          <w:tab w:leader="none" w:pos="620" w:val="left"/>
        </w:tabs>
        <w:rPr>
          <w:sz w:val="20"/>
          <w:szCs w:val="20"/>
          <w:color w:val="auto"/>
        </w:rPr>
      </w:pPr>
      <w:r>
        <w:rPr>
          <w:rFonts w:ascii="Times New Roman" w:cs="Times New Roman" w:eastAsia="Times New Roman" w:hAnsi="Times New Roman"/>
          <w:sz w:val="14"/>
          <w:szCs w:val="14"/>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39" w:lineRule="exact"/>
        <w:rPr>
          <w:sz w:val="20"/>
          <w:szCs w:val="20"/>
          <w:color w:val="auto"/>
        </w:rPr>
      </w:pPr>
    </w:p>
    <w:p>
      <w:pPr>
        <w:jc w:val="both"/>
        <w:ind w:left="580" w:hanging="763"/>
        <w:spacing w:after="0" w:line="287" w:lineRule="auto"/>
        <w:tabs>
          <w:tab w:leader="none" w:pos="560" w:val="left"/>
        </w:tabs>
        <w:rPr>
          <w:sz w:val="20"/>
          <w:szCs w:val="20"/>
          <w:color w:val="auto"/>
        </w:rPr>
      </w:pPr>
      <w:r>
        <w:rPr>
          <w:rFonts w:ascii="Times New Roman" w:cs="Times New Roman" w:eastAsia="Times New Roman" w:hAnsi="Times New Roman"/>
          <w:sz w:val="14"/>
          <w:szCs w:val="14"/>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net carrying value of the 3.625% Senior Notes due in 2029 (2029 Senior Notes) was $348 million as of June 30, 2025 and December 31, 2024. Based on market quotations, the fair value of the 2029 Senior Notes was estimated to be $333 million and $323 million as of June 30, 2025 and December 31, 2024, respectively. The 2029 Senior Notes and other long-term debt are categorized as Level 1 in the U.S. GAAP fair value hierarchy. Fair values are based on trading activity among the Company’s lenders and the average bid and ask price is determined using published rates.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March 2025, LP entered into the First Amendment to Second Amended and Restated Credit Agreement (the First Amendment) with American AgCredit, PCA, as administrative agent, CoBank, ACB, as letter of credit issuer, and the lenders and voting participants party thereto, which amends that certain Second Amended and Restated Credit Agreement (the Credit Agreement) that was entered into in November 2022. The First Amendment amended the Credit Agreement to (1) increase the aggregate principal amount for the credit facility (the Amended Credit Facility) from $550 million to $750 million, (2) increase the sub-limit for letters of credit from $60 million to $75 million, (3) change the interest rate for revolving borrowing, (4) change the capitalization ratio limit, and (5) extend the maturity date to March 26, 2032. As of June 30, 2025, there were no outstanding borrowings pursuant to the Amended Credit Facility.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RECEIVABLES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consisted of the following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6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3"/>
        </w:trPr>
        <w:tc>
          <w:tcPr>
            <w:tcW w:w="71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Trade receivables</w:t>
            </w:r>
          </w:p>
        </w:tc>
        <w:tc>
          <w:tcPr>
            <w:tcW w:w="162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receivable</w:t>
            </w:r>
          </w:p>
        </w:tc>
        <w:tc>
          <w:tcPr>
            <w:tcW w:w="16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receivables</w:t>
            </w:r>
          </w:p>
        </w:tc>
        <w:tc>
          <w:tcPr>
            <w:tcW w:w="16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6"/>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Receivables</w:t>
            </w:r>
          </w:p>
        </w:tc>
        <w:tc>
          <w:tcPr>
            <w:tcW w:w="1620" w:type="dxa"/>
            <w:vAlign w:val="bottom"/>
            <w:tcBorders>
              <w:bottom w:val="single" w:sz="8" w:color="auto"/>
            </w:tcBorders>
            <w:shd w:val="clear" w:color="auto" w:fill="CCEEFF"/>
          </w:tcPr>
          <w:p>
            <w:pPr>
              <w:jc w:val="right"/>
              <w:ind w:right="14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168</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Trade receivables are primarily generated by sales of our products to our wholesale and retail customers. Other receivables as of June 30, 2025, and December 31, 2024, primarily consisted of sales tax receivables, vendor rebates, and other miscellaneous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NOTE 6. INVENTORIES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Inventories are valued at the lower of cost or net realizable value. Inventory cost includes materials, labor, and operating overhead. The first-in, first-out or average cost methods are used to value our inventories as of June 30, 2025. Inventory consisted of the following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3"/>
        </w:trPr>
        <w:tc>
          <w:tcPr>
            <w:tcW w:w="71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Logs</w:t>
            </w:r>
          </w:p>
        </w:tc>
        <w:tc>
          <w:tcPr>
            <w:tcW w:w="1640" w:type="dxa"/>
            <w:vAlign w:val="bottom"/>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68"/>
        </w:trPr>
        <w:tc>
          <w:tcPr>
            <w:tcW w:w="7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raw materials</w:t>
            </w:r>
          </w:p>
        </w:tc>
        <w:tc>
          <w:tcPr>
            <w:tcW w:w="16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Semi-finished inventories</w:t>
            </w:r>
          </w:p>
        </w:tc>
        <w:tc>
          <w:tcPr>
            <w:tcW w:w="16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8"/>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Finished products</w:t>
            </w:r>
          </w:p>
        </w:tc>
        <w:tc>
          <w:tcPr>
            <w:tcW w:w="1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86"/>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Inventories</w:t>
            </w:r>
          </w:p>
        </w:tc>
        <w:tc>
          <w:tcPr>
            <w:tcW w:w="1640" w:type="dxa"/>
            <w:vAlign w:val="bottom"/>
            <w:tcBorders>
              <w:bottom w:val="single" w:sz="8" w:color="auto"/>
            </w:tcBorders>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GOODWILL AND OTHER INTANGIBLE ASSETS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Goodwill and indefinite-lived intangible assets are not amortized and are subject to assessment for impairment by applying a fair value-based test on an annual basis, or more frequently if circumstances indicate a potential impairment. The Company’s annual assessment date is October 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Changes in goodwill and other intangible assets for the </w:t>
      </w:r>
      <w:r>
        <w:rPr>
          <w:rFonts w:ascii="Times New Roman" w:cs="Times New Roman" w:eastAsia="Times New Roman" w:hAnsi="Times New Roman"/>
          <w:sz w:val="12"/>
          <w:szCs w:val="12"/>
          <w:color w:val="auto"/>
        </w:rPr>
        <w:t>six</w:t>
      </w:r>
      <w:r>
        <w:rPr>
          <w:rFonts w:ascii="Times New Roman" w:cs="Times New Roman" w:eastAsia="Times New Roman" w:hAnsi="Times New Roman"/>
          <w:sz w:val="14"/>
          <w:szCs w:val="14"/>
          <w:color w:val="auto"/>
        </w:rPr>
        <w:t xml:space="preserve"> months ended June 30, 2025 are provided in the following table (dollar amounts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Timber Licenses</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80" w:type="dxa"/>
            <w:vAlign w:val="bottom"/>
          </w:tcPr>
          <w:p>
            <w:pPr>
              <w:spacing w:after="0"/>
              <w:rPr>
                <w:sz w:val="16"/>
                <w:szCs w:val="16"/>
                <w:color w:val="auto"/>
              </w:rPr>
            </w:pPr>
          </w:p>
        </w:tc>
        <w:tc>
          <w:tcPr>
            <w:tcW w:w="16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Developed Technology</w:t>
            </w:r>
          </w:p>
        </w:tc>
      </w:tr>
      <w:tr>
        <w:trPr>
          <w:trHeight w:val="160"/>
        </w:trPr>
        <w:tc>
          <w:tcPr>
            <w:tcW w:w="570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Beginning balance December 31, 2024</w:t>
            </w:r>
          </w:p>
        </w:tc>
        <w:tc>
          <w:tcPr>
            <w:tcW w:w="1500" w:type="dxa"/>
            <w:vAlign w:val="bottom"/>
            <w:tcBorders>
              <w:top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center"/>
              <w:ind w:left="1396"/>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500" w:type="dxa"/>
            <w:vAlign w:val="bottom"/>
          </w:tcPr>
          <w:p>
            <w:pPr>
              <w:spacing w:after="0"/>
              <w:rPr>
                <w:sz w:val="14"/>
                <w:szCs w:val="14"/>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620" w:type="dxa"/>
            <w:vAlign w:val="bottom"/>
          </w:tcPr>
          <w:p>
            <w:pPr>
              <w:jc w:val="center"/>
              <w:ind w:left="1376"/>
              <w:spacing w:after="0"/>
              <w:rPr>
                <w:sz w:val="20"/>
                <w:szCs w:val="20"/>
                <w:color w:val="auto"/>
              </w:rPr>
            </w:pPr>
            <w:r>
              <w:rPr>
                <w:rFonts w:ascii="Times New Roman" w:cs="Times New Roman" w:eastAsia="Times New Roman" w:hAnsi="Times New Roman"/>
                <w:sz w:val="13"/>
                <w:szCs w:val="13"/>
                <w:color w:val="auto"/>
                <w:w w:val="92"/>
              </w:rPr>
              <w:t>(1)</w:t>
            </w:r>
          </w:p>
        </w:tc>
      </w:tr>
      <w:tr>
        <w:trPr>
          <w:trHeight w:val="186"/>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Ending balance June 30, 2025</w:t>
            </w:r>
          </w:p>
        </w:tc>
        <w:tc>
          <w:tcPr>
            <w:tcW w:w="1500" w:type="dxa"/>
            <w:vAlign w:val="bottom"/>
            <w:tcBorders>
              <w:top w:val="single" w:sz="8" w:color="auto"/>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20" w:type="dxa"/>
            <w:vAlign w:val="bottom"/>
            <w:tcBorders>
              <w:top w:val="single" w:sz="8" w:color="auto"/>
              <w:bottom w:val="single" w:sz="8" w:color="auto"/>
            </w:tcBorders>
            <w:shd w:val="clear" w:color="auto" w:fill="CCEEFF"/>
          </w:tcPr>
          <w:p>
            <w:pPr>
              <w:jc w:val="center"/>
              <w:ind w:left="1396"/>
              <w:spacing w:after="0"/>
              <w:rPr>
                <w:sz w:val="20"/>
                <w:szCs w:val="20"/>
                <w:color w:val="auto"/>
              </w:rPr>
            </w:pPr>
            <w:r>
              <w:rPr>
                <w:rFonts w:ascii="Times New Roman" w:cs="Times New Roman" w:eastAsia="Times New Roman" w:hAnsi="Times New Roman"/>
                <w:sz w:val="13"/>
                <w:szCs w:val="13"/>
                <w:b w:val="1"/>
                <w:bCs w:val="1"/>
                <w:color w:val="auto"/>
              </w:rPr>
              <w:t>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60" w:hanging="55"/>
        <w:spacing w:after="0"/>
        <w:tabs>
          <w:tab w:leader="none" w:pos="60"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Timber licenses are included in timber and timberlands on the Condensed Consolidated Balance Sheets.</w:t>
      </w:r>
    </w:p>
    <w:p>
      <w:pPr>
        <w:spacing w:after="0" w:line="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regularly evaluates the estimated useful lives of its definite-lived intangible assets. During the quarter ended June 30, 2025, the Company revised its estimate of the useful lives of its developed technology to better reflect the period over which the asset is expected to be utilized. The developed technology previously had a remaining useful life of ten years and is now being amortized over a revised useful life of one year. This revision in estimate resulted in a quarterly increase of $2 million in amortization expense.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ACCOUNTS PAYABLE AND ACCRUED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payable and accrued liabilities were as follows (dollars amounts 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92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3"/>
        </w:trPr>
        <w:tc>
          <w:tcPr>
            <w:tcW w:w="69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Trade accounts payable</w:t>
            </w:r>
          </w:p>
        </w:tc>
        <w:tc>
          <w:tcPr>
            <w:tcW w:w="1640" w:type="dxa"/>
            <w:vAlign w:val="bottom"/>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68"/>
        </w:trPr>
        <w:tc>
          <w:tcPr>
            <w:tcW w:w="6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Salaries and wages payable</w:t>
            </w:r>
          </w:p>
        </w:tc>
        <w:tc>
          <w:tcPr>
            <w:tcW w:w="16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7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customer incentives</w:t>
            </w:r>
          </w:p>
        </w:tc>
        <w:tc>
          <w:tcPr>
            <w:tcW w:w="16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8"/>
        </w:trPr>
        <w:tc>
          <w:tcPr>
            <w:tcW w:w="6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6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6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86"/>
        </w:trPr>
        <w:tc>
          <w:tcPr>
            <w:tcW w:w="6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Accounts payable and accrued liabilities</w:t>
            </w:r>
          </w:p>
        </w:tc>
        <w:tc>
          <w:tcPr>
            <w:tcW w:w="1640" w:type="dxa"/>
            <w:vAlign w:val="bottom"/>
            <w:tcBorders>
              <w:bottom w:val="single" w:sz="8" w:color="auto"/>
            </w:tcBorders>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accrued liabilities at June 30, 2025, and December 31, 2024, primarily consisted of accrued interest, worker compensation liabilities, and warranty reserves. Additionally, trade accounts payable included $26 million and $32 million related to capital expenditures that had not yet been paid as of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NOTE 9. INCOME TAXES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interim periods, income tax expense is recognized by applying the estimated annual effective tax rate to year-to-date results, unless doing so does not yield a reliable estimate. Each period, the income tax accrual is updated based on the latest estimate, and any difference from the previously accrued year-to-date balance is recorded in the current quarter. Changes in profitability estimates across jurisdictions may affect quarterly effective tax rates.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provision for income taxes for the six months ended June 30, 2025, and 2024, reflected estimated annual effective tax rates of 26% and 25%, respectively, excluding discrete items discussed below. The total tax provision for the three and six months ended June 30, 2025, was $19 million and $45 million, respectively, compared to $53 million and $94 million for the corresponding periods in 2024, respectively. The effective tax rate, including discrete items, for the three and six months ended June 30, 2025, was 26% and 24%, respectively, compared to 25% and 26% for the comparable periods in 2024.</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six months ended June 30, 2025, a net discrete tax benefit of $4 million was recognized, compared to a net discrete tax expense of $4 million for the same period in 2024. The benefit in the current year was primarily attributable to inflationary and foreign currency exchange-related effects, as well as stock-based compensation. The prior year's expense was mainly driven by similar inflationary and foreign currency exchange-related impacts.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2021, the Organization for Economic Cooperation and Development (OECD) announced an Inclusive Framework on Base Erosion and Profit Shifting, including the Pillar Two Model Rules (Pillar Two), applicable to large multinational corporations. These rules establish a global per-country minimum tax of 15%. Although, the United States has not enacted legislation to adopt the Pillar Two framework, and future adoption remains uncertain, certain countries where operations are conducted have enacted such legislation.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Specifically, the Canadian government enacted legislation in 2024 implementing aspects of the OECD’s minimum tax rules under the Pillar Two framework, effective for the 2024 fiscal year, and proposed additional legislation to implement further aspects effective in the 2025 fiscal year. Additionally, in 2024, the Brazilian Congress approved legislation-effective in 2025-that is largely aligned with certain aspects of the OECD’s minimum tax rules under the Pillar Two framework. To date, no other jurisdictions in which LP operates have enacted Pillar Two legislation. At this time, Pillar Two legislation is not expected to have a material impact on the Company's effective tax rate, consolidated results of operations, financial position, or cash flows. The Company will continue to monitor future developments related to Pillar Two legislation to assess any potential impact in the relevant jurisdictions.</w:t>
      </w:r>
    </w:p>
    <w:p>
      <w:pPr>
        <w:spacing w:after="0" w:line="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July 4, 2025, H.R. 1, a bill to provide for reconciliation pursuant to title II of H. Con. Res. 14, informally known as the “One Big Beautiful Bill Act” (OBBBA) was enacted in the U.S. The OBBBA includes significant provisions, such as permanent extension of certain expiring elements of the Tax Cuts and Jobs Act of 2017, modifications to the international tax framework, and the restoration of favorable tax treatment for specific business provisions. Certain provisions are effective in 2025, while others will be implemented through 2027. Given that the legislation was signed into law after the close of the second quarter, its impacts are not included in the operating results for the six months ended June 30, 2025. The potential effects on the consolidated financial statements are currently under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NOTE 10. OTHER OPERATING AND NON-OPERATING ITEMS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operating credits and charges, net, is comprised of the following components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5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Reorganization charges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Legal settlement</w:t>
            </w:r>
          </w:p>
        </w:tc>
        <w:tc>
          <w:tcPr>
            <w:tcW w:w="112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asset disposal</w:t>
            </w:r>
          </w:p>
        </w:tc>
        <w:tc>
          <w:tcPr>
            <w:tcW w:w="1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6"/>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operating credits and charges, net</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non-operating items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non-operating items is comprised of the following components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5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52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Foreign currency gain (loss)</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9"/>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non-operating items</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r>
      <w:tr>
        <w:trPr>
          <w:trHeight w:val="20"/>
        </w:trPr>
        <w:tc>
          <w:tcPr>
            <w:tcW w:w="5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IMPAIRMENT OF LONG-LIVED ASSETS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decline significantly below cycle-average levels, if capital is allocated to alternative projects, or if changes occur in the wood supply for mills, future impairment charges may be required.</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Potential asset dispositions are also periodically reviewed, taking into account current and anticipated economic and industry conditions, the strategic plan, and other relevant factors. A decision to dispose of specific assets may require assumptions regarding the transaction structure of the disposition to estimate the net sales proceeds, which could be lower than prior estimates of undiscounted future net cash flows. As a result, impairment charges may be necessary in connection with such dispositions.</w:t>
      </w:r>
    </w:p>
    <w:p>
      <w:pPr>
        <w:spacing w:after="0" w:line="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second quarter of 2025, $17 million in non-cash, pre-tax impairment charges were recorded. These included $11 million related to acquired equipment that will not be utilized in future operations, $4 million related to property, plant, and equipment associated with a facility closure, and $2 million primarily related to an operating lease asset associated with a previously closed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NOTE 12. COMMITMENTS AND CONTINGENCIES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Reserves for various contingent liabilities were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3"/>
        </w:trPr>
        <w:tc>
          <w:tcPr>
            <w:tcW w:w="66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Environmental reserves</w:t>
            </w:r>
          </w:p>
        </w:tc>
        <w:tc>
          <w:tcPr>
            <w:tcW w:w="1780" w:type="dxa"/>
            <w:vAlign w:val="bottom"/>
            <w:tcBorders>
              <w:bottom w:val="single" w:sz="8" w:color="auto"/>
            </w:tcBorders>
            <w:shd w:val="clear" w:color="auto" w:fill="CCEEFF"/>
          </w:tcPr>
          <w:p>
            <w:pPr>
              <w:jc w:val="right"/>
              <w:ind w:right="1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3"/>
                <w:szCs w:val="13"/>
                <w:color w:val="auto"/>
              </w:rPr>
              <w:t>28</w:t>
            </w:r>
          </w:p>
        </w:tc>
      </w:tr>
      <w:tr>
        <w:trPr>
          <w:trHeight w:val="158"/>
        </w:trPr>
        <w:tc>
          <w:tcPr>
            <w:tcW w:w="66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contingencies</w:t>
            </w:r>
          </w:p>
        </w:tc>
        <w:tc>
          <w:tcPr>
            <w:tcW w:w="1780" w:type="dxa"/>
            <w:vAlign w:val="bottom"/>
          </w:tcPr>
          <w:p>
            <w:pPr>
              <w:spacing w:after="0"/>
              <w:rPr>
                <w:sz w:val="13"/>
                <w:szCs w:val="13"/>
                <w:color w:val="auto"/>
              </w:rPr>
            </w:pP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portion (included in Accounts payable and accrued liabilities)</w:t>
            </w:r>
          </w:p>
        </w:tc>
        <w:tc>
          <w:tcPr>
            <w:tcW w:w="1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3"/>
                <w:szCs w:val="13"/>
                <w:color w:val="auto"/>
                <w:w w:val="92"/>
              </w:rPr>
              <w:t>(1)</w:t>
            </w:r>
          </w:p>
        </w:tc>
      </w:tr>
      <w:tr>
        <w:trPr>
          <w:trHeight w:val="158"/>
        </w:trPr>
        <w:tc>
          <w:tcPr>
            <w:tcW w:w="66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Long-term portion</w:t>
            </w:r>
          </w:p>
        </w:tc>
        <w:tc>
          <w:tcPr>
            <w:tcW w:w="1780" w:type="dxa"/>
            <w:vAlign w:val="bottom"/>
            <w:tcBorders>
              <w:bottom w:val="single" w:sz="8" w:color="auto"/>
            </w:tcBorders>
          </w:tcPr>
          <w:p>
            <w:pPr>
              <w:jc w:val="right"/>
              <w:ind w:right="1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9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3"/>
                <w:szCs w:val="13"/>
                <w:color w:val="auto"/>
              </w:rPr>
              <w:t>27</w:t>
            </w:r>
          </w:p>
        </w:tc>
      </w:tr>
      <w:tr>
        <w:trPr>
          <w:trHeight w:val="20"/>
        </w:trPr>
        <w:tc>
          <w:tcPr>
            <w:tcW w:w="66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Estimates of loss contingencies are based on various assumptions and judgments. Due to the numerous uncertainties and variables associated with these assumptions and judgments, both the precision and reliability of the resulting estimates are subject to substantial uncertainty. Estimated exposure to contingencies is regularly monitored, and as additional information becomes available, estimates may change significantly. Although no estimate of the range of any such change can be made at this time, the amount ultimately paid in connection with these matters could materially exceed, in either the near term or the longer term, the amounts accrued to date. Estimates of loss contingencies do not reflect potential future recoveries from insurance carriers, except to the extent that recovery is deemed probable based on an insurer’s agreement to payment terms.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reserve is maintained for undiscounted estimated environmental loss contingencies. This reserve primarily covers estimated future costs for the remediation of hazardous or toxic substances at various sites currently or previously owned by the Company. Estimates of environmental loss contingencies are based on a range of assumptions and judgments, which vary depending on the specific facts and circumstances of each case. These estimates typically reflect management's assumptions regarding the probable nature, magnitude, and timing of required investigation, remediation, and/or monitoring activities, as well as the probable costs associated with those activities. In some cases, estimates also consider the obligation, willingness, or ability of third parties to bear a proportionate or allocated share of the costs.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Due to the numerous uncertainties and variables associated with these assumptions and judgments-as well as the potential effects of changes in governmental regulations and environmental technologies-the precision and reliability of the resulting estimates are subject to substantial uncertainty. Estimated exposure to environmental loss contingencies is regularly monitored, and estimates may be revised significantly as additional information becomes available.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Proceedings</w:t>
      </w:r>
    </w:p>
    <w:p>
      <w:pPr>
        <w:spacing w:after="0" w:line="9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From time to time, the Company and its subsidiaries are parties to certain legal proceedings arising in our ordinary course of business. Based on currently available information, management does not believe that the resolution of such proceedings could reasonably be expected to have a material adverse effect on the Company's financial position, results of operations, cash flows,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NOTE 13. PRODUCT WARRANTIES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Warranties are offered on the sale of most of our products, and an accrual is recorded for estimated future claims. These accruals are based upon historical experience and management’s estimate of future claim levels. The activity in the warranty reserves for the three and six months ended June 30, 2025, and 2024, is summarized in the following table (dollar amounts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50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5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warranty provision</w:t>
            </w:r>
          </w:p>
        </w:tc>
        <w:tc>
          <w:tcPr>
            <w:tcW w:w="112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00" w:type="dxa"/>
            <w:vAlign w:val="bottom"/>
          </w:tcPr>
          <w:p>
            <w:pPr>
              <w:jc w:val="center"/>
              <w:ind w:left="876"/>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made</w:t>
            </w:r>
          </w:p>
        </w:tc>
        <w:tc>
          <w:tcPr>
            <w:tcW w:w="1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center"/>
              <w:ind w:left="856"/>
              <w:spacing w:after="0"/>
              <w:rPr>
                <w:sz w:val="20"/>
                <w:szCs w:val="20"/>
                <w:color w:val="auto"/>
              </w:rPr>
            </w:pPr>
            <w:r>
              <w:rPr>
                <w:rFonts w:ascii="Times New Roman" w:cs="Times New Roman" w:eastAsia="Times New Roman" w:hAnsi="Times New Roman"/>
                <w:sz w:val="13"/>
                <w:szCs w:val="13"/>
                <w:color w:val="auto"/>
                <w:w w:val="92"/>
              </w:rPr>
              <w:t>(1)</w:t>
            </w:r>
          </w:p>
        </w:tc>
      </w:tr>
      <w:tr>
        <w:trPr>
          <w:trHeight w:val="158"/>
        </w:trPr>
        <w:tc>
          <w:tcPr>
            <w:tcW w:w="5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warranty reserves</w:t>
            </w:r>
          </w:p>
        </w:tc>
        <w:tc>
          <w:tcPr>
            <w:tcW w:w="1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left="876"/>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portion of warranty reserves (included in accounts payable and accrued liabilities)</w:t>
            </w:r>
          </w:p>
        </w:tc>
        <w:tc>
          <w:tcPr>
            <w:tcW w:w="1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856"/>
              <w:spacing w:after="0"/>
              <w:rPr>
                <w:sz w:val="20"/>
                <w:szCs w:val="20"/>
                <w:color w:val="auto"/>
              </w:rPr>
            </w:pPr>
            <w:r>
              <w:rPr>
                <w:rFonts w:ascii="Times New Roman" w:cs="Times New Roman" w:eastAsia="Times New Roman" w:hAnsi="Times New Roman"/>
                <w:sz w:val="13"/>
                <w:szCs w:val="13"/>
                <w:color w:val="auto"/>
                <w:w w:val="92"/>
              </w:rPr>
              <w:t>(2)</w:t>
            </w:r>
          </w:p>
        </w:tc>
      </w:tr>
      <w:tr>
        <w:trPr>
          <w:trHeight w:val="158"/>
        </w:trPr>
        <w:tc>
          <w:tcPr>
            <w:tcW w:w="5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Long-term portion of warranty reserves (included in other long-term liabilities)</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center"/>
              <w:ind w:left="876"/>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5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Warranty and other product-related claims continue to be monitored by management, and as of June 30, 2025, the warranty reserve balances associated with these matters are considered adequate to cover future warranty payments. However, additional adjustments may be required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ACCUMULATED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Accumulated comprehensive loss is provided in the following table for the three and six months ended June 30, 2025 and 2024 (dollar amounts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46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8"/>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8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SELECTED SEGMENT DATA</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operates in three segments: Siding, OSB, and LPSA. Our business units have been aggregated into these three segments based upon the similarity of economic characteristics, customers, and distribution methods. The results of operations are summarized below for each of these segments separately, as well as for the “Other” category, which comprises other products that are not individually significant.</w:t>
      </w:r>
    </w:p>
    <w:p>
      <w:pPr>
        <w:spacing w:after="0" w:line="51" w:lineRule="exact"/>
        <w:rPr>
          <w:sz w:val="20"/>
          <w:szCs w:val="20"/>
          <w:color w:val="auto"/>
        </w:rPr>
      </w:pPr>
    </w:p>
    <w:p>
      <w:pPr>
        <w:ind w:left="520" w:hanging="260"/>
        <w:spacing w:after="0" w:line="24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Siding segment serves diverse end markets with a broad product portfolio of engineered wood siding, trim, soffit, and fascia,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(collectively referred to as Siding Solutions).</w:t>
      </w:r>
    </w:p>
    <w:p>
      <w:pPr>
        <w:jc w:val="both"/>
        <w:ind w:left="520" w:hanging="260"/>
        <w:spacing w:after="0" w:line="22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(which includes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LP NovaCore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Thermal Insulated Sheathing,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350 Durable Sub-Flooring)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Oriented Strand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8" w:name="page19"/>
    <w:bookmarkEnd w:id="18"/>
    <w:p>
      <w:pPr>
        <w:jc w:val="both"/>
        <w:ind w:left="5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Performance of our business segments is evaluated based on net sales and segment Adjusted EBITDA. Accordingly, our chief operating decision maker, the chief executive officer, evaluates performance and allocates resources based primarily on net sales and segment Adjusted EBITDA for each business segment. Segment Adjusted EBITDA is defined as income attributed to LP excluding interest expense, provision for income taxes, depreciation and amortization, stock-based compensation expense, loss on impairment attributed to LP, business exit credits and charges, product-line discontinuance charges, other operating credits and charges, net, loss on early debt extinguishment, investment income, pension settlement charges, other non-operating items, income from discontinued operations, net of income taxes, and net income attributed to noncontrolling interest.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the Company's business segments is presented below (dollar amounts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June 30, 2025</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OSB</w:t>
            </w:r>
          </w:p>
        </w:tc>
        <w:tc>
          <w:tcPr>
            <w:tcW w:w="24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LPSA</w:t>
            </w:r>
          </w:p>
        </w:tc>
        <w:tc>
          <w:tcPr>
            <w:tcW w:w="1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Segment Total</w:t>
            </w: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755</w:t>
            </w:r>
          </w:p>
        </w:tc>
      </w:tr>
      <w:tr>
        <w:trPr>
          <w:trHeight w:val="168"/>
        </w:trPr>
        <w:tc>
          <w:tcPr>
            <w:tcW w:w="3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8"/>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Adjusted EBITDA:</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0"/>
        </w:trPr>
        <w:tc>
          <w:tcPr>
            <w:tcW w:w="3160" w:type="dxa"/>
            <w:vAlign w:val="bottom"/>
            <w:tcBorders>
              <w:bottom w:val="single" w:sz="8" w:color="CCEEFF"/>
            </w:tcBorders>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charges</w:t>
            </w:r>
            <w:r>
              <w:rPr>
                <w:rFonts w:ascii="Times New Roman" w:cs="Times New Roman" w:eastAsia="Times New Roman" w:hAnsi="Times New Roman"/>
                <w:sz w:val="16"/>
                <w:szCs w:val="16"/>
                <w:color w:val="auto"/>
                <w:vertAlign w:val="superscript"/>
              </w:rPr>
              <w:t>1</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8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gridSpan w:val="5"/>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31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ind w:left="160"/>
              <w:spacing w:after="0" w:line="131" w:lineRule="exact"/>
              <w:rPr>
                <w:sz w:val="20"/>
                <w:szCs w:val="20"/>
                <w:color w:val="auto"/>
              </w:rPr>
            </w:pPr>
            <w:r>
              <w:rPr>
                <w:rFonts w:ascii="Times New Roman" w:cs="Times New Roman" w:eastAsia="Times New Roman" w:hAnsi="Times New Roman"/>
                <w:sz w:val="13"/>
                <w:szCs w:val="13"/>
                <w:b w:val="1"/>
                <w:bCs w:val="1"/>
                <w:color w:val="auto"/>
              </w:rPr>
              <w:t>Three Months Ended June 30, 2024</w:t>
            </w: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60"/>
        </w:trPr>
        <w:tc>
          <w:tcPr>
            <w:tcW w:w="316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OSB</w:t>
            </w:r>
          </w:p>
        </w:tc>
        <w:tc>
          <w:tcPr>
            <w:tcW w:w="24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LPSA</w:t>
            </w:r>
          </w:p>
        </w:tc>
        <w:tc>
          <w:tcPr>
            <w:tcW w:w="16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Segment Total</w:t>
            </w:r>
          </w:p>
        </w:tc>
        <w:tc>
          <w:tcPr>
            <w:tcW w:w="26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3"/>
                <w:szCs w:val="13"/>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351</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814</w:t>
            </w:r>
          </w:p>
        </w:tc>
      </w:tr>
      <w:tr>
        <w:trPr>
          <w:trHeight w:val="168"/>
        </w:trPr>
        <w:tc>
          <w:tcPr>
            <w:tcW w:w="3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Adjusted EBITDA:</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0"/>
        </w:trPr>
        <w:tc>
          <w:tcPr>
            <w:tcW w:w="31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charges</w:t>
            </w:r>
            <w:r>
              <w:rPr>
                <w:rFonts w:ascii="Times New Roman" w:cs="Times New Roman" w:eastAsia="Times New Roman" w:hAnsi="Times New Roman"/>
                <w:sz w:val="16"/>
                <w:szCs w:val="16"/>
                <w:color w:val="auto"/>
                <w:vertAlign w:val="superscript"/>
              </w:rPr>
              <w:t>1</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240</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229</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gridSpan w:val="5"/>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31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ind w:left="240"/>
              <w:spacing w:after="0" w:line="131" w:lineRule="exact"/>
              <w:rPr>
                <w:sz w:val="20"/>
                <w:szCs w:val="20"/>
                <w:color w:val="auto"/>
              </w:rPr>
            </w:pPr>
            <w:r>
              <w:rPr>
                <w:rFonts w:ascii="Times New Roman" w:cs="Times New Roman" w:eastAsia="Times New Roman" w:hAnsi="Times New Roman"/>
                <w:sz w:val="13"/>
                <w:szCs w:val="13"/>
                <w:b w:val="1"/>
                <w:bCs w:val="1"/>
                <w:color w:val="auto"/>
              </w:rPr>
              <w:t>Six Months Ended June 30, 2025</w:t>
            </w: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60"/>
        </w:trPr>
        <w:tc>
          <w:tcPr>
            <w:tcW w:w="316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OSB</w:t>
            </w:r>
          </w:p>
        </w:tc>
        <w:tc>
          <w:tcPr>
            <w:tcW w:w="24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LPSA</w:t>
            </w:r>
          </w:p>
        </w:tc>
        <w:tc>
          <w:tcPr>
            <w:tcW w:w="16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Segment Total</w:t>
            </w:r>
          </w:p>
        </w:tc>
        <w:tc>
          <w:tcPr>
            <w:tcW w:w="26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3"/>
                <w:szCs w:val="13"/>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1,474</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1,478</w:t>
            </w:r>
          </w:p>
        </w:tc>
      </w:tr>
      <w:tr>
        <w:trPr>
          <w:trHeight w:val="168"/>
        </w:trPr>
        <w:tc>
          <w:tcPr>
            <w:tcW w:w="3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w:t>
            </w: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68"/>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Adjusted EBITDA:</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0"/>
        </w:trPr>
        <w:tc>
          <w:tcPr>
            <w:tcW w:w="3160" w:type="dxa"/>
            <w:vAlign w:val="bottom"/>
            <w:tcBorders>
              <w:bottom w:val="single" w:sz="8" w:color="CCEEFF"/>
            </w:tcBorders>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charges</w:t>
            </w:r>
            <w:r>
              <w:rPr>
                <w:rFonts w:ascii="Times New Roman" w:cs="Times New Roman" w:eastAsia="Times New Roman" w:hAnsi="Times New Roman"/>
                <w:sz w:val="16"/>
                <w:szCs w:val="16"/>
                <w:color w:val="auto"/>
                <w:vertAlign w:val="superscript"/>
              </w:rPr>
              <w:t>1</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8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230</w:t>
            </w: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w:t>
            </w: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324</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gridSpan w:val="5"/>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31"/>
        </w:trPr>
        <w:tc>
          <w:tcPr>
            <w:tcW w:w="31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5"/>
          </w:tcPr>
          <w:p>
            <w:pPr>
              <w:ind w:left="240"/>
              <w:spacing w:after="0" w:line="131" w:lineRule="exact"/>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2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60"/>
        </w:trPr>
        <w:tc>
          <w:tcPr>
            <w:tcW w:w="316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OSB</w:t>
            </w:r>
          </w:p>
        </w:tc>
        <w:tc>
          <w:tcPr>
            <w:tcW w:w="240" w:type="dxa"/>
            <w:vAlign w:val="bottom"/>
          </w:tcPr>
          <w:p>
            <w:pPr>
              <w:spacing w:after="0"/>
              <w:rPr>
                <w:sz w:val="13"/>
                <w:szCs w:val="13"/>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LPSA</w:t>
            </w:r>
          </w:p>
        </w:tc>
        <w:tc>
          <w:tcPr>
            <w:tcW w:w="160" w:type="dxa"/>
            <w:vAlign w:val="bottom"/>
          </w:tcPr>
          <w:p>
            <w:pPr>
              <w:spacing w:after="0"/>
              <w:rPr>
                <w:sz w:val="13"/>
                <w:szCs w:val="13"/>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Segment Total</w:t>
            </w:r>
          </w:p>
        </w:tc>
        <w:tc>
          <w:tcPr>
            <w:tcW w:w="26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3"/>
                <w:szCs w:val="13"/>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1,539</w:t>
            </w:r>
          </w:p>
        </w:tc>
      </w:tr>
      <w:tr>
        <w:trPr>
          <w:trHeight w:val="168"/>
        </w:trPr>
        <w:tc>
          <w:tcPr>
            <w:tcW w:w="3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w:t>
            </w: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r>
      <w:tr>
        <w:trPr>
          <w:trHeight w:val="168"/>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Adjusted EBITDA:</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0"/>
        </w:trPr>
        <w:tc>
          <w:tcPr>
            <w:tcW w:w="31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charges</w:t>
            </w:r>
            <w:r>
              <w:rPr>
                <w:rFonts w:ascii="Times New Roman" w:cs="Times New Roman" w:eastAsia="Times New Roman" w:hAnsi="Times New Roman"/>
                <w:sz w:val="16"/>
                <w:szCs w:val="16"/>
                <w:color w:val="auto"/>
                <w:vertAlign w:val="superscript"/>
              </w:rPr>
              <w:t>1</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8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80" w:hanging="75"/>
        <w:spacing w:after="0"/>
        <w:tabs>
          <w:tab w:leader="none" w:pos="8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Other charges includes stock compensation and income from equity in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77"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420" w:type="dxa"/>
            <w:vAlign w:val="bottom"/>
            <w:tcBorders>
              <w:bottom w:val="single" w:sz="8" w:color="auto"/>
            </w:tcBorders>
          </w:tcPr>
          <w:p>
            <w:pPr>
              <w:spacing w:after="0"/>
              <w:rPr>
                <w:sz w:val="14"/>
                <w:szCs w:val="14"/>
                <w:color w:val="auto"/>
              </w:rPr>
            </w:pPr>
          </w:p>
        </w:tc>
      </w:tr>
      <w:tr>
        <w:trPr>
          <w:trHeight w:val="160"/>
        </w:trPr>
        <w:tc>
          <w:tcPr>
            <w:tcW w:w="504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3"/>
                <w:szCs w:val="13"/>
                <w:color w:val="auto"/>
              </w:rPr>
            </w:pPr>
          </w:p>
        </w:tc>
      </w:tr>
      <w:tr>
        <w:trPr>
          <w:trHeight w:val="150"/>
        </w:trPr>
        <w:tc>
          <w:tcPr>
            <w:tcW w:w="50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NET INCOME TO ADJUSTED EBITDA RECONCILIATION</w:t>
            </w: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0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267</w:t>
            </w:r>
          </w:p>
        </w:tc>
      </w:tr>
      <w:tr>
        <w:trPr>
          <w:trHeight w:val="168"/>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 (deduct):</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impairment</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Business exit credits and charges</w:t>
            </w:r>
          </w:p>
        </w:tc>
        <w:tc>
          <w:tcPr>
            <w:tcW w:w="108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income</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9"/>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142</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229</w:t>
            </w: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right"/>
              <w:ind w:right="90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304</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411</w:t>
            </w:r>
          </w:p>
        </w:tc>
      </w:tr>
      <w:tr>
        <w:trPr>
          <w:trHeight w:val="20"/>
        </w:trPr>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concerning identifiable assets by segment is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5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Identifiable Assets</w:t>
            </w:r>
          </w:p>
        </w:tc>
        <w:tc>
          <w:tcPr>
            <w:tcW w:w="17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r>
      <w:tr>
        <w:trPr>
          <w:trHeight w:val="168"/>
        </w:trPr>
        <w:tc>
          <w:tcPr>
            <w:tcW w:w="6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Siding</w:t>
            </w:r>
          </w:p>
        </w:tc>
        <w:tc>
          <w:tcPr>
            <w:tcW w:w="1700" w:type="dxa"/>
            <w:vAlign w:val="bottom"/>
          </w:tcPr>
          <w:p>
            <w:pPr>
              <w:jc w:val="right"/>
              <w:ind w:right="15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w:t>
            </w:r>
          </w:p>
        </w:tc>
        <w:tc>
          <w:tcPr>
            <w:tcW w:w="14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r>
      <w:tr>
        <w:trPr>
          <w:trHeight w:val="172"/>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w:t>
            </w:r>
          </w:p>
        </w:tc>
        <w:tc>
          <w:tcPr>
            <w:tcW w:w="17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r>
      <w:tr>
        <w:trPr>
          <w:trHeight w:val="168"/>
        </w:trPr>
        <w:tc>
          <w:tcPr>
            <w:tcW w:w="6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LPSA</w:t>
            </w:r>
          </w:p>
        </w:tc>
        <w:tc>
          <w:tcPr>
            <w:tcW w:w="17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2"/>
        </w:trPr>
        <w:tc>
          <w:tcPr>
            <w:tcW w:w="6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7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159"/>
        </w:trPr>
        <w:tc>
          <w:tcPr>
            <w:tcW w:w="66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700" w:type="dxa"/>
            <w:vAlign w:val="bottom"/>
            <w:tcBorders>
              <w:bottom w:val="single" w:sz="8" w:color="auto"/>
            </w:tcBorders>
          </w:tcPr>
          <w:p>
            <w:pPr>
              <w:jc w:val="right"/>
              <w:ind w:right="15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2,656</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2,569</w:t>
            </w:r>
          </w:p>
        </w:tc>
      </w:tr>
      <w:tr>
        <w:trPr>
          <w:trHeight w:val="20"/>
        </w:trPr>
        <w:tc>
          <w:tcPr>
            <w:tcW w:w="6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segment related assets include cash and cash equivalents, short-term and long-term investments, corporate assets,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should be read in conjunction with our Condensed Consolidated Financial Statements and related Notes and other financial information appearing elsewhere in this quarterly report on Form 10-Q.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included in our 2024 Annual Report on Form 10-K and in this quarterly report on Form 10-Q. These risks and uncertainties could cause actual results to differ materially from those projected in the forward-looking statements contained in this quarterly report on Form 10-Q or implied by past results and trends. Our historical results are not necessarily indicative of the results that may be expected for any period in the future, and our interim results are not necessarily indicative of the results we expect for the full fiscal year or any other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 To serve these markets, we operate in three segments: Siding, Oriented Strand Board (OSB), and LP South America (LPSA).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Demand for Building Products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Demand for our products correlates positively with new home construction and repair and remodeling activity in North America, which historically has been characterized by significant cyclicality. The U.S. Census Bureau reported on July 18, 2025, that actual single-family housing starts were 9% and 7% lower, respectively, for the three and six months ended June 30, 2025, as compared to the same periods in 2024. Actual multi-family housing starts for the three and six months ended June 30, 2025, were 22% and 17% higher, respectively, as compared to the same periods in 2024. Repair and remodeling activity is difficult to reasonably measure, but the general sentiment among repair and remodeling contractors is more cautious than expected earlier in the year.</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Future economic conditions in the United States and the demand for homes are uncertain due to various macroeconomic factors, including interest rates, employment levels, changing trade policy in various jurisdictions (including the imposition of trade barriers, new tariffs and the modification of existing tariffs), consumer confidence, and financial markets, among other things. Additionally, we have experienced increases in material prices, supply disruptions, and labor challenges, which we continue to address as we work to meet the demands of builders, remodelers, and homeowners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4"/>
          <w:szCs w:val="14"/>
          <w:color w:val="auto"/>
        </w:rPr>
        <w:t>The international trade landscape has been extremely volatile in recent periods. The U.S. government has recently announced significant changes to U.S. trade policy, including the implementation or planned imposition of new or increased tariffs on a broad range of goods imported from international markets, including Canada and China, as well as the potential modification or termination of existing trade agreements between the U.S. and certain other countries. In response, certain countries have imposed, or are considering, retaliatory tariffs on U.S. exports. The global tariff landscape continues to shift rapidly, with changes impacting businesses and markets around the world. These changes could negatively affect our sales and our competitive position within the U.S. market and in markets outside the U.S. Further, changing trade policy in the U.S. and other countries, particularly Canada and China, could increase the cost of certain raw materials or components that are critical to our manufacturing process, which could have a material negative impact on our manufacturing costs and our overall financial performance. While we are actively exploring opportunities to mitigate these increased costs, there can be no guarantee that we will be able to achieve successful mitigation strategies or meaningfully offset the financial impact of new or increased tariffs, or other adverse changes to trade policy, in the U.S. or other countries. In the six months ended June 30, 2025, our cost of sales in the Siding segment was negatively impacted by $5 million related to new or increased tariffs. Based on a preliminary analysis of the potential effects of the tariffs that are currently in force in the United States, as well as in other markets where we operate, we estimate that we could incur potential incremental costs of approximately $12 million in 2025, most of which would likely be incurred by the Siding segment. The potential impact of these factors on our future operational and financial performance is uncertain. As a result, our past performance may not be indicative of future results.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and Demand for Siding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Siding Solutions products are specialty building materials and are subject to competition from various siding technologies, including vinyl, stucco, wood, fiber cement, brick, and others. We believe we are the largest manufacturer of engineered wood siding in North America and South America.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and Demand for OSB</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OSB is a commodity product, and it is subject to competition from manufacturers worldwide. Product supply is influenced primarily by fluctuations in available manufacturing capacity and imports.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overall OSB demand to capacity generally drives price. We cannot predict whether the prices of our OSB products will remain at current levels or fluctuate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Critical Accounting Policies and Significant Estimates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Note 1 of the Notes to the Consolidated Financial Statements included in our 2024 Annual Report on Form 10-K is a discussion of our significant accounting policies and significant accounting estimates and judgments. Throughout the preparation of the financial statements, we employ significant judgments in the application of accounting principles and methods. These judgments are primarily related to the assumptions used to arrive at various estimates.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changes in the application of principles, methods, and assumptions used to determine our significant estimates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auto"/>
        </w:rPr>
        <w:t>Non-GAAP Financial Measures and Other Key Performance Indicators</w:t>
      </w:r>
    </w:p>
    <w:p>
      <w:pPr>
        <w:spacing w:after="0" w:line="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quarterly report on Form 10-Q, we disclose net income excluding interest expense, provision for income taxes, depreciation and amortization, stock-based compensation expense, loss on impairment attributed to LP, business exit credits and charges, product-line discontinuance charges, other operating credits and charges, net, loss on early debt extinguishment, investment income, pension settlement charges, other non-operating items, income from discontinued operations, net of income taxes, and net income attributed to noncontrolling interest, as Adjusted EBITDA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net income excluding loss on impairment attributed to LP, business exit credits and charges, product-line discontinuance charges, interest expense outside of normal operations, other operating credits and charges, net, loss on early debt extinguishment, gain (loss) on acquisition, pension settlement charges, income from discontinued operations, net of income taxes, and net income attributed to noncontrolling interest, and adjusting for a normalized tax rate, as Adjusted Income (Adjusted Income), which is a non-GAAP financial measure. We also disclose Adjusted Diluted EPS, which is calculated as Adjusted Income divided by diluted shares outstanding (Adjusted Diluted EPS).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measures, net income and net income per share of common stock - diluted, respectively, are presented below.</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Adjusted EBITDA, Adjusted Income, and Adjusted Diluted EPS are not substitutes for the U.S. GAAP measures of net income and net income per share of common stock - diluted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The following table reconciles net income to Adjusted EBITDA (dollar amounts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267</w:t>
            </w:r>
          </w:p>
        </w:tc>
        <w:tc>
          <w:tcPr>
            <w:tcW w:w="0" w:type="dxa"/>
            <w:vAlign w:val="bottom"/>
          </w:tcPr>
          <w:p>
            <w:pPr>
              <w:spacing w:after="0"/>
              <w:rPr>
                <w:sz w:val="1"/>
                <w:szCs w:val="1"/>
                <w:color w:val="auto"/>
              </w:rPr>
            </w:pP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on impairment</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Business exit credits and charges</w:t>
            </w:r>
          </w:p>
        </w:tc>
        <w:tc>
          <w:tcPr>
            <w:tcW w:w="10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income</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non-operating items</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86"/>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229</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 BY SEGMENT</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Siding</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68"/>
        </w:trPr>
        <w:tc>
          <w:tcPr>
            <w:tcW w:w="5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OSB</w:t>
            </w: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72"/>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LPSA</w:t>
            </w: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6"/>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w:t>
            </w: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229</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reconciliation of net income to Adjusted Income (dollar amounts in millions, except per share amounts):</w:t>
      </w:r>
    </w:p>
    <w:p>
      <w:pPr>
        <w:spacing w:after="0" w:line="127" w:lineRule="exact"/>
        <w:rPr>
          <w:sz w:val="20"/>
          <w:szCs w:val="20"/>
          <w:color w:val="auto"/>
        </w:rPr>
      </w:pPr>
    </w:p>
    <w:tbl>
      <w:tblPr>
        <w:tblLayout w:type="fixed"/>
        <w:tblInd w:w="24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440" w:type="dxa"/>
            <w:vAlign w:val="bottom"/>
            <w:tcBorders>
              <w:bottom w:val="single" w:sz="8" w:color="auto"/>
            </w:tcBorders>
          </w:tcPr>
          <w:p>
            <w:pPr>
              <w:spacing w:after="0"/>
              <w:rPr>
                <w:sz w:val="14"/>
                <w:szCs w:val="14"/>
                <w:color w:val="auto"/>
              </w:rPr>
            </w:pPr>
          </w:p>
        </w:tc>
      </w:tr>
      <w:tr>
        <w:trPr>
          <w:trHeight w:val="161"/>
        </w:trPr>
        <w:tc>
          <w:tcPr>
            <w:tcW w:w="45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r>
      <w:tr>
        <w:trPr>
          <w:trHeight w:val="16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per share of common stock - diluted</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0.77</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3.71</w:t>
            </w:r>
          </w:p>
        </w:tc>
      </w:tr>
      <w:tr>
        <w:trPr>
          <w:trHeight w:val="212"/>
        </w:trPr>
        <w:tc>
          <w:tcPr>
            <w:tcW w:w="4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267</w:t>
            </w:r>
          </w:p>
        </w:tc>
      </w:tr>
      <w:tr>
        <w:trPr>
          <w:trHeight w:val="168"/>
        </w:trPr>
        <w:tc>
          <w:tcPr>
            <w:tcW w:w="4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impairment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4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Business exit credits and charges</w:t>
            </w:r>
          </w:p>
        </w:tc>
        <w:tc>
          <w:tcPr>
            <w:tcW w:w="10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Reported tax provision</w:t>
            </w: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58"/>
        </w:trPr>
        <w:tc>
          <w:tcPr>
            <w:tcW w:w="4520" w:type="dxa"/>
            <w:vAlign w:val="bottom"/>
          </w:tcPr>
          <w:p>
            <w:pPr>
              <w:ind w:left="100"/>
              <w:spacing w:after="0" w:line="146" w:lineRule="exact"/>
              <w:rPr>
                <w:sz w:val="20"/>
                <w:szCs w:val="20"/>
                <w:color w:val="auto"/>
              </w:rPr>
            </w:pPr>
            <w:r>
              <w:rPr>
                <w:rFonts w:ascii="Times New Roman" w:cs="Times New Roman" w:eastAsia="Times New Roman" w:hAnsi="Times New Roman"/>
                <w:sz w:val="13"/>
                <w:szCs w:val="13"/>
                <w:color w:val="auto"/>
              </w:rPr>
              <w:t>Adjusted income before tax</w:t>
            </w:r>
          </w:p>
        </w:tc>
        <w:tc>
          <w:tcPr>
            <w:tcW w:w="10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r>
      <w:tr>
        <w:trPr>
          <w:trHeight w:val="172"/>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Normalized tax provision at 25%</w:t>
            </w: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9"/>
        </w:trPr>
        <w:tc>
          <w:tcPr>
            <w:tcW w:w="45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Income</w:t>
            </w: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w:t>
            </w: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150</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158</w:t>
            </w: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261</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53"/>
        </w:trPr>
        <w:tc>
          <w:tcPr>
            <w:tcW w:w="4520" w:type="dxa"/>
            <w:vAlign w:val="bottom"/>
            <w:shd w:val="clear" w:color="auto" w:fill="CCEEFF"/>
          </w:tcPr>
          <w:p>
            <w:pPr>
              <w:ind w:left="100"/>
              <w:spacing w:after="0" w:line="146" w:lineRule="exact"/>
              <w:rPr>
                <w:sz w:val="20"/>
                <w:szCs w:val="20"/>
                <w:color w:val="auto"/>
              </w:rPr>
            </w:pPr>
            <w:r>
              <w:rPr>
                <w:rFonts w:ascii="Times New Roman" w:cs="Times New Roman" w:eastAsia="Times New Roman" w:hAnsi="Times New Roman"/>
                <w:sz w:val="13"/>
                <w:szCs w:val="13"/>
                <w:color w:val="auto"/>
              </w:rPr>
              <w:t>Diluted shares outstanding</w:t>
            </w: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70"/>
        </w:trPr>
        <w:tc>
          <w:tcPr>
            <w:tcW w:w="45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Adjusted Diluted EPS</w:t>
            </w: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0.99</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2.09</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2.26</w:t>
            </w: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3.62</w:t>
            </w:r>
          </w:p>
        </w:tc>
      </w:tr>
      <w:tr>
        <w:trPr>
          <w:trHeight w:val="20"/>
        </w:trPr>
        <w:tc>
          <w:tcPr>
            <w:tcW w:w="4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Performance Indicators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management monitors certain key performance indicators to evaluate our business performance, which include our Overall Equipment Effectiveness (OEE) and our sales volume relative to housing starts, as provided by reports from the U.S. Census Bureau.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4"/>
          <w:szCs w:val="14"/>
          <w:color w:val="auto"/>
        </w:rPr>
        <w:t>The following tables present summary data relating to: (i) housing starts within the United States, (ii) our sales volumes, and (iii) our OEE performance. We consider these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U.S. GAAP. These measures may not be comparable to similarly titled performance indicators used by other companies.</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housing starts, which is a leading external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performance indicators reported by other companies.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housing starts for the three and six months ended June 30, 2025 and 2024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3280" w:type="dxa"/>
            <w:vAlign w:val="bottom"/>
            <w:gridSpan w:val="4"/>
          </w:tcPr>
          <w:p>
            <w:pPr>
              <w:ind w:left="7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960" w:type="dxa"/>
            <w:vAlign w:val="bottom"/>
            <w:gridSpan w:val="3"/>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61"/>
        </w:trPr>
        <w:tc>
          <w:tcPr>
            <w:tcW w:w="5040" w:type="dxa"/>
            <w:vAlign w:val="bottom"/>
            <w:tcBorders>
              <w:bottom w:val="single" w:sz="8" w:color="CCEEFF"/>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1"/>
        </w:trPr>
        <w:tc>
          <w:tcPr>
            <w:tcW w:w="504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3"/>
                <w:szCs w:val="13"/>
                <w:b w:val="1"/>
                <w:bCs w:val="1"/>
                <w:color w:val="auto"/>
              </w:rPr>
              <w:t>Housing starts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68"/>
        </w:trPr>
        <w:tc>
          <w:tcPr>
            <w:tcW w:w="5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Single-Family</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r>
      <w:tr>
        <w:trPr>
          <w:trHeight w:val="1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Multi-Family</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80" w:type="dxa"/>
            <w:vAlign w:val="bottom"/>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60"/>
        </w:trPr>
        <w:tc>
          <w:tcPr>
            <w:tcW w:w="5040" w:type="dxa"/>
            <w:vAlign w:val="bottom"/>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20" w:type="dxa"/>
            <w:vAlign w:val="bottom"/>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80" w:type="dxa"/>
            <w:vAlign w:val="bottom"/>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w:t>
            </w:r>
          </w:p>
        </w:tc>
      </w:tr>
      <w:tr>
        <w:trPr>
          <w:trHeight w:val="20"/>
        </w:trPr>
        <w:tc>
          <w:tcPr>
            <w:tcW w:w="5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60" w:hanging="55"/>
        <w:spacing w:after="0"/>
        <w:tabs>
          <w:tab w:leader="none" w:pos="60"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Actual U.S. housing starts data, in thousands, reported by the U.S. Census Bureau as published through July 18, 2025.</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sales volumes for our products in our Siding, OSB, and LPSA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sales volumes for the three and six months ended June 30, 2025 and 2024 (in MMSF):</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Three Months Ended June 30, 2025</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 2024</w:t>
            </w:r>
          </w:p>
        </w:tc>
        <w:tc>
          <w:tcPr>
            <w:tcW w:w="920" w:type="dxa"/>
            <w:vAlign w:val="bottom"/>
            <w:tcBorders>
              <w:bottom w:val="single" w:sz="8" w:color="auto"/>
            </w:tcBorders>
          </w:tcPr>
          <w:p>
            <w:pPr>
              <w:spacing w:after="0"/>
              <w:rPr>
                <w:sz w:val="14"/>
                <w:szCs w:val="14"/>
                <w:color w:val="auto"/>
              </w:rPr>
            </w:pPr>
          </w:p>
        </w:tc>
      </w:tr>
      <w:tr>
        <w:trPr>
          <w:trHeight w:val="16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9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10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OSB</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9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OSB</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LPSA</w:t>
            </w:r>
          </w:p>
        </w:tc>
        <w:tc>
          <w:tcPr>
            <w:tcW w:w="9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2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w:t>
            </w:r>
          </w:p>
        </w:tc>
        <w:tc>
          <w:tcPr>
            <w:tcW w:w="900" w:type="dxa"/>
            <w:vAlign w:val="bottom"/>
            <w:tcBorders>
              <w:top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168"/>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900" w:type="dxa"/>
            <w:vAlign w:val="bottom"/>
          </w:tcPr>
          <w:p>
            <w:pPr>
              <w:jc w:val="center"/>
              <w:ind w:left="61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r>
      <w:tr>
        <w:trPr>
          <w:trHeight w:val="17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900" w:type="dxa"/>
            <w:vAlign w:val="bottom"/>
            <w:shd w:val="clear" w:color="auto" w:fill="CCEEFF"/>
          </w:tcPr>
          <w:p>
            <w:pPr>
              <w:jc w:val="center"/>
              <w:ind w:left="61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r>
    </w:tbl>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Six Months Ended June 30, 2025</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920" w:type="dxa"/>
            <w:vAlign w:val="bottom"/>
            <w:tcBorders>
              <w:bottom w:val="single" w:sz="8" w:color="auto"/>
            </w:tcBorders>
          </w:tcPr>
          <w:p>
            <w:pPr>
              <w:spacing w:after="0"/>
              <w:rPr>
                <w:sz w:val="14"/>
                <w:szCs w:val="14"/>
                <w:color w:val="auto"/>
              </w:rPr>
            </w:pPr>
          </w:p>
        </w:tc>
      </w:tr>
      <w:tr>
        <w:trPr>
          <w:trHeight w:val="164"/>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OSB</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9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10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OSB</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LPSA</w:t>
            </w:r>
          </w:p>
        </w:tc>
        <w:tc>
          <w:tcPr>
            <w:tcW w:w="9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32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w:t>
            </w:r>
          </w:p>
        </w:tc>
      </w:tr>
      <w:tr>
        <w:trPr>
          <w:trHeight w:val="168"/>
        </w:trPr>
        <w:tc>
          <w:tcPr>
            <w:tcW w:w="3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w:t>
            </w:r>
          </w:p>
        </w:tc>
      </w:tr>
      <w:tr>
        <w:trPr>
          <w:trHeight w:val="172"/>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4"/>
          <w:szCs w:val="14"/>
          <w:color w:val="auto"/>
        </w:rPr>
        <w:t>We measure Overall Equipment Effectiveness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OEE for the three and six months ended June 30, 2025 and 2024, for each of our segments is listed below:</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Three Months Ended 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3"/>
                <w:szCs w:val="13"/>
                <w:b w:val="1"/>
                <w:bCs w:val="1"/>
                <w:color w:val="auto"/>
                <w:w w:val="99"/>
              </w:rPr>
              <w:t>Six Months Ended June 30,</w:t>
            </w:r>
          </w:p>
        </w:tc>
        <w:tc>
          <w:tcPr>
            <w:tcW w:w="1100" w:type="dxa"/>
            <w:vAlign w:val="bottom"/>
            <w:tcBorders>
              <w:bottom w:val="single" w:sz="8" w:color="auto"/>
            </w:tcBorders>
          </w:tcPr>
          <w:p>
            <w:pPr>
              <w:spacing w:after="0"/>
              <w:rPr>
                <w:sz w:val="14"/>
                <w:szCs w:val="14"/>
                <w:color w:val="auto"/>
              </w:rPr>
            </w:pPr>
          </w:p>
        </w:tc>
      </w:tr>
      <w:tr>
        <w:trPr>
          <w:trHeight w:val="161"/>
        </w:trPr>
        <w:tc>
          <w:tcPr>
            <w:tcW w:w="35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2"/>
        </w:trPr>
        <w:tc>
          <w:tcPr>
            <w:tcW w:w="3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w:t>
            </w:r>
          </w:p>
        </w:tc>
        <w:tc>
          <w:tcPr>
            <w:tcW w:w="10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r>
      <w:tr>
        <w:trPr>
          <w:trHeight w:val="168"/>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2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r>
      <w:tr>
        <w:trPr>
          <w:trHeight w:val="172"/>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results of operations for each of our segments are discussed below, as are the results of operations for the “Other” category, which comprises other products that are not individually significant. See "Note 15. Selected Segment Data" of the Notes to the Condensed Consolidated Financial Statements included in "Item 1. Financial Statements" of this quarterly report on Form 10-Q for further information regarding our segments.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Siding</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Siding segment serves diverse end markets with a broad product portfolio of engineered wood siding, trim, soffit, and fascia,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(collectively referred to as Siding Solutions).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0" w:type="dxa"/>
            <w:vAlign w:val="bottom"/>
            <w:tcBorders>
              <w:bottom w:val="single" w:sz="8" w:color="auto"/>
            </w:tcBorders>
          </w:tcPr>
          <w:p>
            <w:pPr>
              <w:spacing w:after="0"/>
              <w:rPr>
                <w:sz w:val="14"/>
                <w:szCs w:val="14"/>
                <w:color w:val="auto"/>
              </w:rPr>
            </w:pPr>
          </w:p>
        </w:tc>
      </w:tr>
      <w:tr>
        <w:trPr>
          <w:trHeight w:val="161"/>
        </w:trPr>
        <w:tc>
          <w:tcPr>
            <w:tcW w:w="38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38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65"/>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7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line were as follows (dollar amounts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1"/>
        </w:trPr>
        <w:tc>
          <w:tcPr>
            <w:tcW w:w="38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w w:val="98"/>
              </w:rPr>
              <w:t>% Change</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40" w:type="dxa"/>
            <w:vAlign w:val="bottom"/>
            <w:tcBorders>
              <w:bottom w:val="single" w:sz="8" w:color="auto"/>
            </w:tcBorders>
          </w:tcPr>
          <w:p>
            <w:pPr>
              <w:spacing w:after="0"/>
              <w:rPr>
                <w:sz w:val="14"/>
                <w:szCs w:val="14"/>
                <w:color w:val="auto"/>
              </w:rPr>
            </w:pPr>
          </w:p>
        </w:tc>
      </w:tr>
      <w:tr>
        <w:trPr>
          <w:trHeight w:val="162"/>
        </w:trPr>
        <w:tc>
          <w:tcPr>
            <w:tcW w:w="38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68"/>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86"/>
        </w:trPr>
        <w:tc>
          <w:tcPr>
            <w:tcW w:w="38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460</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415</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11 %</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862</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11 %</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Percent changes in average net sales prices and unit shipments for the three and six months ended June 30, 2025, compared to the corresponding periods in 2024,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20" w:type="dxa"/>
            <w:vAlign w:val="bottom"/>
            <w:gridSpan w:val="3"/>
          </w:tcPr>
          <w:p>
            <w:pPr>
              <w:jc w:val="center"/>
              <w:ind w:right="756"/>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3"/>
          </w:tcPr>
          <w:p>
            <w:pPr>
              <w:jc w:val="center"/>
              <w:ind w:left="1196"/>
              <w:spacing w:after="0"/>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1260" w:type="dxa"/>
            <w:vAlign w:val="bottom"/>
          </w:tcPr>
          <w:p>
            <w:pPr>
              <w:spacing w:after="0"/>
              <w:rPr>
                <w:sz w:val="12"/>
                <w:szCs w:val="12"/>
                <w:color w:val="auto"/>
              </w:rPr>
            </w:pPr>
          </w:p>
        </w:tc>
      </w:tr>
      <w:tr>
        <w:trPr>
          <w:trHeight w:val="169"/>
        </w:trPr>
        <w:tc>
          <w:tcPr>
            <w:tcW w:w="3780" w:type="dxa"/>
            <w:vAlign w:val="bottom"/>
          </w:tcPr>
          <w:p>
            <w:pPr>
              <w:spacing w:after="0"/>
              <w:rPr>
                <w:sz w:val="14"/>
                <w:szCs w:val="14"/>
                <w:color w:val="auto"/>
              </w:rPr>
            </w:pPr>
          </w:p>
        </w:tc>
        <w:tc>
          <w:tcPr>
            <w:tcW w:w="3260" w:type="dxa"/>
            <w:vAlign w:val="bottom"/>
            <w:tcBorders>
              <w:bottom w:val="single" w:sz="8" w:color="auto"/>
            </w:tcBorders>
            <w:gridSpan w:val="4"/>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7"/>
              </w:rPr>
              <w:t>June 30, 2025 versus 2024</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June 30, 2025 versus 2024</w:t>
            </w:r>
          </w:p>
        </w:tc>
      </w:tr>
      <w:tr>
        <w:trPr>
          <w:trHeight w:val="119"/>
        </w:trPr>
        <w:tc>
          <w:tcPr>
            <w:tcW w:w="3780" w:type="dxa"/>
            <w:vAlign w:val="bottom"/>
          </w:tcPr>
          <w:p>
            <w:pPr>
              <w:spacing w:after="0"/>
              <w:rPr>
                <w:sz w:val="10"/>
                <w:szCs w:val="10"/>
                <w:color w:val="auto"/>
              </w:rPr>
            </w:pPr>
          </w:p>
        </w:tc>
        <w:tc>
          <w:tcPr>
            <w:tcW w:w="1240" w:type="dxa"/>
            <w:vAlign w:val="bottom"/>
          </w:tcPr>
          <w:p>
            <w:pPr>
              <w:ind w:left="580"/>
              <w:spacing w:after="0" w:line="119" w:lineRule="exact"/>
              <w:rPr>
                <w:sz w:val="20"/>
                <w:szCs w:val="20"/>
                <w:color w:val="auto"/>
              </w:rPr>
            </w:pPr>
            <w:r>
              <w:rPr>
                <w:rFonts w:ascii="Times New Roman" w:cs="Times New Roman" w:eastAsia="Times New Roman" w:hAnsi="Times New Roman"/>
                <w:sz w:val="13"/>
                <w:szCs w:val="13"/>
                <w:color w:val="auto"/>
                <w:w w:val="96"/>
              </w:rPr>
              <w:t>Average Net</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left="356"/>
              <w:spacing w:after="0" w:line="119" w:lineRule="exact"/>
              <w:rPr>
                <w:sz w:val="20"/>
                <w:szCs w:val="20"/>
                <w:color w:val="auto"/>
              </w:rPr>
            </w:pPr>
            <w:r>
              <w:rPr>
                <w:rFonts w:ascii="Times New Roman" w:cs="Times New Roman" w:eastAsia="Times New Roman" w:hAnsi="Times New Roman"/>
                <w:sz w:val="13"/>
                <w:szCs w:val="13"/>
                <w:color w:val="auto"/>
                <w:w w:val="94"/>
              </w:rPr>
              <w:t>Unit</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60" w:type="dxa"/>
            <w:vAlign w:val="bottom"/>
            <w:gridSpan w:val="3"/>
          </w:tcPr>
          <w:p>
            <w:pPr>
              <w:ind w:left="600"/>
              <w:spacing w:after="0" w:line="119" w:lineRule="exact"/>
              <w:rPr>
                <w:sz w:val="20"/>
                <w:szCs w:val="20"/>
                <w:color w:val="auto"/>
              </w:rPr>
            </w:pPr>
            <w:r>
              <w:rPr>
                <w:rFonts w:ascii="Times New Roman" w:cs="Times New Roman" w:eastAsia="Times New Roman" w:hAnsi="Times New Roman"/>
                <w:sz w:val="13"/>
                <w:szCs w:val="13"/>
                <w:color w:val="auto"/>
              </w:rPr>
              <w:t>Average Net</w:t>
            </w:r>
          </w:p>
        </w:tc>
        <w:tc>
          <w:tcPr>
            <w:tcW w:w="1260" w:type="dxa"/>
            <w:vAlign w:val="bottom"/>
          </w:tcPr>
          <w:p>
            <w:pPr>
              <w:jc w:val="center"/>
              <w:ind w:right="476"/>
              <w:spacing w:after="0" w:line="119" w:lineRule="exact"/>
              <w:rPr>
                <w:sz w:val="20"/>
                <w:szCs w:val="20"/>
                <w:color w:val="auto"/>
              </w:rPr>
            </w:pPr>
            <w:r>
              <w:rPr>
                <w:rFonts w:ascii="Times New Roman" w:cs="Times New Roman" w:eastAsia="Times New Roman" w:hAnsi="Times New Roman"/>
                <w:sz w:val="13"/>
                <w:szCs w:val="13"/>
                <w:color w:val="auto"/>
              </w:rPr>
              <w:t>Unit</w:t>
            </w:r>
          </w:p>
        </w:tc>
      </w:tr>
      <w:tr>
        <w:trPr>
          <w:trHeight w:val="168"/>
        </w:trPr>
        <w:tc>
          <w:tcPr>
            <w:tcW w:w="3780" w:type="dxa"/>
            <w:vAlign w:val="bottom"/>
          </w:tcPr>
          <w:p>
            <w:pPr>
              <w:spacing w:after="0"/>
              <w:rPr>
                <w:sz w:val="14"/>
                <w:szCs w:val="14"/>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8"/>
              </w:rPr>
              <w:t>Selling Price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8"/>
              </w:rPr>
              <w:t>Shipments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ind w:left="580"/>
              <w:spacing w:after="0"/>
              <w:rPr>
                <w:sz w:val="20"/>
                <w:szCs w:val="20"/>
                <w:color w:val="auto"/>
              </w:rPr>
            </w:pPr>
            <w:r>
              <w:rPr>
                <w:rFonts w:ascii="Times New Roman" w:cs="Times New Roman" w:eastAsia="Times New Roman" w:hAnsi="Times New Roman"/>
                <w:sz w:val="13"/>
                <w:szCs w:val="13"/>
                <w:color w:val="auto"/>
              </w:rPr>
              <w:t>Selling Price</w:t>
            </w:r>
          </w:p>
        </w:tc>
        <w:tc>
          <w:tcPr>
            <w:tcW w:w="1260" w:type="dxa"/>
            <w:vAlign w:val="bottom"/>
          </w:tcPr>
          <w:p>
            <w:pPr>
              <w:jc w:val="center"/>
              <w:ind w:right="456"/>
              <w:spacing w:after="0"/>
              <w:rPr>
                <w:sz w:val="20"/>
                <w:szCs w:val="20"/>
                <w:color w:val="auto"/>
              </w:rPr>
            </w:pPr>
            <w:r>
              <w:rPr>
                <w:rFonts w:ascii="Times New Roman" w:cs="Times New Roman" w:eastAsia="Times New Roman" w:hAnsi="Times New Roman"/>
                <w:sz w:val="13"/>
                <w:szCs w:val="13"/>
                <w:color w:val="auto"/>
                <w:w w:val="98"/>
              </w:rPr>
              <w:t>Shipments</w:t>
            </w:r>
          </w:p>
        </w:tc>
      </w:tr>
      <w:tr>
        <w:trPr>
          <w:trHeight w:val="163"/>
        </w:trPr>
        <w:tc>
          <w:tcPr>
            <w:tcW w:w="378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w:t>
            </w:r>
          </w:p>
        </w:tc>
        <w:tc>
          <w:tcPr>
            <w:tcW w:w="12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six months ended June 30, 2025, Siding net sales increased year-over-year by $45 million and $86 million, respectively, reflecting higher sales volumes and higher selling prices.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ExpertFinish net sales increased by 17% and 20% for the three and six months ended June 30, 2025, respectively, compared to the prior-year periods.</w:t>
      </w:r>
    </w:p>
    <w:p>
      <w:pPr>
        <w:spacing w:after="0" w:line="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Adjusted EBITDA for the Siding segment increased by $20 million and $36 million for the three and six months ended June 30, 2025, respectively, compared to the prior-year periods. This growth was driven by higher sales volume and strong pricing, partially offset by strategic investments in sales and marketing—$2 million in the quarter and $7 million year to date—as well as tariff expenses of $3 million for the quarter and $5 million year to 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OSB</w:t>
      </w:r>
    </w:p>
    <w:p>
      <w:pPr>
        <w:spacing w:after="0" w:line="17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(which includes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LP NovaCore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Thermal Insulated Sheathing,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350 Durable Sub-Flooring)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Oriented Strand Board.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0" w:type="dxa"/>
            <w:vAlign w:val="bottom"/>
            <w:tcBorders>
              <w:bottom w:val="single" w:sz="8" w:color="auto"/>
            </w:tcBorders>
          </w:tcPr>
          <w:p>
            <w:pPr>
              <w:spacing w:after="0"/>
              <w:rPr>
                <w:sz w:val="14"/>
                <w:szCs w:val="14"/>
                <w:color w:val="auto"/>
              </w:rPr>
            </w:pPr>
          </w:p>
        </w:tc>
      </w:tr>
      <w:tr>
        <w:trPr>
          <w:trHeight w:val="161"/>
        </w:trPr>
        <w:tc>
          <w:tcPr>
            <w:tcW w:w="37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37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84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5"/>
        </w:trPr>
        <w:tc>
          <w:tcPr>
            <w:tcW w:w="3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line were as follows (dollar amounts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0" w:type="dxa"/>
            <w:vAlign w:val="bottom"/>
            <w:tcBorders>
              <w:bottom w:val="single" w:sz="8" w:color="auto"/>
            </w:tcBorders>
          </w:tcPr>
          <w:p>
            <w:pPr>
              <w:spacing w:after="0"/>
              <w:rPr>
                <w:sz w:val="14"/>
                <w:szCs w:val="14"/>
                <w:color w:val="auto"/>
              </w:rPr>
            </w:pPr>
          </w:p>
        </w:tc>
      </w:tr>
      <w:tr>
        <w:trPr>
          <w:trHeight w:val="161"/>
        </w:trPr>
        <w:tc>
          <w:tcPr>
            <w:tcW w:w="38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38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68"/>
        </w:trPr>
        <w:tc>
          <w:tcPr>
            <w:tcW w:w="3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7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72"/>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7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59"/>
        </w:trPr>
        <w:tc>
          <w:tcPr>
            <w:tcW w:w="38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351</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517</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664</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r>
      <w:tr>
        <w:trPr>
          <w:trHeight w:val="20"/>
        </w:trPr>
        <w:tc>
          <w:tcPr>
            <w:tcW w:w="3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net sales prices and unit shipments for the three and six months ended June 30, 2025, compared to the corresponding periods in 2024,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80" w:type="dxa"/>
            <w:vAlign w:val="bottom"/>
            <w:gridSpan w:val="3"/>
          </w:tcPr>
          <w:p>
            <w:pPr>
              <w:jc w:val="center"/>
              <w:ind w:right="716"/>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3"/>
          </w:tcPr>
          <w:p>
            <w:pPr>
              <w:ind w:left="1320"/>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1240" w:type="dxa"/>
            <w:vAlign w:val="bottom"/>
          </w:tcPr>
          <w:p>
            <w:pPr>
              <w:spacing w:after="0"/>
              <w:rPr>
                <w:sz w:val="12"/>
                <w:szCs w:val="12"/>
                <w:color w:val="auto"/>
              </w:rPr>
            </w:pPr>
          </w:p>
        </w:tc>
      </w:tr>
      <w:tr>
        <w:trPr>
          <w:trHeight w:val="169"/>
        </w:trPr>
        <w:tc>
          <w:tcPr>
            <w:tcW w:w="3840" w:type="dxa"/>
            <w:vAlign w:val="bottom"/>
          </w:tcPr>
          <w:p>
            <w:pPr>
              <w:spacing w:after="0"/>
              <w:rPr>
                <w:sz w:val="14"/>
                <w:szCs w:val="14"/>
                <w:color w:val="auto"/>
              </w:rPr>
            </w:pPr>
          </w:p>
        </w:tc>
        <w:tc>
          <w:tcPr>
            <w:tcW w:w="3220" w:type="dxa"/>
            <w:vAlign w:val="bottom"/>
            <w:tcBorders>
              <w:bottom w:val="single" w:sz="8" w:color="auto"/>
            </w:tcBorders>
            <w:gridSpan w:val="4"/>
          </w:tcPr>
          <w:p>
            <w:pPr>
              <w:jc w:val="center"/>
              <w:ind w:left="396"/>
              <w:spacing w:after="0"/>
              <w:rPr>
                <w:sz w:val="20"/>
                <w:szCs w:val="20"/>
                <w:color w:val="auto"/>
              </w:rPr>
            </w:pPr>
            <w:r>
              <w:rPr>
                <w:rFonts w:ascii="Times New Roman" w:cs="Times New Roman" w:eastAsia="Times New Roman" w:hAnsi="Times New Roman"/>
                <w:sz w:val="13"/>
                <w:szCs w:val="13"/>
                <w:b w:val="1"/>
                <w:bCs w:val="1"/>
                <w:color w:val="auto"/>
                <w:w w:val="97"/>
              </w:rPr>
              <w:t>June 30, 2025 versus 2024</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Borders>
              <w:bottom w:val="single" w:sz="8" w:color="auto"/>
            </w:tcBorders>
            <w:gridSpan w:val="4"/>
          </w:tcPr>
          <w:p>
            <w:pPr>
              <w:jc w:val="right"/>
              <w:ind w:right="1076"/>
              <w:spacing w:after="0"/>
              <w:rPr>
                <w:sz w:val="20"/>
                <w:szCs w:val="20"/>
                <w:color w:val="auto"/>
              </w:rPr>
            </w:pPr>
            <w:r>
              <w:rPr>
                <w:rFonts w:ascii="Times New Roman" w:cs="Times New Roman" w:eastAsia="Times New Roman" w:hAnsi="Times New Roman"/>
                <w:sz w:val="13"/>
                <w:szCs w:val="13"/>
                <w:b w:val="1"/>
                <w:bCs w:val="1"/>
                <w:color w:val="auto"/>
              </w:rPr>
              <w:t>June 30, 2025 versus 2024</w:t>
            </w:r>
          </w:p>
        </w:tc>
      </w:tr>
      <w:tr>
        <w:trPr>
          <w:trHeight w:val="119"/>
        </w:trPr>
        <w:tc>
          <w:tcPr>
            <w:tcW w:w="3840" w:type="dxa"/>
            <w:vAlign w:val="bottom"/>
          </w:tcPr>
          <w:p>
            <w:pPr>
              <w:spacing w:after="0"/>
              <w:rPr>
                <w:sz w:val="10"/>
                <w:szCs w:val="10"/>
                <w:color w:val="auto"/>
              </w:rPr>
            </w:pPr>
          </w:p>
        </w:tc>
        <w:tc>
          <w:tcPr>
            <w:tcW w:w="1240" w:type="dxa"/>
            <w:vAlign w:val="bottom"/>
          </w:tcPr>
          <w:p>
            <w:pPr>
              <w:ind w:left="580"/>
              <w:spacing w:after="0" w:line="119" w:lineRule="exact"/>
              <w:rPr>
                <w:sz w:val="20"/>
                <w:szCs w:val="20"/>
                <w:color w:val="auto"/>
              </w:rPr>
            </w:pPr>
            <w:r>
              <w:rPr>
                <w:rFonts w:ascii="Times New Roman" w:cs="Times New Roman" w:eastAsia="Times New Roman" w:hAnsi="Times New Roman"/>
                <w:sz w:val="13"/>
                <w:szCs w:val="13"/>
                <w:color w:val="auto"/>
                <w:w w:val="96"/>
              </w:rPr>
              <w:t>Average Net</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jc w:val="center"/>
              <w:ind w:left="376"/>
              <w:spacing w:after="0" w:line="119" w:lineRule="exact"/>
              <w:rPr>
                <w:sz w:val="20"/>
                <w:szCs w:val="20"/>
                <w:color w:val="auto"/>
              </w:rPr>
            </w:pPr>
            <w:r>
              <w:rPr>
                <w:rFonts w:ascii="Times New Roman" w:cs="Times New Roman" w:eastAsia="Times New Roman" w:hAnsi="Times New Roman"/>
                <w:sz w:val="13"/>
                <w:szCs w:val="13"/>
                <w:color w:val="auto"/>
              </w:rPr>
              <w:t>Unit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gridSpan w:val="3"/>
          </w:tcPr>
          <w:p>
            <w:pPr>
              <w:ind w:left="560"/>
              <w:spacing w:after="0" w:line="119" w:lineRule="exact"/>
              <w:rPr>
                <w:sz w:val="20"/>
                <w:szCs w:val="20"/>
                <w:color w:val="auto"/>
              </w:rPr>
            </w:pPr>
            <w:r>
              <w:rPr>
                <w:rFonts w:ascii="Times New Roman" w:cs="Times New Roman" w:eastAsia="Times New Roman" w:hAnsi="Times New Roman"/>
                <w:sz w:val="13"/>
                <w:szCs w:val="13"/>
                <w:color w:val="auto"/>
              </w:rPr>
              <w:t>Average Net</w:t>
            </w:r>
          </w:p>
        </w:tc>
        <w:tc>
          <w:tcPr>
            <w:tcW w:w="1240" w:type="dxa"/>
            <w:vAlign w:val="bottom"/>
          </w:tcPr>
          <w:p>
            <w:pPr>
              <w:jc w:val="right"/>
              <w:ind w:right="716"/>
              <w:spacing w:after="0" w:line="119" w:lineRule="exact"/>
              <w:rPr>
                <w:sz w:val="20"/>
                <w:szCs w:val="20"/>
                <w:color w:val="auto"/>
              </w:rPr>
            </w:pPr>
            <w:r>
              <w:rPr>
                <w:rFonts w:ascii="Times New Roman" w:cs="Times New Roman" w:eastAsia="Times New Roman" w:hAnsi="Times New Roman"/>
                <w:sz w:val="13"/>
                <w:szCs w:val="13"/>
                <w:color w:val="auto"/>
              </w:rPr>
              <w:t>Unit</w:t>
            </w:r>
          </w:p>
        </w:tc>
      </w:tr>
      <w:tr>
        <w:trPr>
          <w:trHeight w:val="168"/>
        </w:trPr>
        <w:tc>
          <w:tcPr>
            <w:tcW w:w="3840" w:type="dxa"/>
            <w:vAlign w:val="bottom"/>
          </w:tcPr>
          <w:p>
            <w:pPr>
              <w:spacing w:after="0"/>
              <w:rPr>
                <w:sz w:val="14"/>
                <w:szCs w:val="14"/>
                <w:color w:val="auto"/>
              </w:rPr>
            </w:pPr>
          </w:p>
        </w:tc>
        <w:tc>
          <w:tcPr>
            <w:tcW w:w="1240" w:type="dxa"/>
            <w:vAlign w:val="bottom"/>
          </w:tcPr>
          <w:p>
            <w:pPr>
              <w:ind w:left="560"/>
              <w:spacing w:after="0"/>
              <w:rPr>
                <w:sz w:val="20"/>
                <w:szCs w:val="20"/>
                <w:color w:val="auto"/>
              </w:rPr>
            </w:pPr>
            <w:r>
              <w:rPr>
                <w:rFonts w:ascii="Times New Roman" w:cs="Times New Roman" w:eastAsia="Times New Roman" w:hAnsi="Times New Roman"/>
                <w:sz w:val="13"/>
                <w:szCs w:val="13"/>
                <w:color w:val="auto"/>
                <w:w w:val="98"/>
              </w:rPr>
              <w:t>Selling Price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left="376"/>
              <w:spacing w:after="0"/>
              <w:rPr>
                <w:sz w:val="20"/>
                <w:szCs w:val="20"/>
                <w:color w:val="auto"/>
              </w:rPr>
            </w:pPr>
            <w:r>
              <w:rPr>
                <w:rFonts w:ascii="Times New Roman" w:cs="Times New Roman" w:eastAsia="Times New Roman" w:hAnsi="Times New Roman"/>
                <w:sz w:val="13"/>
                <w:szCs w:val="13"/>
                <w:color w:val="auto"/>
                <w:w w:val="94"/>
              </w:rPr>
              <w:t>Shipments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3"/>
          </w:tcPr>
          <w:p>
            <w:pPr>
              <w:ind w:left="560"/>
              <w:spacing w:after="0"/>
              <w:rPr>
                <w:sz w:val="20"/>
                <w:szCs w:val="20"/>
                <w:color w:val="auto"/>
              </w:rPr>
            </w:pPr>
            <w:r>
              <w:rPr>
                <w:rFonts w:ascii="Times New Roman" w:cs="Times New Roman" w:eastAsia="Times New Roman" w:hAnsi="Times New Roman"/>
                <w:sz w:val="13"/>
                <w:szCs w:val="13"/>
                <w:color w:val="auto"/>
              </w:rPr>
              <w:t>Selling Price</w:t>
            </w:r>
          </w:p>
        </w:tc>
        <w:tc>
          <w:tcPr>
            <w:tcW w:w="124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rPr>
              <w:t>Shipments</w:t>
            </w:r>
          </w:p>
        </w:tc>
      </w:tr>
      <w:tr>
        <w:trPr>
          <w:trHeight w:val="163"/>
        </w:trPr>
        <w:tc>
          <w:tcPr>
            <w:tcW w:w="38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12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5"/>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r>
    </w:tbl>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and six months ended June 30, 2025, OSB net sales decreased by $101 million and $147 million, respectively, compared to the same prior-year periods. These decreases were primarily driven by lower OSB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auto"/>
        </w:rPr>
        <w:t>Adjusted EBITDA for the OSB segment for the same periods decreased year-over-year by $106 million and $143 million, respectively, also reflecting the impact of lower OSB prices.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LPSA</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 (dollar amounts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0" w:type="dxa"/>
            <w:vAlign w:val="bottom"/>
            <w:tcBorders>
              <w:bottom w:val="single" w:sz="8" w:color="auto"/>
            </w:tcBorders>
          </w:tcPr>
          <w:p>
            <w:pPr>
              <w:spacing w:after="0"/>
              <w:rPr>
                <w:sz w:val="14"/>
                <w:szCs w:val="14"/>
                <w:color w:val="auto"/>
              </w:rPr>
            </w:pPr>
          </w:p>
        </w:tc>
      </w:tr>
      <w:tr>
        <w:trPr>
          <w:trHeight w:val="161"/>
        </w:trPr>
        <w:tc>
          <w:tcPr>
            <w:tcW w:w="38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2"/>
        </w:trPr>
        <w:tc>
          <w:tcPr>
            <w:tcW w:w="38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65"/>
        </w:trPr>
        <w:tc>
          <w:tcPr>
            <w:tcW w:w="382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8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months ended June 30, 2025, net sales and Adjusted EBITDA declined year-over-year by $3 million and $1 million, respectively, primarily due to lower OSB prices.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six months ended June 30, 2025, net sales and Adjusted EBITDA increased by $2 million and $1 million year-over-year, respectively, driven by higher Siding volume and prices partially offset by lower OSB prices.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Our other products segment includes other minor products, services, and closed operations, which do not qualify as discontinued operations. Additionally, this segment includes corporate expenses that are not allocated, such as general administrative costs and stock-based compensation. During 2024, the equity method investment held by Entekra Holdings LLC, our off-site framing operation, sold substantially all of its net assets. Other net sales were $2 million and $4 million for the three and six months ended June 30, 2025, respectively, as compared to $2 million and $5 million for the corresponding periods in 2024, respectively. Adjusted EBITDA was $(10) million and $(20) million for the three and six months ended June 30, 2025, respectively, as compared to $(11) million and $(19) million for the corresponding periods in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were $79 million and $154 million for the three and six months ended June 30, 2025, respectively, compared to $71 million and $140 million for the corresponding periods in 2024, respectively. The year-over-year increase in selling, general, and administrative expenses for both periods was driven by higher employee compensation.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recognized an estimated tax provision of $19 million and $45 million in the three and six months ended June 30, 2025, respectively, as compared to $53 million and $94 million for the comparable periods in 2024, respectively. Each quarter the income tax accrual is adjusted to the latest estimate and the difference from the previously accrued year-to-date balance is recorded in the current quarter. For the six months ended June 30, 2025, and 2024, the primary differences between the U.S. statutory rate of 21% and the total effective tax rates of 26% and 25%, respectively, relate to state income tax and inflationary and foreign currency exchange adjustments.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Legal and Environmental Matters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a discussion of legal and environmental matters involving us and the potential impact thereof on our financial position, results of operations, and cash flows, see Items 3, 7, and 8 in our 2024 Annual Report on Form 10-K and "Note 12. Commitments and Contingencies" of the Notes to the Condensed Consolidated Financial Statements included in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Overview</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expect to rely on our credit facilities in effect from time to time for any long-term funding not provided by operating cash flows. We may also, from time to time, issue and sell equity, debt, or hybrid securities or engage in other capital market transactions.</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share repurchases may be commenced, suspended, discontinued, or resumed, and the method or methods of effecting any such repurchases may be changed, at any time, or from time to time, without prior notice.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to fund our capital expenditures over at least the next 12 months through cash on hand, cash generated from operations, and available borrowing under our Amended Credit Facility, as necessary.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six months ended June 30, 2025 and 2024, cash provided by operations was $226 million and $317 million, respectively. The decrease in cash provided by operations was primarily related to lower net income and changes in working capital.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six months ended June 30, 2025 and 2024, cash used in investing activities was $132 million and $61 million, respectively, relating to capital expenditures. The year-over-year increase in capital expenditures was primarily related to higher spend on growth and sustaining maintenance projects in the current year.</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Capital expenditures in 2025 are expected to be approximately $350 million. We expect to fund our short-term and long-term capital expenditures in 2025 through cash on hand, cash generated from operations, and available borrowing under our Amended Credit Facility, as necessary.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six months ended June 30, 2025, cash used in financing activities was $105 million, which includes $61 million to repurchase shares of LP common stock under the 2024 Share Repurchase Program (defined below) in the three months ended March 31, 2025. Additionally, we paid cash dividends of $39 million and used $3 million to repurchase stock from employees in connection with income tax withholding requirements associated with our employee stock-based compensation plans. In connection with other financing activities, we paid $2 million of debt issuance costs related to the amendment of our credit facility.</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six months ended June 30, 2024, cash used in financing activities was $157 million, which includes $115 million to repurchase shares of LP common stock under the share repurchase program authorized by LP's Board of Directors in May 2022. Additionally, during this period we had $37 million of dividend payments and $5 million of stock repurchases from employees in connection with income tax withholding requirements associated with our employee stock-based compensation plans.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Facility and Letter of Credit Facility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November 2022, LP entered into the Credit Agreement with American AgCredit, PCA, as administrative agent, CoBank, ACB, as letter of credit issuer, and the lenders and the guarantors from time to time party thereto relating to its revolving credit facility. On March 26, 2025, LP entered into the First Amendment with American AgCredit, PCA, as administrative agent, CoBank, ACB, as letter of credit issuer, and the lenders and voting participants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0" w:name="page31"/>
    <w:bookmarkEnd w:id="30"/>
    <w:p>
      <w:pPr>
        <w:jc w:val="both"/>
        <w:spacing w:after="0" w:line="270" w:lineRule="auto"/>
        <w:rPr>
          <w:sz w:val="20"/>
          <w:szCs w:val="20"/>
          <w:color w:val="auto"/>
        </w:rPr>
      </w:pPr>
      <w:r>
        <w:rPr>
          <w:rFonts w:ascii="Times New Roman" w:cs="Times New Roman" w:eastAsia="Times New Roman" w:hAnsi="Times New Roman"/>
          <w:sz w:val="14"/>
          <w:szCs w:val="14"/>
          <w:color w:val="auto"/>
        </w:rPr>
        <w:t>thereto, which amended the Credit Agreement (the Amended Credit Agreement) to (1) increase the aggregate principal amount for the credit facility from $550 million to $750 million, (2) increase the sub-limit for letters of credit from $60 million to $75 million, (3) change the interest rate for revolving borrowing, (4) change the capitalization ratio limit, and (5) extend the maturity date to March 26, 2032. As of June 30, 2025, there were no outstanding borrowings under the Amended Credit Facility.</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Amended Credit Agreement contains various restrictive covenants and customary events of default. The breach of restrictive covenants or the occurrence of any other event of default under the Amended Credit Agreement could result in the acceleration of our obligation to repay the indebtedness outstanding thereunder. The Amended Credit Agreement also contains financial covenants that require us and our consolidated subsidiaries to have, as of the end of each quarter, a capitalization ratio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funded debt less unrestricted cash to total capitalization) of no more than 65%. As of June 30, 2025, we were in compliance with all financial covenants under the Amended Credit Agreement.</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May 2024, LP entered into a new letter of credit facility agreement, replacing the letter of credit facility agreement dated May 2020. This agreement provides for the funding of letters of credit up to an aggregate outstanding amount of $20 million, which may be secured by certain cash collateral of LP (the Letter of Credit Facility). The Letter of Credit Facility provides for a letter of credit fee, due quarterly, ranging from 1.000% to 1.875% of the daily available amount to be drawn on each letter of credit issued under the Letter of Credit Facility. The Letter of Credit Facility is subject to similar affirmative, negative, and financial covenants as those set forth in the Amended Credit Agreement, including the capitalization ratio covenant. All amounts outstanding under the Letter of Credit Facility become due on April 15, 2029. As of June 30, 2025, we were in compliance with all covenants under the Letter of Credit Facility.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Liquidity Matters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Off-Balance Sheet Arrangements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June 30, 2025, we had standby letters of credit of $14 million outstanding related to collateral for environmental impact on owned properties, a deposit for a forestry license, and insurance collateral, including workers' compensation.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Potential Impairments</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carrying values of our long-lived assets are reviewed for potential impairments, and adequate support is believed by management to exist for each asset's carrying value based on anticipated cash flows derived from estimates of future demand, pricing, and production costs, assuming certain levels of planned capital expenditures. However, if demand and pricing for our products decline significantly below cycle-average levels, if capital is allocated to alternative projects, or if changes occur in the wood supply for mills, future impairment charges may be required.</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Potential asset dispositions are also periodically reviewed, taking into account current and anticipated economic and industry conditions, the strategic plan, and other relevant factors. A decision to dispose of specific assets may require assumptions regarding the transaction structure of the disposition to estimate the net sales proceeds, which could be lower than prior estimates of undiscounted future net cash flows. As a result, impairment charges may be necessary in connection with such dispositions.</w:t>
      </w:r>
    </w:p>
    <w:p>
      <w:pPr>
        <w:spacing w:after="0" w:line="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second quarter of 2025, $17 million in non-cash, pre-tax impairment charges were recorded. These included $11 million related to acquired equipment that will not be utilized in future operations, $4 million related to property, plant, and equipment associated with a facility closure, and $2 million primarily related to an operating lease asset associated with a previously closed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1" w:name="page32"/>
    <w:bookmarkEnd w:id="31"/>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287" w:lineRule="exact"/>
        <w:rPr>
          <w:sz w:val="20"/>
          <w:szCs w:val="20"/>
          <w:color w:val="auto"/>
        </w:rPr>
      </w:pPr>
    </w:p>
    <w:p>
      <w:pPr>
        <w:ind w:right="1540"/>
        <w:spacing w:after="0" w:line="379" w:lineRule="auto"/>
        <w:rPr>
          <w:sz w:val="20"/>
          <w:szCs w:val="20"/>
          <w:color w:val="auto"/>
        </w:rPr>
      </w:pPr>
      <w:r>
        <w:rPr>
          <w:rFonts w:ascii="Times New Roman" w:cs="Times New Roman" w:eastAsia="Times New Roman" w:hAnsi="Times New Roman"/>
          <w:sz w:val="14"/>
          <w:szCs w:val="14"/>
          <w:color w:val="auto"/>
        </w:rPr>
        <w:t xml:space="preserve">We are exposed to fluctuations in foreign currency exchange rates, commodity prices and interest rates which could impact our results of operations and financial condition. </w:t>
      </w:r>
      <w:r>
        <w:rPr>
          <w:rFonts w:ascii="Times New Roman" w:cs="Times New Roman" w:eastAsia="Times New Roman" w:hAnsi="Times New Roman"/>
          <w:sz w:val="14"/>
          <w:szCs w:val="14"/>
          <w:i w:val="1"/>
          <w:iCs w:val="1"/>
          <w:color w:val="auto"/>
        </w:rPr>
        <w:t>Foreign Currency Risk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our products are sold as commodities, and therefore sales prices fluctuate daily based on market factors over which we have little or no control. The most significant commodity product we sell is OSB. There have been no material changes to the assumed production capacity and annual average price sensitivity for OSB previously disclosed under the caption “Item 7A. Quantitative and Qualitative Disclosures about Market Risk” in our 2024 Annual Report on Form 10-K. We historically have not entered into material commodity futures and swaps, although we may do so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could be exposed to market risk associated with changes in interest rates on our variable rate credit facility. As of June 30, 2025, there were no outstanding borrowings under our Amended Credit Facility. We do not currently have any derivative or hedging arrangements, or other known exposures, to changes in interest rates. There have been no material changes to the interest rate sensitivity analysis previously disclosed under the caption “Item 7A. Quantitative and Qualitative Disclosures about Market Risk” in our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2" w:name="page33"/>
    <w:bookmarkEnd w:id="32"/>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Evaluation of Disclosure Controls and Procedures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June 30, 2025,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June 30, 2025, LP’s disclosure controls and procedures were effective.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Changes in Internal Control Over Financial Reporting</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our most recently completed fiscal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description of certain legal and environmental matters involving LP set forth in "Item 1. Financial Statements" of this quarterly report on Form 10-Q under "Note 12. Commitments and Contingencies" of the Notes to the Condensed Consolidated Financial Statements contained herein is incorporated herein by reference.</w:t>
      </w:r>
    </w:p>
    <w:p>
      <w:pPr>
        <w:spacing w:after="0" w:line="12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3"/>
          <w:szCs w:val="13"/>
          <w:b w:val="1"/>
          <w:bCs w:val="1"/>
          <w:color w:val="auto"/>
        </w:rPr>
        <w:t>RISK FACTORS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other information set forth in this quarterly report on Form 10-Q, an investor should carefully consider the factors discussed in Part I, “Item 1A. Risk Factors” of the Company’s 2024 Annual Report on Form 10-K. There have been no material changes to the risk factors previously disclosed under the caption "Item 1A. Risk Factors" in Part I of our 2024 Annual Report on Form 10-K.</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risks described in our 2024 Annual Report on Form 10-K are not the only risks facing the Company. Additional risks and uncertainties not currently known to us or that we currently deem immaterial may also materially adversely affect our business, financial condition, operating results,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4" w:name="page35"/>
    <w:bookmarkEnd w:id="34"/>
    <w:p>
      <w:pPr>
        <w:spacing w:after="0" w:line="6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UNREGISTERED SALES OF EQUITY SECURITIES AND USE OF PROCEEDS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May 2024, our Board of Directors authorized a share repurchase program under which LP was authorized to repurchase up to $250 million of its outstanding common stock (the 2024 Share Repurchase Program). We did not make any repurchases of LP common stock pursuant to the 2024 Share Repurchase Program or otherwise during the quarter ended June 30, 2025. At June 30, 2025, we had an aggregate of $177 million of repurchase authorization remaining under the 2024 Share Repurchase Program. LP may initiate, discontinue, or resume purchases of its common stock under the 2024 Share Repurchase Program in the open market, in block, and in privately negotiated transactions, including under Rule 10b5-1 plans, at such times and in such amounts as management deems appropriate without prior notice, subject to market and business conditions, regulatory requirements, and other factors.</w:t>
      </w:r>
    </w:p>
    <w:p>
      <w:pPr>
        <w:spacing w:after="0" w:line="14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 of our directors or officers adopted, modified or terminated a Rule 10b5-1 trading arrangement or a non-Rule 10b5-1 trading arrangement during the quarter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6"/>
        </w:trPr>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101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244"/>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0E32E1"/>
                <w:w w:val="97"/>
              </w:rPr>
              <w:t>10.</w:t>
            </w:r>
            <w:r>
              <w:rPr>
                <w:rFonts w:ascii="Times New Roman" w:cs="Times New Roman" w:eastAsia="Times New Roman" w:hAnsi="Times New Roman"/>
                <w:sz w:val="14"/>
                <w:szCs w:val="14"/>
                <w:u w:val="single" w:color="auto"/>
                <w:color w:val="0E32E1"/>
                <w:w w:val="97"/>
              </w:rPr>
              <w:t>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0E32E1"/>
              </w:rPr>
              <w:t>Form of Restricted Stock Unit Award Agreement for directors under the 2022 Omnibus Stock Award Plan</w:t>
            </w:r>
          </w:p>
        </w:tc>
      </w:tr>
      <w:tr>
        <w:trPr>
          <w:trHeight w:val="20"/>
        </w:trPr>
        <w:tc>
          <w:tcPr>
            <w:tcW w:w="480" w:type="dxa"/>
            <w:vAlign w:val="bottom"/>
            <w:tcBorders>
              <w:right w:val="single" w:sz="8" w:color="0E32E1"/>
            </w:tcBorders>
          </w:tcPr>
          <w:p>
            <w:pPr>
              <w:spacing w:after="0" w:line="20" w:lineRule="exact"/>
              <w:rPr>
                <w:sz w:val="1"/>
                <w:szCs w:val="1"/>
                <w:color w:val="auto"/>
              </w:rPr>
            </w:pPr>
          </w:p>
        </w:tc>
        <w:tc>
          <w:tcPr>
            <w:tcW w:w="20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shd w:val="clear" w:color="auto" w:fill="0E32E1"/>
          </w:tcPr>
          <w:p>
            <w:pPr>
              <w:spacing w:after="0" w:line="20" w:lineRule="exact"/>
              <w:rPr>
                <w:sz w:val="1"/>
                <w:szCs w:val="1"/>
                <w:color w:val="auto"/>
              </w:rPr>
            </w:pPr>
          </w:p>
        </w:tc>
        <w:tc>
          <w:tcPr>
            <w:tcW w:w="2160" w:type="dxa"/>
            <w:vAlign w:val="bottom"/>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0E32E1"/>
                <w:w w:val="97"/>
              </w:rPr>
              <w:t>31.</w:t>
            </w:r>
            <w:r>
              <w:rPr>
                <w:rFonts w:ascii="Times New Roman" w:cs="Times New Roman" w:eastAsia="Times New Roman" w:hAnsi="Times New Roman"/>
                <w:sz w:val="14"/>
                <w:szCs w:val="14"/>
                <w:u w:val="single" w:color="auto"/>
                <w:color w:val="0E32E1"/>
                <w:w w:val="97"/>
              </w:rPr>
              <w:t>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0E32E1"/>
              </w:rPr>
              <w:t>Certifications of Chief Executive Officer Pursuant to Rule 13a-14(a) under the Securities Exchange Act of 1934. *</w:t>
            </w:r>
          </w:p>
        </w:tc>
      </w:tr>
      <w:tr>
        <w:trPr>
          <w:trHeight w:val="20"/>
        </w:trPr>
        <w:tc>
          <w:tcPr>
            <w:tcW w:w="480" w:type="dxa"/>
            <w:vAlign w:val="bottom"/>
            <w:tcBorders>
              <w:right w:val="single" w:sz="8" w:color="0E32E1"/>
            </w:tcBorders>
          </w:tcPr>
          <w:p>
            <w:pPr>
              <w:spacing w:after="0" w:line="20" w:lineRule="exact"/>
              <w:rPr>
                <w:sz w:val="1"/>
                <w:szCs w:val="1"/>
                <w:color w:val="auto"/>
              </w:rPr>
            </w:pPr>
          </w:p>
        </w:tc>
        <w:tc>
          <w:tcPr>
            <w:tcW w:w="200" w:type="dxa"/>
            <w:vAlign w:val="bottom"/>
            <w:tcBorders>
              <w:right w:val="single" w:sz="8" w:color="0E32E1"/>
            </w:tcBorders>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shd w:val="clear" w:color="auto" w:fill="0E32E1"/>
          </w:tcPr>
          <w:p>
            <w:pPr>
              <w:spacing w:after="0" w:line="20" w:lineRule="exact"/>
              <w:rPr>
                <w:sz w:val="1"/>
                <w:szCs w:val="1"/>
                <w:color w:val="auto"/>
              </w:rPr>
            </w:pPr>
          </w:p>
        </w:tc>
        <w:tc>
          <w:tcPr>
            <w:tcW w:w="2560" w:type="dxa"/>
            <w:vAlign w:val="bottom"/>
            <w:tcBorders>
              <w:right w:val="single" w:sz="8" w:color="0E32E1"/>
            </w:tcBorders>
            <w:gridSpan w:val="2"/>
            <w:shd w:val="clear" w:color="auto" w:fill="0E32E1"/>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0E32E1"/>
                <w:w w:val="97"/>
              </w:rPr>
              <w:t>31.</w:t>
            </w:r>
            <w:r>
              <w:rPr>
                <w:rFonts w:ascii="Times New Roman" w:cs="Times New Roman" w:eastAsia="Times New Roman" w:hAnsi="Times New Roman"/>
                <w:sz w:val="14"/>
                <w:szCs w:val="14"/>
                <w:u w:val="single" w:color="auto"/>
                <w:color w:val="0E32E1"/>
                <w:w w:val="97"/>
              </w:rPr>
              <w:t>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0E32E1"/>
              </w:rPr>
              <w:t>Certifications of Chief Financial Officer Pursuant to Rule 13a-14(a) under the Securities Exchange Act of 1934. *</w:t>
            </w:r>
          </w:p>
        </w:tc>
      </w:tr>
      <w:tr>
        <w:trPr>
          <w:trHeight w:val="203"/>
        </w:trPr>
        <w:tc>
          <w:tcPr>
            <w:tcW w:w="480" w:type="dxa"/>
            <w:vAlign w:val="bottom"/>
          </w:tcPr>
          <w:p>
            <w:pPr>
              <w:spacing w:after="0"/>
              <w:rPr>
                <w:sz w:val="17"/>
                <w:szCs w:val="17"/>
                <w:color w:val="auto"/>
              </w:rPr>
            </w:pPr>
          </w:p>
        </w:tc>
        <w:tc>
          <w:tcPr>
            <w:tcW w:w="200" w:type="dxa"/>
            <w:vAlign w:val="bottom"/>
            <w:tcBorders>
              <w:top w:val="single" w:sz="8" w:color="0E32E1"/>
            </w:tcBorders>
          </w:tcPr>
          <w:p>
            <w:pPr>
              <w:jc w:val="center"/>
              <w:spacing w:after="0"/>
              <w:rPr>
                <w:sz w:val="20"/>
                <w:szCs w:val="20"/>
                <w:color w:val="auto"/>
              </w:rPr>
            </w:pPr>
            <w:r>
              <w:rPr>
                <w:rFonts w:ascii="Times New Roman" w:cs="Times New Roman" w:eastAsia="Times New Roman" w:hAnsi="Times New Roman"/>
                <w:sz w:val="14"/>
                <w:szCs w:val="14"/>
                <w:color w:val="0E32E1"/>
                <w:w w:val="99"/>
              </w:rPr>
              <w:t>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0" w:type="dxa"/>
            <w:vAlign w:val="bottom"/>
            <w:tcBorders>
              <w:top w:val="single" w:sz="8" w:color="0E32E1"/>
            </w:tcBorders>
            <w:gridSpan w:val="3"/>
          </w:tcPr>
          <w:p>
            <w:pPr>
              <w:spacing w:after="0"/>
              <w:rPr>
                <w:sz w:val="20"/>
                <w:szCs w:val="20"/>
                <w:color w:val="auto"/>
              </w:rPr>
            </w:pPr>
            <w:r>
              <w:rPr>
                <w:rFonts w:ascii="Times New Roman" w:cs="Times New Roman" w:eastAsia="Times New Roman" w:hAnsi="Times New Roman"/>
                <w:sz w:val="14"/>
                <w:szCs w:val="14"/>
                <w:color w:val="0E32E1"/>
              </w:rPr>
              <w:t>Certifications pursuant to § 906 of the Sarbanes-Oxley Act of 2002. **</w:t>
            </w:r>
          </w:p>
        </w:tc>
        <w:tc>
          <w:tcPr>
            <w:tcW w:w="354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shd w:val="clear" w:color="auto" w:fill="0E32E1"/>
          </w:tcPr>
          <w:p>
            <w:pPr>
              <w:spacing w:after="0" w:line="20" w:lineRule="exact"/>
              <w:rPr>
                <w:sz w:val="1"/>
                <w:szCs w:val="1"/>
                <w:color w:val="auto"/>
              </w:rPr>
            </w:pPr>
          </w:p>
        </w:tc>
        <w:tc>
          <w:tcPr>
            <w:tcW w:w="6100" w:type="dxa"/>
            <w:vAlign w:val="bottom"/>
            <w:gridSpan w:val="3"/>
          </w:tcPr>
          <w:p>
            <w:pPr>
              <w:spacing w:after="0" w:line="20" w:lineRule="exact"/>
              <w:rPr>
                <w:sz w:val="1"/>
                <w:szCs w:val="1"/>
                <w:color w:val="auto"/>
              </w:rPr>
            </w:pPr>
          </w:p>
        </w:tc>
      </w:tr>
      <w:tr>
        <w:trPr>
          <w:trHeight w:val="234"/>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101.INS</w:t>
            </w:r>
          </w:p>
        </w:tc>
        <w:tc>
          <w:tcPr>
            <w:tcW w:w="200" w:type="dxa"/>
            <w:vAlign w:val="bottom"/>
          </w:tcPr>
          <w:p>
            <w:pPr>
              <w:spacing w:after="0"/>
              <w:rPr>
                <w:sz w:val="20"/>
                <w:szCs w:val="20"/>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 XBRL tags are embedded within the Inline XBRL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101.SCH</w:t>
            </w:r>
          </w:p>
        </w:tc>
        <w:tc>
          <w:tcPr>
            <w:tcW w:w="200" w:type="dxa"/>
            <w:vAlign w:val="bottom"/>
          </w:tcPr>
          <w:p>
            <w:pPr>
              <w:spacing w:after="0"/>
              <w:rPr>
                <w:sz w:val="19"/>
                <w:szCs w:val="19"/>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w w:val="98"/>
              </w:rPr>
              <w:t>101.CAL</w:t>
            </w:r>
          </w:p>
        </w:tc>
        <w:tc>
          <w:tcPr>
            <w:tcW w:w="200" w:type="dxa"/>
            <w:vAlign w:val="bottom"/>
          </w:tcPr>
          <w:p>
            <w:pPr>
              <w:spacing w:after="0"/>
              <w:rPr>
                <w:sz w:val="19"/>
                <w:szCs w:val="19"/>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w w:val="98"/>
              </w:rPr>
              <w:t>101.LAB</w:t>
            </w:r>
          </w:p>
        </w:tc>
        <w:tc>
          <w:tcPr>
            <w:tcW w:w="200" w:type="dxa"/>
            <w:vAlign w:val="bottom"/>
          </w:tcPr>
          <w:p>
            <w:pPr>
              <w:spacing w:after="0"/>
              <w:rPr>
                <w:sz w:val="19"/>
                <w:szCs w:val="19"/>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101.PRE</w:t>
            </w:r>
          </w:p>
        </w:tc>
        <w:tc>
          <w:tcPr>
            <w:tcW w:w="200" w:type="dxa"/>
            <w:vAlign w:val="bottom"/>
          </w:tcPr>
          <w:p>
            <w:pPr>
              <w:spacing w:after="0"/>
              <w:rPr>
                <w:sz w:val="19"/>
                <w:szCs w:val="19"/>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23"/>
        </w:trPr>
        <w:tc>
          <w:tcPr>
            <w:tcW w:w="92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color w:val="auto"/>
              </w:rPr>
              <w:t>101.DEF</w:t>
            </w:r>
          </w:p>
        </w:tc>
        <w:tc>
          <w:tcPr>
            <w:tcW w:w="200" w:type="dxa"/>
            <w:vAlign w:val="bottom"/>
          </w:tcPr>
          <w:p>
            <w:pPr>
              <w:spacing w:after="0"/>
              <w:rPr>
                <w:sz w:val="19"/>
                <w:szCs w:val="19"/>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23"/>
        </w:trPr>
        <w:tc>
          <w:tcPr>
            <w:tcW w:w="680" w:type="dxa"/>
            <w:vAlign w:val="bottom"/>
            <w:gridSpan w:val="2"/>
          </w:tcPr>
          <w:p>
            <w:pPr>
              <w:jc w:val="center"/>
              <w:ind w:left="369"/>
              <w:spacing w:after="0"/>
              <w:rPr>
                <w:sz w:val="20"/>
                <w:szCs w:val="20"/>
                <w:color w:val="auto"/>
              </w:rPr>
            </w:pPr>
            <w:r>
              <w:rPr>
                <w:rFonts w:ascii="Times New Roman" w:cs="Times New Roman" w:eastAsia="Times New Roman" w:hAnsi="Times New Roman"/>
                <w:sz w:val="14"/>
                <w:szCs w:val="14"/>
                <w:color w:val="auto"/>
                <w:w w:val="95"/>
              </w:rPr>
              <w:t>104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 Inline XBRL document and contained in Exhibit 101)*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141" w:right="5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ind w:right="160"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quarterly report on Form 10-Q to be signed on its behalf by the undersigned thereunto duly authorized.</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40" w:type="dxa"/>
            <w:vAlign w:val="bottom"/>
            <w:gridSpan w:val="2"/>
          </w:tcPr>
          <w:p>
            <w:pPr>
              <w:ind w:left="1840"/>
              <w:spacing w:after="0"/>
              <w:rPr>
                <w:sz w:val="20"/>
                <w:szCs w:val="20"/>
                <w:color w:val="auto"/>
              </w:rPr>
            </w:pPr>
            <w:r>
              <w:rPr>
                <w:rFonts w:ascii="Times New Roman" w:cs="Times New Roman" w:eastAsia="Times New Roman" w:hAnsi="Times New Roman"/>
                <w:sz w:val="14"/>
                <w:szCs w:val="14"/>
                <w:color w:val="auto"/>
              </w:rPr>
              <w:t>LOUISIANA-PACIFIC CORPORATION</w:t>
            </w:r>
          </w:p>
        </w:tc>
      </w:tr>
      <w:tr>
        <w:trPr>
          <w:trHeight w:val="403"/>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August 6, 2025</w:t>
            </w:r>
          </w:p>
        </w:tc>
        <w:tc>
          <w:tcPr>
            <w:tcW w:w="234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Y</w:t>
            </w:r>
            <w:r>
              <w:rPr>
                <w:rFonts w:ascii="Times New Roman" w:cs="Times New Roman" w:eastAsia="Times New Roman" w:hAnsi="Times New Roman"/>
                <w:sz w:val="14"/>
                <w:szCs w:val="14"/>
                <w:color w:val="auto"/>
              </w:rPr>
              <w:t>:</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 BRADLEY SOUTHERN</w:t>
            </w:r>
          </w:p>
        </w:tc>
      </w:tr>
      <w:tr>
        <w:trPr>
          <w:trHeight w:val="140"/>
        </w:trPr>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 Bradley Southern</w:t>
            </w:r>
          </w:p>
        </w:tc>
      </w:tr>
      <w:tr>
        <w:trPr>
          <w:trHeight w:val="150"/>
        </w:trPr>
        <w:tc>
          <w:tcPr>
            <w:tcW w:w="6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Chief Executive Officer</w:t>
            </w:r>
          </w:p>
        </w:tc>
      </w:tr>
      <w:tr>
        <w:trPr>
          <w:trHeight w:val="42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0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August 6, 2025</w:t>
            </w:r>
          </w:p>
        </w:tc>
        <w:tc>
          <w:tcPr>
            <w:tcW w:w="234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B</w:t>
            </w:r>
            <w:r>
              <w:rPr>
                <w:rFonts w:ascii="Times New Roman" w:cs="Times New Roman" w:eastAsia="Times New Roman" w:hAnsi="Times New Roman"/>
                <w:sz w:val="11"/>
                <w:szCs w:val="11"/>
                <w:color w:val="auto"/>
              </w:rPr>
              <w:t>Y</w:t>
            </w:r>
            <w:r>
              <w:rPr>
                <w:rFonts w:ascii="Times New Roman" w:cs="Times New Roman" w:eastAsia="Times New Roman" w:hAnsi="Times New Roman"/>
                <w:sz w:val="14"/>
                <w:szCs w:val="14"/>
                <w:color w:val="auto"/>
              </w:rPr>
              <w:t>:</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140"/>
        </w:trPr>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Alan J.M. Haughie</w:t>
            </w:r>
          </w:p>
        </w:tc>
      </w:tr>
      <w:tr>
        <w:trPr>
          <w:trHeight w:val="150"/>
        </w:trPr>
        <w:tc>
          <w:tcPr>
            <w:tcW w:w="6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Executive Vice President and</w:t>
            </w:r>
          </w:p>
        </w:tc>
      </w:tr>
      <w:tr>
        <w:trPr>
          <w:trHeight w:val="159"/>
        </w:trPr>
        <w:tc>
          <w:tcPr>
            <w:tcW w:w="6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Chief Financial Officer</w:t>
            </w:r>
          </w:p>
        </w:tc>
      </w:tr>
    </w:tbl>
    <w:p>
      <w:pPr>
        <w:sectPr>
          <w:pgSz w:w="11900" w:h="16838" w:orient="portrait"/>
          <w:cols w:equalWidth="0" w:num="1">
            <w:col w:w="11280"/>
          </w:cols>
          <w:pgMar w:left="300" w:top="1141" w:right="319" w:bottom="1440"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 Bradley Southern, certify that:</w:t>
      </w:r>
    </w:p>
    <w:p>
      <w:pPr>
        <w:spacing w:after="0" w:line="136"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Louisiana-Pacific Corporation;</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760" w:hanging="500"/>
        <w:spacing w:after="0" w:line="287" w:lineRule="auto"/>
        <w:tabs>
          <w:tab w:leader="none" w:pos="7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3"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52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left="760" w:hanging="500"/>
        <w:spacing w:after="0" w:line="287" w:lineRule="auto"/>
        <w:tabs>
          <w:tab w:leader="none" w:pos="75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Date: August 6, 2025</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W. BRADLEY SOUTHERN</w:t>
            </w:r>
          </w:p>
        </w:tc>
      </w:tr>
      <w:tr>
        <w:trPr>
          <w:trHeight w:val="167"/>
        </w:trPr>
        <w:tc>
          <w:tcPr>
            <w:tcW w:w="566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 Bradley Southern</w:t>
            </w:r>
          </w:p>
        </w:tc>
      </w:tr>
      <w:tr>
        <w:trPr>
          <w:trHeight w:val="184"/>
        </w:trPr>
        <w:tc>
          <w:tcPr>
            <w:tcW w:w="566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730"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Alan J.M. Haughie, certify that:</w:t>
      </w:r>
    </w:p>
    <w:p>
      <w:pPr>
        <w:spacing w:after="0" w:line="13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Louisiana-Pacific Corporation;</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760" w:hanging="500"/>
        <w:spacing w:after="0" w:line="287" w:lineRule="auto"/>
        <w:tabs>
          <w:tab w:leader="none" w:pos="75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3"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52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left="760" w:hanging="500"/>
        <w:spacing w:after="0" w:line="287" w:lineRule="auto"/>
        <w:tabs>
          <w:tab w:leader="none" w:pos="753"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Date: August 6, 2025</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167"/>
        </w:trPr>
        <w:tc>
          <w:tcPr>
            <w:tcW w:w="566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Alan J.M. Haughie</w:t>
            </w:r>
          </w:p>
        </w:tc>
      </w:tr>
      <w:tr>
        <w:trPr>
          <w:trHeight w:val="180"/>
        </w:trPr>
        <w:tc>
          <w:tcPr>
            <w:tcW w:w="566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w:t>
            </w:r>
          </w:p>
        </w:tc>
      </w:tr>
      <w:tr>
        <w:trPr>
          <w:trHeight w:val="184"/>
        </w:trPr>
        <w:tc>
          <w:tcPr>
            <w:tcW w:w="566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730" w:right="319" w:bottom="1440" w:gutter="0" w:footer="0" w:header="0"/>
        </w:sectPr>
      </w:pPr>
    </w:p>
    <w:bookmarkStart w:id="46" w:name="page47"/>
    <w:bookmarkEnd w:id="46"/>
    <w:p>
      <w:pPr>
        <w:ind w:left="106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Certifications of Chief Executive Officer and Chief Financial Officer Pursuant to 18 U.S.C. § 1350 as Adopted Pursuant to Section 906 of the Sarbanes-Oxley Act of 2002</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Pursuant to 18 U.S.C. § 1350, as adopted pursuant to Section 906 of the Sarbanes-Oxley Act of 2002, in connection with the Quarterly Report on Form 10-Q of Louisiana-Pacific Corporation (the “Company”) for quarter ended June 30, 2025, as filed with the Securities and Exchange Commission on the date hereof (the “Report”), each of the undersigned officers of the Company certifies, that, to such officer’s knowledge:</w:t>
      </w:r>
    </w:p>
    <w:p>
      <w:pPr>
        <w:spacing w:after="0" w:line="8" w:lineRule="exact"/>
        <w:rPr>
          <w:sz w:val="20"/>
          <w:szCs w:val="20"/>
          <w:color w:val="auto"/>
        </w:rPr>
      </w:pPr>
    </w:p>
    <w:p>
      <w:pPr>
        <w:ind w:left="760" w:hanging="437"/>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51" w:lineRule="exact"/>
        <w:rPr>
          <w:rFonts w:ascii="Times New Roman" w:cs="Times New Roman" w:eastAsia="Times New Roman" w:hAnsi="Times New Roman"/>
          <w:sz w:val="14"/>
          <w:szCs w:val="14"/>
          <w:color w:val="auto"/>
        </w:rPr>
      </w:pPr>
    </w:p>
    <w:p>
      <w:pPr>
        <w:ind w:left="760" w:hanging="437"/>
        <w:spacing w:after="0" w:line="287" w:lineRule="auto"/>
        <w:tabs>
          <w:tab w:leader="none" w:pos="75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6, 2025</w:t>
      </w:r>
    </w:p>
    <w:p>
      <w:pPr>
        <w:spacing w:after="0" w:line="11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W. Bradley Southern</w:t>
      </w:r>
    </w:p>
    <w:p>
      <w:pPr>
        <w:ind w:left="58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Alan J.M. Haughie</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Title: Executive Vice President and Chief Financial Officer</w:t>
      </w:r>
    </w:p>
    <w:p>
      <w:pPr>
        <w:spacing w:after="0" w:line="19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2025-08-06T13:25:07Z</dcterms:created>
  <dcterms:modified xsi:type="dcterms:W3CDTF">2025-08-06T13:25:07Z</dcterms:modified>
</cp:coreProperties>
</file>