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ind w:left="2440"/>
        <w:spacing w:after="0" w:line="238" w:lineRule="auto"/>
        <w:rPr>
          <w:sz w:val="20"/>
          <w:szCs w:val="20"/>
          <w:color w:val="auto"/>
        </w:rPr>
      </w:pPr>
      <w:r>
        <w:rPr>
          <w:rFonts w:ascii="Courier New" w:cs="Courier New" w:eastAsia="Courier New" w:hAnsi="Courier New"/>
          <w:sz w:val="18"/>
          <w:szCs w:val="18"/>
          <w:color w:val="auto"/>
        </w:rPr>
        <w:t>PURSUANT TO SECTION 13 OR 15(D) OF</w:t>
      </w:r>
    </w:p>
    <w:p>
      <w:pPr>
        <w:ind w:left="2440"/>
        <w:spacing w:after="0"/>
        <w:rPr>
          <w:sz w:val="20"/>
          <w:szCs w:val="20"/>
          <w:color w:val="auto"/>
        </w:rPr>
      </w:pPr>
      <w:r>
        <w:rPr>
          <w:rFonts w:ascii="Courier New" w:cs="Courier New" w:eastAsia="Courier New" w:hAnsi="Courier New"/>
          <w:sz w:val="18"/>
          <w:szCs w:val="18"/>
          <w:color w:val="auto"/>
        </w:rPr>
        <w:t>THE SECURITIES EXCHANGE ACT OF 1934</w:t>
      </w:r>
    </w:p>
    <w:p>
      <w:pPr>
        <w:spacing w:after="0" w:line="200"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FEBRUARY 23, 1999</w:t>
      </w:r>
    </w:p>
    <w:p>
      <w:pPr>
        <w:jc w:val="center"/>
        <w:ind w:right="1779"/>
        <w:spacing w:after="0" w:line="238" w:lineRule="auto"/>
        <w:rPr>
          <w:sz w:val="20"/>
          <w:szCs w:val="20"/>
          <w:color w:val="auto"/>
        </w:rPr>
      </w:pPr>
      <w:r>
        <w:rPr>
          <w:rFonts w:ascii="Courier New" w:cs="Courier New" w:eastAsia="Courier New" w:hAnsi="Courier New"/>
          <w:sz w:val="18"/>
          <w:szCs w:val="18"/>
          <w:color w:val="auto"/>
        </w:rPr>
        <w:t>DATE OF REPORT (DATE OF EARLIEST EVENT REPORTED)</w:t>
      </w:r>
    </w:p>
    <w:p>
      <w:pPr>
        <w:spacing w:after="0" w:line="200" w:lineRule="exact"/>
        <w:rPr>
          <w:sz w:val="24"/>
          <w:szCs w:val="24"/>
          <w:color w:val="auto"/>
        </w:rPr>
      </w:pPr>
    </w:p>
    <w:p>
      <w:pPr>
        <w:spacing w:after="0" w:line="204"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LOUISIANA-PACIFIC CORPORATION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655"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left="12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jc w:val="center"/>
        <w:ind w:left="120"/>
        <w:spacing w:after="0"/>
        <w:rPr>
          <w:sz w:val="20"/>
          <w:szCs w:val="20"/>
          <w:color w:val="auto"/>
        </w:rPr>
      </w:pPr>
      <w:r>
        <w:rPr>
          <w:rFonts w:ascii="Courier New" w:cs="Courier New" w:eastAsia="Courier New" w:hAnsi="Courier New"/>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ind w:left="840"/>
        <w:spacing w:after="0"/>
        <w:rPr>
          <w:sz w:val="20"/>
          <w:szCs w:val="20"/>
          <w:color w:val="auto"/>
        </w:rPr>
      </w:pPr>
      <w:r>
        <w:rPr>
          <w:rFonts w:ascii="Courier New" w:cs="Courier New" w:eastAsia="Courier New" w:hAnsi="Courier New"/>
          <w:sz w:val="18"/>
          <w:szCs w:val="18"/>
          <w:color w:val="auto"/>
        </w:rPr>
        <w:t>1-7107</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ind w:left="520"/>
        <w:spacing w:after="0"/>
        <w:rPr>
          <w:sz w:val="20"/>
          <w:szCs w:val="20"/>
          <w:color w:val="auto"/>
        </w:rPr>
      </w:pPr>
      <w:r>
        <w:rPr>
          <w:rFonts w:ascii="Courier New" w:cs="Courier New" w:eastAsia="Courier New" w:hAnsi="Courier New"/>
          <w:sz w:val="18"/>
          <w:szCs w:val="18"/>
          <w:color w:val="auto"/>
        </w:rPr>
        <w:t>93-0609074</w:t>
      </w:r>
    </w:p>
    <w:p>
      <w:pPr>
        <w:ind w:left="42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NUMBER)</w:t>
      </w:r>
    </w:p>
    <w:p>
      <w:pPr>
        <w:spacing w:after="0" w:line="200" w:lineRule="exact"/>
        <w:rPr>
          <w:sz w:val="24"/>
          <w:szCs w:val="24"/>
          <w:color w:val="auto"/>
        </w:rPr>
      </w:pPr>
    </w:p>
    <w:p>
      <w:pPr>
        <w:sectPr>
          <w:pgSz w:w="11900" w:h="16838" w:orient="portrait"/>
          <w:cols w:equalWidth="0" w:num="3">
            <w:col w:w="2640" w:space="420"/>
            <w:col w:w="2540" w:space="520"/>
            <w:col w:w="4099"/>
          </w:cols>
          <w:pgMar w:left="240" w:top="655" w:right="1440" w:bottom="1440" w:gutter="0" w:footer="0" w:header="0"/>
          <w:type w:val="continuous"/>
        </w:sectPr>
      </w:pPr>
    </w:p>
    <w:p>
      <w:pPr>
        <w:spacing w:after="0" w:line="226" w:lineRule="exact"/>
        <w:rPr>
          <w:sz w:val="24"/>
          <w:szCs w:val="24"/>
          <w:color w:val="auto"/>
        </w:rPr>
      </w:pPr>
    </w:p>
    <w:p>
      <w:pPr>
        <w:ind w:left="264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655" w:right="1440" w:bottom="1440" w:gutter="0" w:footer="0" w:header="0"/>
          <w:type w:val="continuous"/>
        </w:sectPr>
      </w:pPr>
    </w:p>
    <w:p>
      <w:pPr>
        <w:spacing w:after="0" w:line="200" w:lineRule="exact"/>
        <w:rPr>
          <w:sz w:val="24"/>
          <w:szCs w:val="24"/>
          <w:color w:val="auto"/>
        </w:rPr>
      </w:pPr>
    </w:p>
    <w:p>
      <w:pPr>
        <w:spacing w:after="0" w:line="221"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111 S.W. FIFTH AVENUE, PORTLAND, OREGON 97204</w:t>
      </w:r>
    </w:p>
    <w:p>
      <w:pPr>
        <w:ind w:left="1060"/>
        <w:spacing w:after="0" w:line="238" w:lineRule="auto"/>
        <w:rPr>
          <w:sz w:val="20"/>
          <w:szCs w:val="20"/>
          <w:color w:val="auto"/>
        </w:rPr>
      </w:pPr>
      <w:r>
        <w:rPr>
          <w:rFonts w:ascii="Courier New" w:cs="Courier New" w:eastAsia="Courier New" w:hAnsi="Courier New"/>
          <w:sz w:val="18"/>
          <w:szCs w:val="18"/>
          <w:color w:val="auto"/>
        </w:rPr>
        <w:t>(ADDRESS OF PRINCIPAL EXECUTIVE OFFICES, INCLUDING ZIP CODE)</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(503) 221-0800</w:t>
      </w:r>
    </w:p>
    <w:p>
      <w:pPr>
        <w:jc w:val="center"/>
        <w:ind w:right="1779"/>
        <w:spacing w:after="0" w:line="238" w:lineRule="auto"/>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0" w:lineRule="exact"/>
        <w:rPr>
          <w:sz w:val="24"/>
          <w:szCs w:val="24"/>
          <w:color w:val="auto"/>
        </w:rPr>
      </w:pPr>
    </w:p>
    <w:p>
      <w:pPr>
        <w:spacing w:after="0" w:line="21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655" w:right="1440" w:bottom="1440" w:gutter="0" w:footer="0" w:header="0"/>
          <w:type w:val="continuous"/>
        </w:sectPr>
      </w:pPr>
    </w:p>
    <w:bookmarkStart w:id="1" w:name="page2"/>
    <w:bookmarkEnd w:id="1"/>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Acquisition or Disposition of Assets.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On February 23, 1999, Striper Acquisition, Inc. ("Purchaser"), a wholly owned subsidiary of Louisiana-Pacific Corporation ("Louisiana-Pacific"), completed a tender offer (the "Offer") for all outstanding shares of common stock ("Shares") of ABT Building Products Corporation ("ABT"), at $15.00 per Share in cash (the "Offer Consideration"). Purchaser acquired approximately 98.6% of the outstanding Shares in the Offer.</w:t>
      </w:r>
    </w:p>
    <w:p>
      <w:pPr>
        <w:spacing w:after="0" w:line="210"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On February 25, 1999, Purchaser merged with and into ABT (the "Merger"). At the effective time of the Merger, (i) each previously outstanding Share, other than Shares owned by Louisiana-Pacific or ABT or any subsidiary of Louisiana-Pacific or ABT, was converted into the right to receive $15.00 in cash (the "Merger Consideration"), subject to the right of holders of Shares to seek an appraisal of the fair value of their Shares pursuant to Section 262 of the Delaware General Corporation Law, (ii) all Shares owned by Louisiana-Pacific or ABT or any subsidiary of Louisiana-Pacific or ABT were canceled, and (iii) ABT became a wholly owned subsidiary of Louisiana-Pacific.</w:t>
      </w:r>
    </w:p>
    <w:p>
      <w:pPr>
        <w:spacing w:after="0" w:line="38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Offer and the Merger were effected pursuant to an Agreement and Plan of Merger, dated as of January 19, 1999, among Louisiana-Pacific, Purchaser and ABT (the "Merger Agreement"). Concurrently with the execution and delivery of the Merger Agreement, Louisiana-Pacific and certain stockholders of ABT (who in the aggregate owned approximately 46.4% of the outstanding Shares) entered into a Stockholder Agreement pursuant to which, among other things, such stockholders agreed to tender their Shares into the Offer. The Merger Agreement and the Stockholder Agreement are filed as Exhibits 2.1 and 2.2, respectively, to this report.</w:t>
      </w:r>
    </w:p>
    <w:p>
      <w:pPr>
        <w:spacing w:after="0" w:line="214"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The Offer Consideration and the Merger Consideration were determined through arm's-length negotiations between representatives of Louisiana-Pacific and representatives of ABT. The total amount payable in respect of the Shares purchased in the Offer and converted in the Merger is approximately $160.1 million. Funding of such amount, together with other amounts payable in connection with the Offer and the Merger (including approximately $48.4 million payable in respect of certain indebtedness of ABT and approximately $12.7 million payable in connection with the cancellation of certain options to purchase Shares), was provided from Louisiana-Pacific's and ABT's available cash, together with borrowings under a credit agreement among Louisiana-Pacific, Bank of America National Trust and Savings Association and certain other financial institutions.</w:t>
      </w:r>
    </w:p>
    <w:p>
      <w:pPr>
        <w:spacing w:after="0" w:line="207"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ABT manufactures exterior hardboard and vinyl siding and accessories and specialty building products. ABT's tangible assets include land, buildings and improvements, machinery and equipment and furniture and fixtures. Louisiana-Pacific presently intends, in general, to continue using such assets in the conduct of ABT's business.</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0"/>
          <w:szCs w:val="20"/>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Louisiana-Pacific's 1999 Annual Meeting of Stockholders will be held on Monday, May 10, 1999.</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Pro Forma Financial Information and Exhibits.</w:t>
      </w:r>
    </w:p>
    <w:p>
      <w:pPr>
        <w:spacing w:after="0" w:line="201" w:lineRule="exact"/>
        <w:rPr>
          <w:sz w:val="20"/>
          <w:szCs w:val="20"/>
          <w:color w:val="auto"/>
        </w:rPr>
      </w:pPr>
    </w:p>
    <w:p>
      <w:pPr>
        <w:ind w:left="960"/>
        <w:spacing w:after="0"/>
        <w:tabs>
          <w:tab w:leader="none" w:pos="2300" w:val="left"/>
        </w:tabs>
        <w:rPr>
          <w:sz w:val="20"/>
          <w:szCs w:val="20"/>
          <w:color w:val="auto"/>
        </w:rPr>
      </w:pPr>
      <w:r>
        <w:rPr>
          <w:rFonts w:ascii="Courier New" w:cs="Courier New" w:eastAsia="Courier New" w:hAnsi="Courier New"/>
          <w:sz w:val="18"/>
          <w:szCs w:val="18"/>
          <w:color w:val="auto"/>
        </w:rPr>
        <w:t>(a) and (b)</w:t>
      </w:r>
      <w:r>
        <w:rPr>
          <w:sz w:val="20"/>
          <w:szCs w:val="20"/>
          <w:color w:val="auto"/>
        </w:rPr>
        <w:tab/>
      </w:r>
      <w:r>
        <w:rPr>
          <w:rFonts w:ascii="Courier New" w:cs="Courier New" w:eastAsia="Courier New" w:hAnsi="Courier New"/>
          <w:sz w:val="16"/>
          <w:szCs w:val="16"/>
          <w:color w:val="auto"/>
        </w:rPr>
        <w:t>Not applicable.</w:t>
      </w:r>
    </w:p>
    <w:p>
      <w:pPr>
        <w:spacing w:after="0" w:line="201" w:lineRule="exact"/>
        <w:rPr>
          <w:sz w:val="20"/>
          <w:szCs w:val="20"/>
          <w:color w:val="auto"/>
        </w:rPr>
      </w:pPr>
    </w:p>
    <w:p>
      <w:pPr>
        <w:ind w:left="1480" w:hanging="524"/>
        <w:spacing w:after="0"/>
        <w:tabs>
          <w:tab w:leader="none" w:pos="14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exhibits are filed herewith:</w:t>
      </w:r>
    </w:p>
    <w:p>
      <w:pPr>
        <w:spacing w:after="0" w:line="207" w:lineRule="exact"/>
        <w:rPr>
          <w:sz w:val="20"/>
          <w:szCs w:val="20"/>
          <w:color w:val="auto"/>
        </w:rPr>
      </w:pPr>
    </w:p>
    <w:p>
      <w:pPr>
        <w:ind w:left="960" w:right="2319" w:hanging="947"/>
        <w:spacing w:after="0" w:line="237" w:lineRule="auto"/>
        <w:tabs>
          <w:tab w:leader="none" w:pos="940" w:val="left"/>
        </w:tabs>
        <w:rPr>
          <w:sz w:val="20"/>
          <w:szCs w:val="20"/>
          <w:color w:val="auto"/>
        </w:rPr>
      </w:pPr>
      <w:r>
        <w:rPr>
          <w:rFonts w:ascii="Courier New" w:cs="Courier New" w:eastAsia="Courier New" w:hAnsi="Courier New"/>
          <w:sz w:val="18"/>
          <w:szCs w:val="18"/>
          <w:color w:val="auto"/>
        </w:rPr>
        <w:t>2.1</w:t>
      </w:r>
      <w:r>
        <w:rPr>
          <w:sz w:val="20"/>
          <w:szCs w:val="20"/>
          <w:color w:val="auto"/>
        </w:rPr>
        <w:tab/>
      </w:r>
      <w:r>
        <w:rPr>
          <w:rFonts w:ascii="Courier New" w:cs="Courier New" w:eastAsia="Courier New" w:hAnsi="Courier New"/>
          <w:sz w:val="18"/>
          <w:szCs w:val="18"/>
          <w:color w:val="auto"/>
        </w:rPr>
        <w:t>Agreement and Plan of Merger, dated as of January 19, 1999, by and among ABT, Louisiana-Pacific and Purchaser (incorporated herein by reference to Exhibit (c)(1) of the Schedule 14D-1 filed by Louisiana-Pacific on January 25, 1999).</w:t>
      </w:r>
    </w:p>
    <w:p>
      <w:pPr>
        <w:spacing w:after="0" w:line="207" w:lineRule="exact"/>
        <w:rPr>
          <w:sz w:val="20"/>
          <w:szCs w:val="20"/>
          <w:color w:val="auto"/>
        </w:rPr>
      </w:pPr>
    </w:p>
    <w:p>
      <w:pPr>
        <w:ind w:left="960" w:right="1779" w:hanging="947"/>
        <w:spacing w:after="0" w:line="237" w:lineRule="auto"/>
        <w:tabs>
          <w:tab w:leader="none" w:pos="940" w:val="left"/>
        </w:tabs>
        <w:rPr>
          <w:sz w:val="20"/>
          <w:szCs w:val="20"/>
          <w:color w:val="auto"/>
        </w:rPr>
      </w:pPr>
      <w:r>
        <w:rPr>
          <w:rFonts w:ascii="Courier New" w:cs="Courier New" w:eastAsia="Courier New" w:hAnsi="Courier New"/>
          <w:sz w:val="18"/>
          <w:szCs w:val="18"/>
          <w:color w:val="auto"/>
        </w:rPr>
        <w:t>2.2</w:t>
      </w:r>
      <w:r>
        <w:rPr>
          <w:sz w:val="20"/>
          <w:szCs w:val="20"/>
          <w:color w:val="auto"/>
        </w:rPr>
        <w:tab/>
      </w:r>
      <w:r>
        <w:rPr>
          <w:rFonts w:ascii="Courier New" w:cs="Courier New" w:eastAsia="Courier New" w:hAnsi="Courier New"/>
          <w:sz w:val="18"/>
          <w:szCs w:val="18"/>
          <w:color w:val="auto"/>
        </w:rPr>
        <w:t>Stockholder Agreement, dated as of January 19, 1999, by and among Louisiana-Pacific, Purchaser, Kohlberg Associates, LP, KABT Acquisition Company, LP, and George T. Brophy (incorporated herein by reference to Exhibit (c)(2) of the Schedule 14D-1 filed by Louisiana-Pacific on January 25, 1999).</w:t>
      </w:r>
    </w:p>
    <w:p>
      <w:pPr>
        <w:sectPr>
          <w:pgSz w:w="11900" w:h="16838" w:orient="portrait"/>
          <w:cols w:equalWidth="0" w:num="1">
            <w:col w:w="10219"/>
          </w:cols>
          <w:pgMar w:left="240" w:top="717" w:right="1440" w:bottom="1440" w:gutter="0" w:footer="0" w:header="0"/>
        </w:sectPr>
      </w:pPr>
    </w:p>
    <w:bookmarkStart w:id="2" w:name="page3"/>
    <w:bookmarkEnd w:id="2"/>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9"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LOUISIANA-PACIFIC CORPORATION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By: /s/ Gary C. Wilkerson</w:t>
      </w:r>
    </w:p>
    <w:p>
      <w:pPr>
        <w:spacing w:after="0" w:line="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Gary C. Wilkerson</w:t>
      </w:r>
    </w:p>
    <w:p>
      <w:pPr>
        <w:ind w:left="4440"/>
        <w:spacing w:after="0" w:line="238" w:lineRule="auto"/>
        <w:rPr>
          <w:sz w:val="20"/>
          <w:szCs w:val="20"/>
          <w:color w:val="auto"/>
        </w:rPr>
      </w:pPr>
      <w:r>
        <w:rPr>
          <w:rFonts w:ascii="Courier New" w:cs="Courier New" w:eastAsia="Courier New" w:hAnsi="Courier New"/>
          <w:sz w:val="18"/>
          <w:szCs w:val="18"/>
          <w:color w:val="auto"/>
        </w:rPr>
        <w:t>Vice President and General Counsel</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March 5, 1999</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3"/>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2019-12-13T03:26:11Z</dcterms:created>
  <dcterms:modified xsi:type="dcterms:W3CDTF">2019-12-13T03:26:11Z</dcterms:modified>
</cp:coreProperties>
</file>