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81280</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7" w:lineRule="exact"/>
        <w:rPr>
          <w:sz w:val="24"/>
          <w:szCs w:val="24"/>
          <w:color w:val="auto"/>
        </w:rPr>
      </w:pPr>
    </w:p>
    <w:p>
      <w:pPr>
        <w:jc w:val="center"/>
        <w:ind w:left="5400" w:right="160" w:hanging="5163"/>
        <w:spacing w:after="0" w:line="268" w:lineRule="auto"/>
        <w:tabs>
          <w:tab w:leader="none" w:pos="51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2026</w:t>
      </w:r>
    </w:p>
    <w:p>
      <w:pPr>
        <w:spacing w:after="0" w:line="98" w:lineRule="exact"/>
        <w:rPr>
          <w:sz w:val="24"/>
          <w:szCs w:val="24"/>
          <w:color w:val="auto"/>
        </w:rPr>
      </w:pPr>
    </w:p>
    <w:p>
      <w:pPr>
        <w:jc w:val="center"/>
        <w:ind w:left="5400" w:right="140" w:hanging="5200"/>
        <w:spacing w:after="0" w:line="275" w:lineRule="auto"/>
        <w:tabs>
          <w:tab w:leader="none" w:pos="532"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 xml:space="preserve">Commission File Number </w:t>
      </w:r>
      <w:r>
        <w:rPr>
          <w:rFonts w:ascii="Times New Roman" w:cs="Times New Roman" w:eastAsia="Times New Roman" w:hAnsi="Times New Roman"/>
          <w:sz w:val="17"/>
          <w:szCs w:val="17"/>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8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LOUISIANA-PACIFIC CORPORATION</w:t>
      </w:r>
    </w:p>
    <w:p>
      <w:pPr>
        <w:spacing w:after="0" w:line="4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60960</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96" w:lineRule="exact"/>
        <w:rPr>
          <w:sz w:val="24"/>
          <w:szCs w:val="24"/>
          <w:color w:val="auto"/>
        </w:rPr>
      </w:pPr>
    </w:p>
    <w:tbl>
      <w:tblPr>
        <w:tblLayout w:type="fixed"/>
        <w:tblInd w:w="90" w:type="dxa"/>
        <w:tblCellMar>
          <w:top w:w="0" w:type="dxa"/>
          <w:left w:w="0" w:type="dxa"/>
          <w:bottom w:w="0" w:type="dxa"/>
          <w:right w:w="0" w:type="dxa"/>
        </w:tblCellMar>
      </w:tblPr>
      <w:tr>
        <w:trPr>
          <w:trHeight w:val="238"/>
        </w:trPr>
        <w:tc>
          <w:tcPr>
            <w:tcW w:w="3140" w:type="dxa"/>
            <w:vAlign w:val="bottom"/>
          </w:tcPr>
          <w:p>
            <w:pPr>
              <w:jc w:val="center"/>
              <w:ind w:left="27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10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93-0609074</w:t>
            </w:r>
          </w:p>
        </w:tc>
      </w:tr>
      <w:tr>
        <w:trPr>
          <w:trHeight w:val="205"/>
        </w:trPr>
        <w:tc>
          <w:tcPr>
            <w:tcW w:w="3140" w:type="dxa"/>
            <w:vAlign w:val="bottom"/>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40" w:type="dxa"/>
            <w:vAlign w:val="bottom"/>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0"/>
        </w:trPr>
        <w:tc>
          <w:tcPr>
            <w:tcW w:w="3140" w:type="dxa"/>
            <w:vAlign w:val="bottom"/>
          </w:tcPr>
          <w:p>
            <w:pPr>
              <w:jc w:val="center"/>
              <w:ind w:left="277"/>
              <w:spacing w:after="0"/>
              <w:rPr>
                <w:sz w:val="20"/>
                <w:szCs w:val="20"/>
                <w:color w:val="auto"/>
              </w:rPr>
            </w:pPr>
            <w:r>
              <w:rPr>
                <w:rFonts w:ascii="Times New Roman" w:cs="Times New Roman" w:eastAsia="Times New Roman" w:hAnsi="Times New Roman"/>
                <w:sz w:val="18"/>
                <w:szCs w:val="18"/>
                <w:b w:val="1"/>
                <w:bCs w:val="1"/>
                <w:color w:val="auto"/>
                <w:w w:val="98"/>
              </w:rPr>
              <w:t>1610 West End Ave. Suite 200</w:t>
            </w:r>
          </w:p>
        </w:tc>
        <w:tc>
          <w:tcPr>
            <w:tcW w:w="3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59"/>
        </w:trPr>
        <w:tc>
          <w:tcPr>
            <w:tcW w:w="3140" w:type="dxa"/>
            <w:vAlign w:val="bottom"/>
          </w:tcPr>
          <w:p>
            <w:pPr>
              <w:jc w:val="center"/>
              <w:ind w:left="277"/>
              <w:spacing w:after="0"/>
              <w:rPr>
                <w:sz w:val="20"/>
                <w:szCs w:val="20"/>
                <w:color w:val="auto"/>
              </w:rPr>
            </w:pPr>
            <w:r>
              <w:rPr>
                <w:rFonts w:ascii="Times New Roman" w:cs="Times New Roman" w:eastAsia="Times New Roman" w:hAnsi="Times New Roman"/>
                <w:sz w:val="18"/>
                <w:szCs w:val="18"/>
                <w:b w:val="1"/>
                <w:bCs w:val="1"/>
                <w:color w:val="auto"/>
                <w:w w:val="99"/>
              </w:rPr>
              <w:t>Nashville TN 37203</w:t>
            </w:r>
          </w:p>
        </w:tc>
        <w:tc>
          <w:tcPr>
            <w:tcW w:w="3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100" w:type="dxa"/>
            <w:vAlign w:val="bottom"/>
          </w:tcPr>
          <w:p>
            <w:pPr>
              <w:jc w:val="right"/>
              <w:ind w:right="1359"/>
              <w:spacing w:after="0"/>
              <w:rPr>
                <w:sz w:val="20"/>
                <w:szCs w:val="20"/>
                <w:color w:val="auto"/>
              </w:rPr>
            </w:pPr>
            <w:r>
              <w:rPr>
                <w:rFonts w:ascii="Times New Roman" w:cs="Times New Roman" w:eastAsia="Times New Roman" w:hAnsi="Times New Roman"/>
                <w:sz w:val="18"/>
                <w:szCs w:val="18"/>
                <w:b w:val="1"/>
                <w:bCs w:val="1"/>
                <w:color w:val="auto"/>
              </w:rPr>
              <w:t>(615) 986 - 5600</w:t>
            </w:r>
          </w:p>
        </w:tc>
      </w:tr>
      <w:tr>
        <w:trPr>
          <w:trHeight w:val="175"/>
        </w:trPr>
        <w:tc>
          <w:tcPr>
            <w:tcW w:w="3140" w:type="dxa"/>
            <w:vAlign w:val="bottom"/>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r>
      <w:tr>
        <w:trPr>
          <w:trHeight w:val="190"/>
        </w:trPr>
        <w:tc>
          <w:tcPr>
            <w:tcW w:w="3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including area code)</w:t>
            </w:r>
          </w:p>
        </w:tc>
      </w:tr>
      <w:tr>
        <w:trPr>
          <w:trHeight w:val="618"/>
        </w:trPr>
        <w:tc>
          <w:tcPr>
            <w:tcW w:w="3140" w:type="dxa"/>
            <w:vAlign w:val="bottom"/>
          </w:tcPr>
          <w:p>
            <w:pPr>
              <w:spacing w:after="0"/>
              <w:rPr>
                <w:sz w:val="24"/>
                <w:szCs w:val="24"/>
                <w:color w:val="auto"/>
              </w:rPr>
            </w:pPr>
          </w:p>
        </w:tc>
        <w:tc>
          <w:tcPr>
            <w:tcW w:w="79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81"/>
        </w:trPr>
        <w:tc>
          <w:tcPr>
            <w:tcW w:w="3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4100" w:type="dxa"/>
            <w:vAlign w:val="bottom"/>
            <w:tcBorders>
              <w:bottom w:val="single" w:sz="8" w:color="auto"/>
            </w:tcBorders>
          </w:tcPr>
          <w:p>
            <w:pPr>
              <w:spacing w:after="0"/>
              <w:rPr>
                <w:sz w:val="7"/>
                <w:szCs w:val="7"/>
                <w:color w:val="auto"/>
              </w:rPr>
            </w:pPr>
          </w:p>
        </w:tc>
      </w:tr>
      <w:tr>
        <w:trPr>
          <w:trHeight w:val="223"/>
        </w:trPr>
        <w:tc>
          <w:tcPr>
            <w:tcW w:w="3140" w:type="dxa"/>
            <w:vAlign w:val="bottom"/>
            <w:tcBorders>
              <w:left w:val="single" w:sz="8" w:color="auto"/>
              <w:bottom w:val="single" w:sz="8" w:color="auto"/>
            </w:tcBorders>
          </w:tcPr>
          <w:p>
            <w:pPr>
              <w:jc w:val="center"/>
              <w:ind w:left="277"/>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 w:type="dxa"/>
            <w:vAlign w:val="bottom"/>
            <w:tcBorders>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140" w:type="dxa"/>
            <w:vAlign w:val="bottom"/>
            <w:tcBorders>
              <w:left w:val="single" w:sz="8" w:color="auto"/>
              <w:bottom w:val="single" w:sz="8" w:color="auto"/>
            </w:tcBorders>
          </w:tcPr>
          <w:p>
            <w:pPr>
              <w:jc w:val="center"/>
              <w:ind w:left="277"/>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380" w:type="dxa"/>
            <w:vAlign w:val="bottom"/>
            <w:tcBorders>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LPX</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-1619250</wp:posOffset>
            </wp:positionV>
            <wp:extent cx="822960" cy="694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694055"/>
                    </a:xfrm>
                    <a:prstGeom prst="rect">
                      <a:avLst/>
                    </a:prstGeom>
                    <a:noFill/>
                  </pic:spPr>
                </pic:pic>
              </a:graphicData>
            </a:graphic>
          </wp:anchor>
        </w:drawing>
      </w:r>
    </w:p>
    <w:p>
      <w:pPr>
        <w:spacing w:after="0" w:line="97"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660"/>
              <w:spacing w:after="0" w:line="189" w:lineRule="exact"/>
              <w:rPr>
                <w:sz w:val="20"/>
                <w:szCs w:val="20"/>
                <w:color w:val="auto"/>
              </w:rPr>
            </w:pPr>
            <w:r>
              <w:rPr>
                <w:rFonts w:ascii="Wingdings" w:cs="Wingdings" w:eastAsia="Wingdings" w:hAnsi="Wingdings"/>
                <w:sz w:val="18"/>
                <w:szCs w:val="18"/>
                <w:b w:val="1"/>
                <w:bCs w:val="1"/>
                <w:color w:val="auto"/>
              </w:rPr>
              <w:t>x</w:t>
            </w:r>
          </w:p>
        </w:tc>
        <w:tc>
          <w:tcPr>
            <w:tcW w:w="4100" w:type="dxa"/>
            <w:vAlign w:val="bottom"/>
          </w:tcPr>
          <w:p>
            <w:pPr>
              <w:ind w:left="1520"/>
              <w:spacing w:after="0" w:line="189" w:lineRule="exact"/>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189" w:lineRule="exact"/>
              <w:rPr>
                <w:sz w:val="20"/>
                <w:szCs w:val="20"/>
                <w:color w:val="auto"/>
              </w:rPr>
            </w:pPr>
            <w:r>
              <w:rPr>
                <w:rFonts w:ascii="Wingdings" w:cs="Wingdings" w:eastAsia="Wingdings" w:hAnsi="Wingdings"/>
                <w:sz w:val="18"/>
                <w:szCs w:val="18"/>
                <w:b w:val="1"/>
                <w:bCs w:val="1"/>
                <w:color w:val="auto"/>
                <w:w w:val="86"/>
              </w:rPr>
              <w:t>o</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1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02"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69,864,880 shares of common stock, $1 par value per share, outstanding as of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specified and unless the context otherwise requires, references to “LP,” the “Company,” “we,” “us,” and “our” refer to Louisiana-Pacific Corporation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20"/>
          </w:cols>
          <w:pgMar w:left="320" w:top="1064" w:right="559" w:bottom="1440" w:gutter="0" w:footer="0" w:header="0"/>
        </w:sectPr>
      </w:pPr>
    </w:p>
    <w:bookmarkStart w:id="2" w:name="page3"/>
    <w:bookmarkEnd w:id="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27A of the Securities Act of 1933, as amended (the Securities Act),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such forward-looking statements. This quarterly report on Form 10-Q contains, and other reports and documents we file with, or furnish to, the Securities and Exchange Commission (SEC) may contain, forward-looking statements. These statements are based upon the beliefs and assumptions of, and on information currently available to, our management.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statements are or may constitute forward-looking statements: statements preceded by, followed by or that include words like “may,” “will,” “could,” “should,” “believe,” “expect,” “anticipate,” “assume,” “intend,” “plan,” “seek,” “estimate,” “project,” “target,” “potential,” “continue,” “likely,” or “future,” as well as similar expressions, or the negative or other variations thereof. Forward-looking statements include other statements regarding matters that are not historical facts, including without limitation, plans for product development, forecasts of future costs and expenditures, possible outcomes of legal proceedings, capacity expansion and other growth initiatives, the adequacy of reserves for loss contingencies, and any statements regarding the Company’s financial outlook.</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expressed or implied by forward-looking statements include, but are not limited to, the following:</w:t>
      </w:r>
    </w:p>
    <w:p>
      <w:pPr>
        <w:spacing w:after="0" w:line="54"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fiscal, trade, and monetary policies, including the imposition of higher or new tariffs, trade barriers, and levels of employment;</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and global economic conditions, including impacts from rising inflation, supply chain disruptions, new, ongoing, or escalated geopolitical or military conflicts or tensions;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nature of a segment of our products and the prices for those products, which are determined in significant part by external factors such as total industry capacity and wider industry cycles affecting supply and demand trends;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financing for home mortgages;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home construction and repair and remodel activity, including as a result of labor shortages;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conditions and prices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supply of and demand for building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or business conditions of third-party wholesale distributors and dealers of building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prices and the relationship between the supply of and demand for raw materials, including wood fiber and resins, used in manufacturing our products;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energy, primarily natural gas, electricity, and diesel fuel;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transportation, including transportation services provided by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vendors and suppliers for certain goods and services critical to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financial impacts from manufacturing our products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development, launch or production ramp-up of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executives, management and other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formulate and implement effective succession plans from time to time for key members of our management team;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global pandemics) on the economy, demand for our products or our operations, including the actions and recommendations of governmental authorities to contain such public health issues;</w:t>
      </w: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complete and integrate acquisitions, divestitures, joint ventures, capital investments and other corporate strategic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or regional climate conditions, the impacts of climate change, and potential government policies adopted in response to such conditions;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significant operating expenses;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values and exchange rates between the U.S. dollar and other currencies, particularly the Canadian dollar, Brazilian real, Chilean peso, and Argentine peso;</w:t>
      </w: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giving rise to environmental liabilities or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costs exceeding our warranty reserves;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or exploitation of our intellectual property or other proprietary information by our competitors or other third parties;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existing and future product-related litigation, environmental proceedings and remediation efforts, and other legal or environmental proceedings or matters;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covenants and events of default contained in our debt instruments;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repurchases of our common stock and the payment of dividends on our common stock, which will depend on market and business conditions and other considerations;</w:t>
      </w: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events affecting our information technology systems or those of our third-party providers and the related costs and impact of any disruption on our business; and</w:t>
      </w: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public authorities, war, political or civil unrest, natural disasters, fire, floods, earthquakes, inclement weather, and other matters beyond our control.</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and any risks and uncertainties specifically identified in the text surrounding forward-looking statements, any statements in the reports and other documents filed by us with, or furnished by us to,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and are inherently uncertain. We undertake no obligation to revise or update any of the forward-looking statements to reflect subsequent events or circumstances except to the extent required by applicable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79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960" w:type="dxa"/>
            <w:vAlign w:val="bottom"/>
            <w:gridSpan w:val="2"/>
          </w:tcPr>
          <w:p>
            <w:pPr>
              <w:jc w:val="right"/>
              <w:ind w:right="5579"/>
              <w:spacing w:after="0"/>
              <w:rPr>
                <w:sz w:val="20"/>
                <w:szCs w:val="20"/>
                <w:color w:val="auto"/>
              </w:rPr>
            </w:pPr>
            <w:r>
              <w:rPr>
                <w:rFonts w:ascii="Times New Roman" w:cs="Times New Roman" w:eastAsia="Times New Roman" w:hAnsi="Times New Roman"/>
                <w:sz w:val="18"/>
                <w:szCs w:val="18"/>
                <w:b w:val="1"/>
                <w:bCs w:val="1"/>
                <w:color w:val="auto"/>
                <w:w w:val="99"/>
              </w:rPr>
              <w:t>FINANCIAL STATEMENTS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79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9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Amounts in millions, except per share amounts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9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(Unaudited)</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12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96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128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70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w:t>
            </w:r>
          </w:p>
        </w:tc>
        <w:tc>
          <w:tcPr>
            <w:tcW w:w="0" w:type="dxa"/>
            <w:vAlign w:val="bottom"/>
          </w:tcPr>
          <w:p>
            <w:pPr>
              <w:spacing w:after="0"/>
              <w:rPr>
                <w:sz w:val="1"/>
                <w:szCs w:val="1"/>
                <w:color w:val="auto"/>
              </w:rPr>
            </w:pPr>
          </w:p>
        </w:tc>
      </w:tr>
      <w:tr>
        <w:trPr>
          <w:trHeight w:val="213"/>
        </w:trPr>
        <w:tc>
          <w:tcPr>
            <w:tcW w:w="1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Cost of sales</w:t>
            </w:r>
          </w:p>
        </w:tc>
        <w:tc>
          <w:tcPr>
            <w:tcW w:w="70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7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w:t>
            </w:r>
          </w:p>
        </w:tc>
        <w:tc>
          <w:tcPr>
            <w:tcW w:w="0" w:type="dxa"/>
            <w:vAlign w:val="bottom"/>
          </w:tcPr>
          <w:p>
            <w:pPr>
              <w:spacing w:after="0"/>
              <w:rPr>
                <w:sz w:val="1"/>
                <w:szCs w:val="1"/>
                <w:color w:val="auto"/>
              </w:rPr>
            </w:pPr>
          </w:p>
        </w:tc>
      </w:tr>
      <w:tr>
        <w:trPr>
          <w:trHeight w:val="213"/>
        </w:trPr>
        <w:tc>
          <w:tcPr>
            <w:tcW w:w="92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9"/>
        </w:trPr>
        <w:tc>
          <w:tcPr>
            <w:tcW w:w="92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8"/>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9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0" w:type="dxa"/>
            <w:vAlign w:val="bottom"/>
          </w:tcPr>
          <w:p>
            <w:pPr>
              <w:spacing w:after="0"/>
              <w:rPr>
                <w:sz w:val="1"/>
                <w:szCs w:val="1"/>
                <w:color w:val="auto"/>
              </w:rPr>
            </w:pPr>
          </w:p>
        </w:tc>
      </w:tr>
      <w:tr>
        <w:trPr>
          <w:trHeight w:val="218"/>
        </w:trPr>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7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92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Investment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9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non-operating (expense) income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8"/>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9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0" w:type="dxa"/>
            <w:vAlign w:val="bottom"/>
          </w:tcPr>
          <w:p>
            <w:pPr>
              <w:spacing w:after="0"/>
              <w:rPr>
                <w:sz w:val="1"/>
                <w:szCs w:val="1"/>
                <w:color w:val="auto"/>
              </w:rPr>
            </w:pPr>
          </w:p>
        </w:tc>
      </w:tr>
      <w:tr>
        <w:trPr>
          <w:trHeight w:val="218"/>
        </w:trPr>
        <w:tc>
          <w:tcPr>
            <w:tcW w:w="92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83"/>
        </w:trPr>
        <w:tc>
          <w:tcPr>
            <w:tcW w:w="12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70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779"/>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27</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59"/>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91</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70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9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of common stock:</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796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7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80" w:type="dxa"/>
            <w:vAlign w:val="bottom"/>
            <w:vMerge w:val="continue"/>
          </w:tcPr>
          <w:p>
            <w:pPr>
              <w:spacing w:after="0"/>
              <w:rPr>
                <w:sz w:val="16"/>
                <w:szCs w:val="16"/>
                <w:color w:val="auto"/>
              </w:rPr>
            </w:pPr>
          </w:p>
        </w:tc>
        <w:tc>
          <w:tcPr>
            <w:tcW w:w="7000" w:type="dxa"/>
            <w:vAlign w:val="bottom"/>
          </w:tcPr>
          <w:p>
            <w:pPr>
              <w:spacing w:after="0"/>
              <w:rPr>
                <w:sz w:val="16"/>
                <w:szCs w:val="16"/>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80" w:type="dxa"/>
            <w:vAlign w:val="bottom"/>
            <w:shd w:val="clear" w:color="auto" w:fill="CCEEFF"/>
          </w:tcPr>
          <w:p>
            <w:pPr>
              <w:spacing w:after="0"/>
              <w:rPr>
                <w:sz w:val="20"/>
                <w:szCs w:val="20"/>
                <w:color w:val="auto"/>
              </w:rPr>
            </w:pPr>
          </w:p>
        </w:tc>
        <w:tc>
          <w:tcPr>
            <w:tcW w:w="70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Average shares of common stock used to compute net income per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80" w:type="dxa"/>
            <w:vAlign w:val="bottom"/>
            <w:vMerge w:val="continue"/>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0" w:type="dxa"/>
            <w:vAlign w:val="bottom"/>
            <w:tcBorders>
              <w:bottom w:val="single" w:sz="8" w:color="auto"/>
            </w:tcBorders>
          </w:tcPr>
          <w:p>
            <w:pPr>
              <w:spacing w:after="0"/>
              <w:rPr>
                <w:sz w:val="18"/>
                <w:szCs w:val="18"/>
                <w:color w:val="auto"/>
              </w:rPr>
            </w:pPr>
          </w:p>
        </w:tc>
      </w:tr>
      <w:tr>
        <w:trPr>
          <w:trHeight w:val="211"/>
        </w:trPr>
        <w:tc>
          <w:tcPr>
            <w:tcW w:w="83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r>
      <w:tr>
        <w:trPr>
          <w:trHeight w:val="21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27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8"/>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22</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103</w:t>
            </w:r>
          </w:p>
        </w:tc>
      </w:tr>
      <w:tr>
        <w:trPr>
          <w:trHeight w:val="22"/>
        </w:trPr>
        <w:tc>
          <w:tcPr>
            <w:tcW w:w="8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 as of March 31, 2026 and December 31, 2025</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809</w:t>
            </w:r>
          </w:p>
        </w:tc>
        <w:tc>
          <w:tcPr>
            <w:tcW w:w="0" w:type="dxa"/>
            <w:vAlign w:val="bottom"/>
          </w:tcPr>
          <w:p>
            <w:pPr>
              <w:spacing w:after="0"/>
              <w:rPr>
                <w:sz w:val="1"/>
                <w:szCs w:val="1"/>
                <w:color w:val="auto"/>
              </w:rPr>
            </w:pPr>
          </w:p>
        </w:tc>
      </w:tr>
      <w:tr>
        <w:trPr>
          <w:trHeight w:val="272"/>
        </w:trPr>
        <w:tc>
          <w:tcPr>
            <w:tcW w:w="7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Timber and timberlands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in and advances to affiliates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2,627</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7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291</w:t>
            </w:r>
          </w:p>
        </w:tc>
        <w:tc>
          <w:tcPr>
            <w:tcW w:w="0" w:type="dxa"/>
            <w:vAlign w:val="bottom"/>
          </w:tcPr>
          <w:p>
            <w:pPr>
              <w:spacing w:after="0"/>
              <w:rPr>
                <w:sz w:val="1"/>
                <w:szCs w:val="1"/>
                <w:color w:val="auto"/>
              </w:rPr>
            </w:pPr>
          </w:p>
        </w:tc>
      </w:tr>
      <w:tr>
        <w:trPr>
          <w:trHeight w:val="272"/>
        </w:trPr>
        <w:tc>
          <w:tcPr>
            <w:tcW w:w="7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Contingency reserves, excluding current portion</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896</w:t>
            </w:r>
          </w:p>
        </w:tc>
        <w:tc>
          <w:tcPr>
            <w:tcW w:w="0" w:type="dxa"/>
            <w:vAlign w:val="bottom"/>
          </w:tcPr>
          <w:p>
            <w:pPr>
              <w:spacing w:after="0"/>
              <w:rPr>
                <w:sz w:val="1"/>
                <w:szCs w:val="1"/>
                <w:color w:val="auto"/>
              </w:rPr>
            </w:pPr>
          </w:p>
        </w:tc>
      </w:tr>
      <w:tr>
        <w:trPr>
          <w:trHeight w:val="95"/>
        </w:trPr>
        <w:tc>
          <w:tcPr>
            <w:tcW w:w="7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$1 par value per share, 200 shares authorized; 85 shares issued and 70 shares issued and</w:t>
            </w:r>
          </w:p>
        </w:tc>
        <w:tc>
          <w:tcPr>
            <w:tcW w:w="24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29"/>
        </w:trPr>
        <w:tc>
          <w:tcPr>
            <w:tcW w:w="75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outstanding as of March 31, 2026 and December 31, 2025</w:t>
            </w:r>
          </w:p>
        </w:tc>
        <w:tc>
          <w:tcPr>
            <w:tcW w:w="2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7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15 shares at cost as of March 31, 2026 and December 31, 2025</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1,731</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2,627</w:t>
            </w:r>
          </w:p>
        </w:tc>
        <w:tc>
          <w:tcPr>
            <w:tcW w:w="0" w:type="dxa"/>
            <w:vAlign w:val="bottom"/>
          </w:tcPr>
          <w:p>
            <w:pPr>
              <w:spacing w:after="0"/>
              <w:rPr>
                <w:sz w:val="1"/>
                <w:szCs w:val="1"/>
                <w:color w:val="auto"/>
              </w:rPr>
            </w:pPr>
          </w:p>
        </w:tc>
      </w:tr>
      <w:tr>
        <w:trPr>
          <w:trHeight w:val="22"/>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49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net income:</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Deferred taxes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remeasurement and transaction (gains) losses</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adjustments, net</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assets and liabilities (net of acquisitions and divestitures):</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Receivables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Income taxes payable, net of receivables</w:t>
            </w: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provided by operating activities</w:t>
            </w:r>
          </w:p>
        </w:tc>
        <w:tc>
          <w:tcPr>
            <w:tcW w:w="1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additions</w:t>
            </w:r>
          </w:p>
        </w:tc>
        <w:tc>
          <w:tcPr>
            <w:tcW w:w="1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investing activities</w:t>
            </w: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stock</w:t>
            </w:r>
          </w:p>
        </w:tc>
        <w:tc>
          <w:tcPr>
            <w:tcW w:w="1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financing activities</w:t>
            </w:r>
          </w:p>
        </w:tc>
        <w:tc>
          <w:tcPr>
            <w:tcW w:w="1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ON CASH, CASH EQUIVALENTS, AND RESTRICTED CASH</w:t>
            </w:r>
          </w:p>
        </w:tc>
        <w:tc>
          <w:tcPr>
            <w:tcW w:w="1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paid for interest, net</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Unpaid capital expenditures</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December 31, 2025</w:t>
      </w:r>
    </w:p>
    <w:p>
      <w:pPr>
        <w:spacing w:after="0" w:line="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160" w:right="180"/>
        <w:spacing w:after="0" w:line="281" w:lineRule="auto"/>
        <w:rPr>
          <w:sz w:val="20"/>
          <w:szCs w:val="20"/>
          <w:color w:val="auto"/>
        </w:rPr>
      </w:pPr>
      <w:r>
        <w:rPr>
          <w:rFonts w:ascii="Times New Roman" w:cs="Times New Roman" w:eastAsia="Times New Roman" w:hAnsi="Times New Roman"/>
          <w:sz w:val="16"/>
          <w:szCs w:val="16"/>
          <w:color w:val="auto"/>
        </w:rPr>
        <w:t>Dividends paid ($0.30 per share) Issuance of shares under stock plans</w:t>
      </w:r>
    </w:p>
    <w:p>
      <w:pPr>
        <w:spacing w:after="0" w:line="1" w:lineRule="exact"/>
        <w:rPr>
          <w:sz w:val="20"/>
          <w:szCs w:val="20"/>
          <w:color w:val="auto"/>
        </w:rPr>
      </w:pPr>
    </w:p>
    <w:p>
      <w:pPr>
        <w:ind w:left="14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6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0" w:lineRule="exact"/>
        <w:rPr>
          <w:sz w:val="20"/>
          <w:szCs w:val="20"/>
          <w:color w:val="auto"/>
        </w:rPr>
      </w:pPr>
      <w:r>
        <w:rPr>
          <w:sz w:val="20"/>
          <w:szCs w:val="20"/>
          <w:color w:val="auto"/>
        </w:rPr>
        <w:br w:type="column"/>
      </w:r>
    </w:p>
    <w:p>
      <w:pPr>
        <w:jc w:val="center"/>
        <w:ind w:right="27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0" w:lineRule="exact"/>
        <w:rPr>
          <w:sz w:val="20"/>
          <w:szCs w:val="20"/>
          <w:color w:val="auto"/>
        </w:rPr>
      </w:pPr>
    </w:p>
    <w:p>
      <w:pPr>
        <w:jc w:val="center"/>
        <w:ind w:right="2740"/>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6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40" w:type="dxa"/>
            <w:vAlign w:val="bottom"/>
          </w:tcPr>
          <w:p>
            <w:pPr>
              <w:spacing w:after="0"/>
              <w:rPr>
                <w:sz w:val="4"/>
                <w:szCs w:val="4"/>
                <w:color w:val="auto"/>
              </w:rPr>
            </w:pPr>
          </w:p>
        </w:tc>
        <w:tc>
          <w:tcPr>
            <w:tcW w:w="1160" w:type="dxa"/>
            <w:vAlign w:val="bottom"/>
            <w:vMerge w:val="restart"/>
          </w:tcPr>
          <w:p>
            <w:pPr>
              <w:jc w:val="center"/>
              <w:ind w:right="80"/>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140" w:type="dxa"/>
            <w:vAlign w:val="bottom"/>
          </w:tcPr>
          <w:p>
            <w:pPr>
              <w:spacing w:after="0"/>
              <w:rPr>
                <w:sz w:val="11"/>
                <w:szCs w:val="11"/>
                <w:color w:val="auto"/>
              </w:rPr>
            </w:pPr>
          </w:p>
        </w:tc>
        <w:tc>
          <w:tcPr>
            <w:tcW w:w="116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83"/>
        </w:trPr>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tcBorders>
          </w:tcPr>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(98)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1,731</w:t>
            </w:r>
          </w:p>
        </w:tc>
        <w:tc>
          <w:tcPr>
            <w:tcW w:w="0" w:type="dxa"/>
            <w:vAlign w:val="bottom"/>
          </w:tcPr>
          <w:p>
            <w:pPr>
              <w:spacing w:after="0"/>
              <w:rPr>
                <w:sz w:val="1"/>
                <w:szCs w:val="1"/>
                <w:color w:val="auto"/>
              </w:rPr>
            </w:pPr>
          </w:p>
        </w:tc>
      </w:tr>
      <w:tr>
        <w:trPr>
          <w:trHeight w:val="214"/>
        </w:trPr>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cente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420" w:type="dxa"/>
            <w:vAlign w:val="bottom"/>
            <w:gridSpan w:val="2"/>
          </w:tcPr>
          <w:p>
            <w:pPr>
              <w:jc w:val="cente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78"/>
        </w:trPr>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420" w:type="dxa"/>
            <w:vAlign w:val="bottom"/>
            <w:gridSpan w:val="2"/>
          </w:tcPr>
          <w:p>
            <w:pPr>
              <w:jc w:val="cente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-1729740</wp:posOffset>
            </wp:positionH>
            <wp:positionV relativeFrom="paragraph">
              <wp:posOffset>-981710</wp:posOffset>
            </wp:positionV>
            <wp:extent cx="70980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-698500</wp:posOffset>
            </wp:positionV>
            <wp:extent cx="709803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-424180</wp:posOffset>
            </wp:positionV>
            <wp:extent cx="709803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24003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680" w:space="60"/>
            <w:col w:w="8460"/>
          </w:cols>
          <w:pgMar w:left="340" w:top="887" w:right="359" w:bottom="1440" w:gutter="0" w:footer="0" w:header="0"/>
        </w:sectPr>
      </w:pPr>
    </w:p>
    <w:p>
      <w:pPr>
        <w:ind w:left="40" w:right="220" w:firstLine="121"/>
        <w:spacing w:after="0" w:line="316" w:lineRule="auto"/>
        <w:rPr>
          <w:sz w:val="20"/>
          <w:szCs w:val="20"/>
          <w:color w:val="auto"/>
        </w:rPr>
      </w:pPr>
      <w:r>
        <w:rPr>
          <w:rFonts w:ascii="Times New Roman" w:cs="Times New Roman" w:eastAsia="Times New Roman" w:hAnsi="Times New Roman"/>
          <w:sz w:val="16"/>
          <w:szCs w:val="16"/>
          <w:color w:val="auto"/>
        </w:rPr>
        <w:t xml:space="preserve">Other comprehensive income (loss) </w:t>
      </w:r>
      <w:r>
        <w:rPr>
          <w:rFonts w:ascii="Times New Roman" w:cs="Times New Roman" w:eastAsia="Times New Roman" w:hAnsi="Times New Roman"/>
          <w:sz w:val="16"/>
          <w:szCs w:val="16"/>
          <w:b w:val="1"/>
          <w:bCs w:val="1"/>
          <w:color w:val="auto"/>
        </w:rPr>
        <w:t>Balance, March 31, 2026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2024</w:t>
      </w:r>
    </w:p>
    <w:p>
      <w:pPr>
        <w:spacing w:after="0" w:line="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140" w:right="180"/>
        <w:spacing w:after="0" w:line="281" w:lineRule="auto"/>
        <w:rPr>
          <w:sz w:val="20"/>
          <w:szCs w:val="20"/>
          <w:color w:val="auto"/>
        </w:rPr>
      </w:pPr>
      <w:r>
        <w:rPr>
          <w:rFonts w:ascii="Times New Roman" w:cs="Times New Roman" w:eastAsia="Times New Roman" w:hAnsi="Times New Roman"/>
          <w:sz w:val="16"/>
          <w:szCs w:val="16"/>
          <w:color w:val="auto"/>
        </w:rPr>
        <w:t>Dividends paid ($0.28 per share) Issuance of shares under stock plans</w:t>
      </w:r>
    </w:p>
    <w:p>
      <w:pPr>
        <w:spacing w:after="0" w:line="1" w:lineRule="exact"/>
        <w:rPr>
          <w:sz w:val="20"/>
          <w:szCs w:val="20"/>
          <w:color w:val="auto"/>
        </w:rPr>
      </w:pPr>
    </w:p>
    <w:p>
      <w:pPr>
        <w:ind w:left="14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Purchase of stock</w:t>
      </w:r>
    </w:p>
    <w:p>
      <w:pPr>
        <w:spacing w:after="0" w:line="32" w:lineRule="exact"/>
        <w:rPr>
          <w:sz w:val="20"/>
          <w:szCs w:val="20"/>
          <w:color w:val="auto"/>
        </w:rPr>
      </w:pPr>
    </w:p>
    <w:p>
      <w:pPr>
        <w:ind w:left="14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1"/>
        </w:trPr>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1,730</w:t>
            </w:r>
          </w:p>
        </w:tc>
        <w:tc>
          <w:tcPr>
            <w:tcW w:w="0" w:type="dxa"/>
            <w:vAlign w:val="bottom"/>
          </w:tcPr>
          <w:p>
            <w:pPr>
              <w:spacing w:after="0"/>
              <w:rPr>
                <w:sz w:val="1"/>
                <w:szCs w:val="1"/>
                <w:color w:val="auto"/>
              </w:rPr>
            </w:pPr>
          </w:p>
        </w:tc>
      </w:tr>
      <w:tr>
        <w:trPr>
          <w:trHeight w:val="400"/>
        </w:trPr>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24"/>
                <w:szCs w:val="24"/>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3"/>
            <w:vMerge w:val="restart"/>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restart"/>
          </w:tcPr>
          <w:p>
            <w:pPr>
              <w:jc w:val="center"/>
              <w:ind w:right="59"/>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83"/>
        </w:trPr>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86</w:t>
            </w:r>
          </w:p>
        </w:tc>
        <w:tc>
          <w:tcPr>
            <w:tcW w:w="100" w:type="dxa"/>
            <w:vAlign w:val="bottom"/>
          </w:tcPr>
          <w:p>
            <w:pPr>
              <w:spacing w:after="0"/>
              <w:rPr>
                <w:sz w:val="18"/>
                <w:szCs w:val="18"/>
                <w:color w:val="auto"/>
              </w:rPr>
            </w:pPr>
          </w:p>
        </w:tc>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1,671</w:t>
            </w:r>
          </w:p>
        </w:tc>
        <w:tc>
          <w:tcPr>
            <w:tcW w:w="0" w:type="dxa"/>
            <w:vAlign w:val="bottom"/>
          </w:tcPr>
          <w:p>
            <w:pPr>
              <w:spacing w:after="0"/>
              <w:rPr>
                <w:sz w:val="1"/>
                <w:szCs w:val="1"/>
                <w:color w:val="auto"/>
              </w:rPr>
            </w:pPr>
          </w:p>
        </w:tc>
      </w:tr>
      <w:tr>
        <w:trPr>
          <w:trHeight w:val="214"/>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left="87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left="87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left="87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left="87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97"/>
        </w:trPr>
        <w:tc>
          <w:tcPr>
            <w:tcW w:w="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24"/>
                <w:szCs w:val="24"/>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left="87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left="87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-1729740</wp:posOffset>
            </wp:positionH>
            <wp:positionV relativeFrom="paragraph">
              <wp:posOffset>-1890395</wp:posOffset>
            </wp:positionV>
            <wp:extent cx="70980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-1118870</wp:posOffset>
            </wp:positionV>
            <wp:extent cx="711517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-835660</wp:posOffset>
            </wp:positionV>
            <wp:extent cx="71151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-561340</wp:posOffset>
            </wp:positionV>
            <wp:extent cx="7115175"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-184150</wp:posOffset>
            </wp:positionV>
            <wp:extent cx="7115175"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2680" w:space="60"/>
            <w:col w:w="8460"/>
          </w:cols>
          <w:pgMar w:left="340" w:top="887" w:right="35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1"/>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2025</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1,625</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1,692</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type w:val="continuous"/>
        </w:sectPr>
      </w:pPr>
    </w:p>
    <w:bookmarkStart w:id="9" w:name="page10"/>
    <w:bookmarkEnd w:id="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The Company operates more than 20 manufacturing facilities across North and South America and operates an additional facility through a joint venture. References to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LP,”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Company,”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refer to Louisiana-Pacific Corporation and its consolidated subsidiaries as a whole.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Note 11. Selected Segment Data” below for further information regarding our products and segments.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here have been prepared in accordance with accounting principles generally accepted in the United States of America (U.S. GAAP) for interim financial reporting. As such, they do not include all the information and footnotes required by U.S. GAAP for complete consolidated financial statements. Management believes that all necessary adjustments for a fair presentation have been included and are of a normal and recurring nature. These Condensed Consolidated Financial Statements and the accompanying Notes should be reviewed in conjunction with our annual report on Form 10-K for the fiscal year ended December 31, 2025, filed with the SEC on February 17, 2026 (2025 Annual Report on Form 10-K). The results of operations for interim periods are not necessarily indicative of the results that may be expected for the full fiscal year.</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LP and our consolidated subsidiaries. All intercompany transactions, profits, and balances have been eliminated.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years to conform to the current year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disaggregated into major product lines. We believe disaggregation into these categories provides insight into how the nature, amount, timing, and uncertainty of revenue and cash flows are affected by economic factors.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reportable segment revenues, disaggregated by revenue source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Borders>
              <w:bottom w:val="single" w:sz="8" w:color="auto"/>
            </w:tcBorders>
          </w:tcPr>
          <w:p>
            <w:pPr>
              <w:spacing w:after="0"/>
              <w:rPr>
                <w:sz w:val="18"/>
                <w:szCs w:val="18"/>
                <w:color w:val="auto"/>
              </w:rPr>
            </w:pPr>
          </w:p>
        </w:tc>
      </w:tr>
      <w:tr>
        <w:trPr>
          <w:trHeight w:val="211"/>
        </w:trPr>
        <w:tc>
          <w:tcPr>
            <w:tcW w:w="80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r>
      <w:tr>
        <w:trPr>
          <w:trHeight w:val="211"/>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Siding</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3"/>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attributable to Siding</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402</w:t>
            </w:r>
          </w:p>
        </w:tc>
      </w:tr>
      <w:tr>
        <w:trPr>
          <w:trHeight w:val="213"/>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OSB - Commodity</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3"/>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attributable to OSB</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w:t>
            </w:r>
          </w:p>
        </w:tc>
      </w:tr>
      <w:tr>
        <w:trPr>
          <w:trHeight w:val="213"/>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37"/>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Sales</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when obligations under the terms of a contract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a reduction in net sales at the time the program is initiated and/or the revenue is recognized. The costs include, but are not limited to, volume allowances and rebates, promotional allowances, and cooperative advertising programs. These costs are recorded at the later of the time of sale or the implementation of the program based on management’s best estimates. Estimates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 Management adjusts accruals when circumstances indicate (typically as a result of a change in volume expectations).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point, we invoice the retailer and recognize revenue for these consignment transactions. No right of return is offered for products shipped to the retailers’ stores from the distribution centers.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is based 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(SSARs), restricted stock units, and performance stock units) be excluded from the calculation of diluted earnings per share for the periods in which losses are reported because the effect is anti-dilutive.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(dollar and share amounts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Dilutive effect of employee stock plans</w:t>
            </w:r>
          </w:p>
        </w:tc>
        <w:tc>
          <w:tcPr>
            <w:tcW w:w="10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for diluted earnings per share</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of common stock:</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20" w:type="dxa"/>
            <w:vAlign w:val="bottom"/>
            <w:tcBorders>
              <w:bottom w:val="single" w:sz="8" w:color="CCEEFF"/>
            </w:tcBorders>
            <w:vMerge w:val="continue"/>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07"/>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SUPPLEMENTAL BALANCE SHEET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receivables are primarily generated by sales of our products to our wholesale and retail customers. Receivables consisted of the following (dollar amounts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660" w:type="dxa"/>
            <w:vAlign w:val="bottom"/>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1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6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Receivables</w:t>
            </w:r>
          </w:p>
        </w:tc>
        <w:tc>
          <w:tcPr>
            <w:tcW w:w="1660" w:type="dxa"/>
            <w:vAlign w:val="bottom"/>
            <w:tcBorders>
              <w:bottom w:val="single" w:sz="8" w:color="auto"/>
            </w:tcBorders>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720"/>
        <w:spacing w:after="0" w:line="375" w:lineRule="auto"/>
        <w:rPr>
          <w:sz w:val="20"/>
          <w:szCs w:val="20"/>
          <w:color w:val="auto"/>
        </w:rPr>
      </w:pPr>
      <w:r>
        <w:rPr>
          <w:rFonts w:ascii="Times New Roman" w:cs="Times New Roman" w:eastAsia="Times New Roman" w:hAnsi="Times New Roman"/>
          <w:sz w:val="18"/>
          <w:szCs w:val="18"/>
          <w:color w:val="auto"/>
        </w:rPr>
        <w:t xml:space="preserve">Other receivables as of March 31, 2026, and December 31, 2025, primarily consisted of sales tax receivables and other miscellaneous receivables. </w:t>
      </w:r>
      <w:r>
        <w:rPr>
          <w:rFonts w:ascii="Times New Roman" w:cs="Times New Roman" w:eastAsia="Times New Roman" w:hAnsi="Times New Roman"/>
          <w:sz w:val="18"/>
          <w:szCs w:val="18"/>
          <w:b w:val="1"/>
          <w:bCs w:val="1"/>
          <w:color w:val="auto"/>
        </w:rPr>
        <w:t>Inventories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Inventory cost includes materials, labor, and operating overhead. The first-in, first-out or average cost methods are used to value our inventories. Inventories include a lower of cost or market adjustment of $18 million and $23 million as of March 31, 2026, and December 31, 2025, respectively. Inventory consisted of the following (dollar amounts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Logs</w:t>
            </w:r>
          </w:p>
        </w:tc>
        <w:tc>
          <w:tcPr>
            <w:tcW w:w="1660" w:type="dxa"/>
            <w:vAlign w:val="bottom"/>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raw materials</w:t>
            </w:r>
          </w:p>
        </w:tc>
        <w:tc>
          <w:tcPr>
            <w:tcW w:w="1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Semi-finished inventories</w:t>
            </w:r>
          </w:p>
        </w:tc>
        <w:tc>
          <w:tcPr>
            <w:tcW w:w="16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35"/>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1660" w:type="dxa"/>
            <w:vAlign w:val="bottom"/>
            <w:tcBorders>
              <w:bottom w:val="single" w:sz="8" w:color="auto"/>
            </w:tcBorders>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including capitalized interest, are recorded at cost and consisted of the following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Land improvements, and logging roads, net of road amortization</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12"/>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w:t>
            </w:r>
          </w:p>
        </w:tc>
      </w:tr>
      <w:tr>
        <w:trPr>
          <w:trHeight w:val="237"/>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goodwill and other intangible assets for the three months ended March 31, 2026, are provided in the following table (dollar amounts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13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Developed Technology</w:t>
            </w:r>
          </w:p>
        </w:tc>
        <w:tc>
          <w:tcPr>
            <w:tcW w:w="120" w:type="dxa"/>
            <w:vAlign w:val="bottom"/>
          </w:tcPr>
          <w:p>
            <w:pPr>
              <w:spacing w:after="0"/>
              <w:rPr>
                <w:sz w:val="17"/>
                <w:szCs w:val="17"/>
                <w:color w:val="auto"/>
              </w:rPr>
            </w:pPr>
          </w:p>
        </w:tc>
        <w:tc>
          <w:tcPr>
            <w:tcW w:w="168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Total Goodwill and</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vMerge w:val="restart"/>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Intangibles</w:t>
            </w:r>
          </w:p>
        </w:tc>
        <w:tc>
          <w:tcPr>
            <w:tcW w:w="0" w:type="dxa"/>
            <w:vAlign w:val="bottom"/>
          </w:tcPr>
          <w:p>
            <w:pPr>
              <w:spacing w:after="0"/>
              <w:rPr>
                <w:sz w:val="1"/>
                <w:szCs w:val="1"/>
                <w:color w:val="auto"/>
              </w:rPr>
            </w:pPr>
          </w:p>
        </w:tc>
      </w:tr>
      <w:tr>
        <w:trPr>
          <w:trHeight w:val="92"/>
        </w:trPr>
        <w:tc>
          <w:tcPr>
            <w:tcW w:w="5640" w:type="dxa"/>
            <w:vAlign w:val="bottom"/>
            <w:tcBorders>
              <w:bottom w:val="single" w:sz="8" w:color="CCEEFF"/>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December 31, 2025</w:t>
            </w: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3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96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5"/>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March 31, 2026</w:t>
            </w:r>
          </w:p>
        </w:tc>
        <w:tc>
          <w:tcPr>
            <w:tcW w:w="1380" w:type="dxa"/>
            <w:vAlign w:val="bottom"/>
            <w:tcBorders>
              <w:top w:val="single" w:sz="8" w:color="auto"/>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w w:val="99"/>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b w:val="1"/>
                <w:bCs w:val="1"/>
                <w:color w:val="auto"/>
              </w:rPr>
              <w:t>21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80" w:hanging="72"/>
        <w:spacing w:after="0"/>
        <w:tabs>
          <w:tab w:leader="none" w:pos="8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Timber licenses are included in timber and timberlands on the Condensed Consolidated Balance Sheets.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Timber and Timberlands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Timber and timberlands are comprised of timber deeds and allocations of the purchase price to Canadian timber harvesting licenses. Timber deeds are transactions in which we purchase timber but not the underlying land. We had timber and timberlands of $4 million and $5 million as of March 31, 2026, and December 31, 2025,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Timber licenses have a life of 20 to 25 years and are amortized on a straight-line basis over the life of the agreement. Changes in timber licenses for the three months ended March 31, 2026, are provided in the following table (dollar amounts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Borders>
              <w:bottom w:val="single" w:sz="8" w:color="CCEEFF"/>
            </w:tcBorders>
          </w:tcPr>
          <w:p>
            <w:pPr>
              <w:spacing w:after="0"/>
              <w:rPr>
                <w:sz w:val="21"/>
                <w:szCs w:val="21"/>
                <w:color w:val="auto"/>
              </w:rPr>
            </w:pPr>
          </w:p>
        </w:tc>
        <w:tc>
          <w:tcPr>
            <w:tcW w:w="702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Timber Licenses</w:t>
            </w:r>
            <w:r>
              <w:rPr>
                <w:rFonts w:ascii="Times New Roman" w:cs="Times New Roman" w:eastAsia="Times New Roman" w:hAnsi="Times New Roman"/>
                <w:sz w:val="21"/>
                <w:szCs w:val="21"/>
                <w:b w:val="1"/>
                <w:bCs w:val="1"/>
                <w:color w:val="auto"/>
                <w:w w:val="99"/>
                <w:vertAlign w:val="superscript"/>
              </w:rPr>
              <w:t>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balance December 31, 2025</w:t>
            </w:r>
          </w:p>
        </w:tc>
        <w:tc>
          <w:tcPr>
            <w:tcW w:w="1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w:t>
            </w:r>
          </w:p>
        </w:tc>
        <w:tc>
          <w:tcPr>
            <w:tcW w:w="1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16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Ending Balance March 31, 2026</w:t>
            </w:r>
          </w:p>
        </w:tc>
        <w:tc>
          <w:tcPr>
            <w:tcW w:w="16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Timber licenses are included in timber and timberlands on the Condensed Consolidated Balance Sheets.</w:t>
            </w:r>
          </w:p>
        </w:tc>
        <w:tc>
          <w:tcPr>
            <w:tcW w:w="1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70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and accrued liabilities were as follows (dollars amounts in millions):</w:t>
            </w: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payable</w:t>
            </w:r>
          </w:p>
        </w:tc>
        <w:tc>
          <w:tcPr>
            <w:tcW w:w="1640" w:type="dxa"/>
            <w:vAlign w:val="bottom"/>
            <w:tcBorders>
              <w:top w:val="single" w:sz="8" w:color="auto"/>
            </w:tcBorders>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wages payable</w:t>
            </w:r>
          </w:p>
        </w:tc>
        <w:tc>
          <w:tcPr>
            <w:tcW w:w="1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customer incentives</w:t>
            </w:r>
          </w:p>
        </w:tc>
        <w:tc>
          <w:tcPr>
            <w:tcW w:w="16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6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accounts payable and accrued liabilities</w:t>
            </w:r>
          </w:p>
        </w:tc>
        <w:tc>
          <w:tcPr>
            <w:tcW w:w="1640" w:type="dxa"/>
            <w:vAlign w:val="bottom"/>
            <w:tcBorders>
              <w:bottom w:val="single" w:sz="8" w:color="auto"/>
            </w:tcBorders>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accrued liabilities as of March 31, 2026, and December 31, 2025, primarily consisted of accrued interest, the short-term portion of workers' compensation liabilities, the current portion of product warranties, and other items. Additionally, trade accounts payable included $17 million and $33 million related to capital expenditures that had not yet been paid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Post-retirement obligations</w:t>
            </w:r>
          </w:p>
        </w:tc>
        <w:tc>
          <w:tcPr>
            <w:tcW w:w="1680" w:type="dxa"/>
            <w:vAlign w:val="bottom"/>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16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Warranty reserves</w:t>
            </w:r>
          </w:p>
        </w:tc>
        <w:tc>
          <w:tcPr>
            <w:tcW w:w="1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8"/>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other long-term liabilities</w:t>
            </w:r>
          </w:p>
        </w:tc>
        <w:tc>
          <w:tcPr>
            <w:tcW w:w="1680" w:type="dxa"/>
            <w:vAlign w:val="bottom"/>
            <w:tcBorders>
              <w:bottom w:val="single" w:sz="8" w:color="auto"/>
            </w:tcBorders>
          </w:tcPr>
          <w:p>
            <w:pPr>
              <w:jc w:val="right"/>
              <w:ind w:right="14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r>
      <w:tr>
        <w:trPr>
          <w:trHeight w:val="22"/>
        </w:trPr>
        <w:tc>
          <w:tcPr>
            <w:tcW w:w="70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long-term liabilities as of March 31, 2026, and December 31, 2025, consisted primarily of executive deferred compensation and the long-term portion of workers’ compensation liabilities. See “Note 10. Product Warranties” below for further information regarding our product warranty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three levels of inputs that may be used to measure fair value:</w:t>
      </w:r>
    </w:p>
    <w:p>
      <w:pPr>
        <w:spacing w:after="0" w:line="11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that are accessible at the measurement date for identical, unrestricted assets or liabilities.</w:t>
      </w:r>
    </w:p>
    <w:p>
      <w:pPr>
        <w:spacing w:after="0" w:line="117" w:lineRule="exact"/>
        <w:rPr>
          <w:sz w:val="20"/>
          <w:szCs w:val="20"/>
          <w:color w:val="auto"/>
        </w:rPr>
      </w:pPr>
    </w:p>
    <w:p>
      <w:pPr>
        <w:jc w:val="both"/>
        <w:ind w:left="780" w:hanging="971"/>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Level 2</w:t>
        <w:tab/>
        <w:t>Quoted prices for similar assets or liabilities in active markets; quoted prices for identical or similar assets or liabilities in inactive markets; or valuations based on models where the significant inputs are observable or can be corroborated by observable market data.</w:t>
      </w:r>
    </w:p>
    <w:p>
      <w:pPr>
        <w:spacing w:after="0" w:line="54" w:lineRule="exact"/>
        <w:rPr>
          <w:sz w:val="20"/>
          <w:szCs w:val="20"/>
          <w:color w:val="auto"/>
        </w:rPr>
      </w:pPr>
    </w:p>
    <w:p>
      <w:pPr>
        <w:jc w:val="both"/>
        <w:ind w:left="760" w:hanging="971"/>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Level 3</w:t>
        <w:tab/>
        <w:t>Valuations based on models where significant inputs are not observable. Unobservable inputs are used when little or no market data is available and reflect the Company’s own assumptions about the assumptions market participants would use.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short-term receivables, trade payables, debt instruments, and trading securities. Carrying amounts reported on the balance sheet for cash and cash equivalents, receivables, and accounts payable approximate fair value due to the short-term maturity of these instruments.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carrying value of the Company's 3.625% Senior Notes due in 2029 (2029 Senior Notes) was $348 million as of March 31, 2026 and December 31, 2025. Based on market quotations, the fair value of the 2029 Senior Notes was estimated to be $336 million and $341 million as of March 31, 2026 and December 31, 2025, respectively. The 2029 Senior Notes and other long-term debt are categorized as Level 1 in the U.S. GAAP fair value hierarchy. Fair values are based on trading activity among the Company’s lenders and the average bid and ask price is determined using published rates.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2025, LP entered into that certain First Amendment to Second Amended and Restated Credit Agreement (the First Amendment) with American AgCredit, PCA, as administrative agent, CoBank, ACB, as letter of credit issuer, and the lenders and voting participants party thereto, which amends that certain Second Amended and Restated Credit Agreement (the Credit Agreement) that was entered into in November 2022. The First Amendment amended the Credit Agreement to (1) increase the aggregate principal amount for the credit facility (the Amended Credit Facility) from $550 million to $750 million,</w:t>
      </w:r>
    </w:p>
    <w:p>
      <w:pPr>
        <w:spacing w:after="0" w:line="3" w:lineRule="exact"/>
        <w:rPr>
          <w:sz w:val="20"/>
          <w:szCs w:val="20"/>
          <w:color w:val="auto"/>
        </w:rPr>
      </w:pPr>
    </w:p>
    <w:p>
      <w:pPr>
        <w:ind w:firstLine="8"/>
        <w:spacing w:after="0" w:line="260" w:lineRule="auto"/>
        <w:tabs>
          <w:tab w:leader="none" w:pos="2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sub-limit for letters of credit from $60 million to $75 million, (3) change the interest rate for revolving borrowing, (4) change the capitalization ratio limit, and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ind w:right="640"/>
        <w:spacing w:after="0" w:line="375" w:lineRule="auto"/>
        <w:rPr>
          <w:sz w:val="20"/>
          <w:szCs w:val="20"/>
          <w:color w:val="auto"/>
        </w:rPr>
      </w:pPr>
      <w:r>
        <w:rPr>
          <w:rFonts w:ascii="Times New Roman" w:cs="Times New Roman" w:eastAsia="Times New Roman" w:hAnsi="Times New Roman"/>
          <w:sz w:val="18"/>
          <w:szCs w:val="18"/>
          <w:color w:val="auto"/>
        </w:rPr>
        <w:t xml:space="preserve">extend the maturity date to March 26, 2032. As of March 31, 2026, there were no outstanding borrowings pursuant to the Amended Credit Facility. </w:t>
      </w:r>
      <w:r>
        <w:rPr>
          <w:rFonts w:ascii="Times New Roman" w:cs="Times New Roman" w:eastAsia="Times New Roman" w:hAnsi="Times New Roman"/>
          <w:sz w:val="18"/>
          <w:szCs w:val="18"/>
          <w:b w:val="1"/>
          <w:bCs w:val="1"/>
          <w:color w:val="auto"/>
        </w:rPr>
        <w:t>NOTE 6. INCOME TAXES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interim periods, income tax expense is recognized by applying the estimated annual effective tax rate to year-to-date results, unless doing so does not yield a reliable estimate. Each quarter, the income tax accrual is updated based on the latest estimate, and any difference from the previously accrued year-to-date balance is recorded in the current quarter. Changes in profitability estimates across jurisdictions may affect quarterly effective tax rates.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three months ended March 31, 2026, and 2025, reflected an estimated annual effective tax rate of 24% excluding discrete items discussed below. The total tax provision for the three months ended March 31, 2026, was $9 million, compared to $26 million for the corresponding period in 2025. The total effective tax rate for the three months ended March 31, 2026, was 25%, compared to 22% for the corresponding period in 2025. The year-over-year increase in the total effective tax rate resulted from discrete tax benefits in the prior year not present in the current year.</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discrete items were insignificant. During the three months ended March 31, 2025, we recognized a $3 million net discrete tax benefit primarily related to inflationary and foreign currency exchange-related effects and stock-based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OTHER OPERATING AND NON-OPERATING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credits and charges,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credits and charges, net,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60" w:type="dxa"/>
            <w:vAlign w:val="bottom"/>
            <w:tcBorders>
              <w:bottom w:val="single" w:sz="8" w:color="auto"/>
            </w:tcBorders>
          </w:tcPr>
          <w:p>
            <w:pPr>
              <w:spacing w:after="0"/>
              <w:rPr>
                <w:sz w:val="18"/>
                <w:szCs w:val="18"/>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Reorganization charges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Product-line discontinuance charges</w:t>
            </w: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asset disposal</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Other operating credits and charges, net</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Non-operating income (expense)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60" w:type="dxa"/>
            <w:vAlign w:val="bottom"/>
            <w:tcBorders>
              <w:bottom w:val="single" w:sz="8" w:color="auto"/>
            </w:tcBorders>
          </w:tcPr>
          <w:p>
            <w:pPr>
              <w:spacing w:after="0"/>
              <w:rPr>
                <w:sz w:val="18"/>
                <w:szCs w:val="18"/>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8"/>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Other non-operating income (expense)</w:t>
            </w: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r>
      <w:tr>
        <w:trPr>
          <w:trHeight w:val="22"/>
        </w:trPr>
        <w:tc>
          <w:tcPr>
            <w:tcW w:w="8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IMPAIRMENT OF LONG-LIVED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values of our long-lived assets are reviewed for potential impairments, and adequate support is believed by management to exist for each asset’s carrying value based on anticipated cash flows derived from estimates of future demand, pricing, and production costs, assuming certain levels of planned capital expenditures. However, if demand and pricing for our products fall to levels significantly below cycle-average demand and pricing, should we decide to invest capital in alternative projects, or should changes occur related to our wood supply for our mills, it is possible that future impairment charges will be required.</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Potential asset dispositions are also periodically reviewed, taking into account current and anticipated economic and industry conditions, the strategic plan, and other relevant factors. A decision to dispose of specific assets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require management to make assumptions regarding the transaction structure of the disposition and to estimate the net sales proceeds, which may be less than previous estimates of undiscounted future net cash flows. As a result, impairment charges may be necessary in connection with such dispositions.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was recognized during the three months ended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 for various contingent liabilities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reserves</w:t>
            </w:r>
          </w:p>
        </w:tc>
        <w:tc>
          <w:tcPr>
            <w:tcW w:w="1780" w:type="dxa"/>
            <w:vAlign w:val="bottom"/>
            <w:tcBorders>
              <w:bottom w:val="single" w:sz="8" w:color="auto"/>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27</w:t>
            </w:r>
          </w:p>
        </w:tc>
      </w:tr>
      <w:tr>
        <w:trPr>
          <w:trHeight w:val="208"/>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contingencies</w:t>
            </w:r>
          </w:p>
        </w:tc>
        <w:tc>
          <w:tcPr>
            <w:tcW w:w="1780" w:type="dxa"/>
            <w:vAlign w:val="bottom"/>
          </w:tcPr>
          <w:p>
            <w:pPr>
              <w:jc w:val="right"/>
              <w:ind w:right="15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00" w:type="dxa"/>
            <w:vAlign w:val="bottom"/>
          </w:tcPr>
          <w:p>
            <w:pPr>
              <w:ind w:left="1680"/>
              <w:spacing w:after="0"/>
              <w:rPr>
                <w:sz w:val="20"/>
                <w:szCs w:val="20"/>
                <w:color w:val="auto"/>
              </w:rPr>
            </w:pPr>
            <w:r>
              <w:rPr>
                <w:rFonts w:ascii="Times New Roman" w:cs="Times New Roman" w:eastAsia="Times New Roman" w:hAnsi="Times New Roman"/>
                <w:sz w:val="16"/>
                <w:szCs w:val="16"/>
                <w:b w:val="1"/>
                <w:bCs w:val="1"/>
                <w:color w:val="auto"/>
              </w:rPr>
              <w:t>27</w:t>
            </w:r>
          </w:p>
        </w:tc>
      </w:tr>
      <w:tr>
        <w:trPr>
          <w:trHeight w:val="218"/>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(included in accounts payable and accrued liabilities)</w:t>
            </w:r>
          </w:p>
        </w:tc>
        <w:tc>
          <w:tcPr>
            <w:tcW w:w="17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6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portion</w:t>
            </w:r>
          </w:p>
        </w:tc>
        <w:tc>
          <w:tcPr>
            <w:tcW w:w="1780" w:type="dxa"/>
            <w:vAlign w:val="bottom"/>
            <w:tcBorders>
              <w:bottom w:val="single" w:sz="8" w:color="auto"/>
            </w:tcBorders>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6"/>
                <w:szCs w:val="16"/>
                <w:color w:val="auto"/>
              </w:rPr>
              <w:t>26</w:t>
            </w:r>
          </w:p>
        </w:tc>
      </w:tr>
      <w:tr>
        <w:trPr>
          <w:trHeight w:val="23"/>
        </w:trPr>
        <w:tc>
          <w:tcPr>
            <w:tcW w:w="68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Estimates of loss contingencies are based on various assumptions and judgments. Due to the numerous uncertainties and variables associated with these assumptions and judgments, both the precision and reliability of the resulting estimates are subject to substantial uncertainty. Estimated exposure to contingencies is regularly monitored, and as additional information becomes available, estimates may change significantly. Although no estimate of the range of any such change can be made at this time, the amount ultimately paid in connection with these matters could materially exceed, in either the near term or the longer term, the amounts accrued to date. Estimates of loss contingencies do not reflect potential future recoveries from insurance carriers, except to the extent that recovery is deemed probable based on an insurer’s agreement to payment terms.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reserve is maintained for undiscounted estimated environmental loss contingencies. This reserve is primarily maintained for estimated future costs of remediation of hazardous or toxic substances at numerous sites currently or previously owned by the Company. Estimates of environmental loss contingencies are based on various assumptions and judgments, the specific nature of which varies considering the particular facts and circumstances surrounding each environmental loss contingency. These estimates typically reflect management's assumptions and judgments as to the probable nature, magnitude, and timing of the required investigation, remediation, and/or monitoring activities, as well as the probable costs associated with those activities. In some cases, estimates also consider the obligation, willingness, or ability of third parties to bear a proportionate or allocated share of the costs.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numerous uncertainties and variables associated with these assumptions and judgments, and the potential effects of changes in governmental regulation and environmental technologies, both the precision and reliability of the resulting estimates of the related contingencies are subject to substantial uncertainties. Estimated exposure to environmental loss contingencies is regularly monitored, and estimates may be revised significantly as additional information becomes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Proceedings</w:t>
      </w:r>
    </w:p>
    <w:p>
      <w:pPr>
        <w:spacing w:after="0" w:line="1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From time to time, the Company and its subsidiaries are parties to certain legal proceedings arising in the ordinary course of business. Based on the information currently available, management does not believe that the resolution of such proceedings could reasonably be expected to have a material adverse effect on the Company’s financial position, results of operations, cash flows,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PRODUCT 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Warranties are offered on the sale of most of our products, and an accrual is recorded for estimated future claims. Such accruals are based upon historical experience and management’s estimate of the level of future claims. The activity in the warranty reserves is summarized in the following table for the three months ended March 31, 2026, and 2025 (dollar amounts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warranty provision</w:t>
            </w:r>
          </w:p>
        </w:tc>
        <w:tc>
          <w:tcPr>
            <w:tcW w:w="1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reserves</w:t>
            </w:r>
          </w:p>
        </w:tc>
        <w:tc>
          <w:tcPr>
            <w:tcW w:w="1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7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portion of warranty reserves (included in accounts payable and accrued liabilities)</w:t>
            </w: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5"/>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portion of warranty reserves (included in other long-term liabilities)</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Warranty and other product-related claims continue to be monitored by management, and as of March 31, 2026, the warranty reserve balances associated with these matters are considered adequate to cover future warranty payments. However, it is possible that additional adjustments may be required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SELECTED SEGMENT DATA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defines its operating segments as those operations that engage in business activities from which revenues are earned and expenses incurred, for which discrete financial information is available, and that are regularly reviewed to analyze performance and allocate resources by the chief operating decision maker ("CODM"), the Company's Chief Executive Officer. The Company conducts business through two reportable segments: Siding and OSB. Other comprises our South American operations and other products that are not individually significant.</w:t>
      </w:r>
    </w:p>
    <w:p>
      <w:pPr>
        <w:spacing w:after="0" w:line="180" w:lineRule="exact"/>
        <w:rPr>
          <w:sz w:val="20"/>
          <w:szCs w:val="20"/>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Siding segment serves diverse end markets with a broad product portfolio of engineered wood siding, trim, soffit, and fascia. Our Siding is offered primed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SmartSide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Trim &amp; Siding, LP BuilderSeries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Lap Siding, and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Outdoor Building Solutions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prefinished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SmartSide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ExpertFinish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Trim &amp; Siding) to meet the needs of builders and installers in new construction and repair and remodeling applications.</w:t>
      </w:r>
    </w:p>
    <w:p>
      <w:pPr>
        <w:spacing w:after="0" w:line="1" w:lineRule="exact"/>
        <w:rPr>
          <w:rFonts w:ascii="Times New Roman" w:cs="Times New Roman" w:eastAsia="Times New Roman" w:hAnsi="Times New Roman"/>
          <w:sz w:val="17"/>
          <w:szCs w:val="17"/>
          <w:color w:val="auto"/>
        </w:rPr>
      </w:pPr>
    </w:p>
    <w:p>
      <w:pPr>
        <w:jc w:val="both"/>
        <w:ind w:left="660" w:hanging="328"/>
        <w:spacing w:after="0" w:line="22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OSB segment manufactures and distributes OSB structural panel products, including the innovative value-added OSB product portfolio known as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Structural Solutions (which includes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FlameBlock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Fire-Rated Sheathing, LP BurnGuard™ FRT OSB, LP WeatherLogic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Air &amp; Water Barrier,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Radiant Barrier Sheathing, LP Legacy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Premium Sub-Flooring,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TopNotch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350 Durable Sub-Flooring).</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of our business segments are evaluated based on segment Adjusted EBITDA, which the CODM uses to assess performance and make decisions regarding the allocation of operating and capital resources. Additionally, the budgeting and forecasting process monitors budget versus actual results, with emphasis on Adjusted EBITDA. Segment Adjusted EBITDA is defined as income attributed to LP excluding interest expense, provision for income taxes, depreciation and amortization, stock-based compensation expense, loss on impairment, business exit credits and charges, product-line discontinuance charges, other operating credits and charges, net, loss on early debt extinguishment, investment income, pension settlement charges, other non-operating income (expense), income from discontinued operations, net of income taxes, and net income attributed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Information regarding the Company’s business segments is presented below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940" w:type="dxa"/>
            <w:vAlign w:val="bottom"/>
            <w:tcBorders>
              <w:bottom w:val="single" w:sz="8" w:color="auto"/>
            </w:tcBorders>
          </w:tcPr>
          <w:p>
            <w:pPr>
              <w:spacing w:after="0"/>
              <w:rPr>
                <w:sz w:val="18"/>
                <w:szCs w:val="18"/>
                <w:color w:val="auto"/>
              </w:rPr>
            </w:pPr>
          </w:p>
        </w:tc>
      </w:tr>
      <w:tr>
        <w:trPr>
          <w:trHeight w:val="211"/>
        </w:trPr>
        <w:tc>
          <w:tcPr>
            <w:tcW w:w="67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OSB</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1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revenue</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672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Other revenues</w:t>
            </w:r>
            <w:r>
              <w:rPr>
                <w:rFonts w:ascii="Times New Roman" w:cs="Times New Roman" w:eastAsia="Times New Roman" w:hAnsi="Times New Roman"/>
                <w:sz w:val="21"/>
                <w:szCs w:val="21"/>
                <w:color w:val="auto"/>
                <w:vertAlign w:val="superscript"/>
              </w:rPr>
              <w:t>1</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consolidated revenues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574</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Less:</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7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2</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Adjusted EBITDA</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r>
      <w:tr>
        <w:trPr>
          <w:trHeight w:val="21"/>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50"/>
        </w:trPr>
        <w:tc>
          <w:tcPr>
            <w:tcW w:w="67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940" w:type="dxa"/>
            <w:vAlign w:val="bottom"/>
            <w:tcBorders>
              <w:bottom w:val="single" w:sz="8" w:color="auto"/>
            </w:tcBorders>
          </w:tcPr>
          <w:p>
            <w:pPr>
              <w:spacing w:after="0"/>
              <w:rPr>
                <w:sz w:val="24"/>
                <w:szCs w:val="24"/>
                <w:color w:val="auto"/>
              </w:rPr>
            </w:pPr>
          </w:p>
        </w:tc>
      </w:tr>
      <w:tr>
        <w:trPr>
          <w:trHeight w:val="211"/>
        </w:trPr>
        <w:tc>
          <w:tcPr>
            <w:tcW w:w="67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OSB</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1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revenue</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672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Other revenues</w:t>
            </w:r>
            <w:r>
              <w:rPr>
                <w:rFonts w:ascii="Times New Roman" w:cs="Times New Roman" w:eastAsia="Times New Roman" w:hAnsi="Times New Roman"/>
                <w:sz w:val="21"/>
                <w:szCs w:val="21"/>
                <w:color w:val="auto"/>
                <w:vertAlign w:val="superscript"/>
              </w:rPr>
              <w:t>1</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consolidated revenues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724</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Less:</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7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2</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Adjusted EBITDA</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revenues include sales from the Company's South American operations and other minor products and services.</w:t>
      </w:r>
    </w:p>
    <w:p>
      <w:pPr>
        <w:spacing w:after="0" w:line="30" w:lineRule="exact"/>
        <w:rPr>
          <w:rFonts w:ascii="Times New Roman" w:cs="Times New Roman" w:eastAsia="Times New Roman" w:hAnsi="Times New Roman"/>
          <w:sz w:val="23"/>
          <w:szCs w:val="23"/>
          <w:color w:val="auto"/>
          <w:vertAlign w:val="superscript"/>
        </w:rPr>
      </w:pPr>
    </w:p>
    <w:p>
      <w:pPr>
        <w:spacing w:after="0" w:line="22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Other segment items include stock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r>
      <w:tr>
        <w:trPr>
          <w:trHeight w:val="19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profit (loss)</w:t>
            </w: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Adjusted EBITDA</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12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r>
      <w:tr>
        <w:trPr>
          <w:trHeight w:val="21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79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Adjusted EBITDA</w:t>
            </w:r>
            <w:r>
              <w:rPr>
                <w:rFonts w:ascii="Times New Roman" w:cs="Times New Roman" w:eastAsia="Times New Roman" w:hAnsi="Times New Roman"/>
                <w:sz w:val="21"/>
                <w:szCs w:val="21"/>
                <w:color w:val="auto"/>
                <w:vertAlign w:val="superscript"/>
              </w:rPr>
              <w:t>1</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79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operating credits and charges, net</w:t>
            </w:r>
            <w:r>
              <w:rPr>
                <w:rFonts w:ascii="Times New Roman" w:cs="Times New Roman" w:eastAsia="Times New Roman" w:hAnsi="Times New Roman"/>
                <w:sz w:val="21"/>
                <w:szCs w:val="21"/>
                <w:color w:val="auto"/>
                <w:vertAlign w:val="superscript"/>
              </w:rPr>
              <w:t>2</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79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Product-line discontinuance charges</w:t>
            </w:r>
            <w:r>
              <w:rPr>
                <w:rFonts w:ascii="Times New Roman" w:cs="Times New Roman" w:eastAsia="Times New Roman" w:hAnsi="Times New Roman"/>
                <w:sz w:val="21"/>
                <w:szCs w:val="21"/>
                <w:color w:val="auto"/>
                <w:vertAlign w:val="superscript"/>
              </w:rPr>
              <w:t>2</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income</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79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non-operating (expense) income</w:t>
            </w:r>
            <w:r>
              <w:rPr>
                <w:rFonts w:ascii="Times New Roman" w:cs="Times New Roman" w:eastAsia="Times New Roman" w:hAnsi="Times New Roman"/>
                <w:sz w:val="21"/>
                <w:szCs w:val="21"/>
                <w:color w:val="auto"/>
                <w:vertAlign w:val="superscript"/>
              </w:rPr>
              <w:t>2</w:t>
            </w: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8"/>
        </w:trPr>
        <w:tc>
          <w:tcPr>
            <w:tcW w:w="7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r>
      <w:tr>
        <w:trPr>
          <w:trHeight w:val="22"/>
        </w:trPr>
        <w:tc>
          <w:tcPr>
            <w:tcW w:w="7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Other Adjusted EBITDA includes the Company's South American operations, unallocated corporate expenses, and other minor products and services.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See further discussion in “Note 7 - Other Operating and Non-Operating Items” of the Notes to the Condensed Consolidated Financial Statements.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identifiable assets by segment is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7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Identifiable Assets</w:t>
            </w:r>
          </w:p>
        </w:tc>
        <w:tc>
          <w:tcPr>
            <w:tcW w:w="24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Siding</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4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OSB</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13"/>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w:t>
            </w:r>
          </w:p>
        </w:tc>
      </w:tr>
      <w:tr>
        <w:trPr>
          <w:trHeight w:val="235"/>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2,581</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segment related assets include cash and cash equivalents, accounts receivable, short-term and long-term investments, corporate assets,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forward-looking statements that are based on the beliefs of our management, as well as assumptions made by and information currently available to our management. We encourage you to review the risks and uncertainties described in the sections titled “Risk Factors” and “Cautionary Statement Regarding Forward-Looking Statements” included in our 2025 Annual Report on Form 10-K and in this quarterly report on Form 10-Q. These risks and uncertainties could cause actual results to differ materially from those projected in the forward-looking statements contained in this quarterly report on Form 10-Q or implied by past results and trends. Our historical results are not necessarily indicative of the results that may be expected for any period in the future, and our interim results are not necessarily indicative of the results we expect for the full fiscal year or any other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reliability, and sustainability. Our manufacturing facilities are located in the U.S., Canada, Chile, and Brazil. To serve these markets, we operate in two reportable segments: Siding and Oriented Strand Board (OSB).</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for Building Products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Demand for our products correlates positively with new home construction, especially new single-family home construction, and repair and remodeling activity in North America, which historically has been characterized by significant cyclicality. The U.S. Census Bureau published actual U.S. housing starts data on April 29, 2026. Actual single-family housing starts were approximately 6% lower for the three months ended March 31, 2026, as compared to the same period in 2025. Actual multi-family housing starts for the three months ended March 31, 2026, were approximately 19% higher as compared to the same period in 2025. Repair and remodeling activity is difficult to reasonably measure, but the many indications suggest that repair and remodeling activity has declined modestly year-over-year.</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economic conditions in the United States and the demand for homes are uncertain due to various macroeconomic factors, including interest rates, employment levels, changing trade policy in various jurisdictions, consumer confidence, and financial markets, among other things. Additionally, we have experienced fluctuating material prices, supply disruptions, and labor challenges, which we continue to address as we work to meet the demands of builders, remodelers, and homeowners worldwide.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Demand for Siding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Siding products are specialty building materials and are subject to competition from various siding and cladding technologies, including vinyl, stucco, wood, fiber cement, brick, and others. We believe we are the largest manufacturer of engineered wood siding in North America and South America. We have consistently grown our Siding segment above the underlying market growth rates. Our Siding segment is generally less sensitive to new housing market cyclicality since a majority of its demand comes from other markets, including off-site structure producers and repair and remodel. Our growth in this market depends upon the continued displacement of vinyl, wood, fiber cement, stucco, bricks, and other alternatives, our product innovation, and our technological expertise in wood and wood composites to address the needs of our customers.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Demand for OSB</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OSB is a commodity product, and it is subject to competition from manufacturers worldwide. Product supply is influenced primarily by fluctuations in available manufacturing capacity and imports. The ratio of overall OSB demand to capacity generally drives prices. We cannot predict whether the prices of our OSB products will remain at current levels or fluctuate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1 of the Notes to the Consolidated Financial Statements included in our 2025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application of principles, methods, and assumptions used to determine our significant estimates since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 and Other Key Performance Indicators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evaluating the Company's performance on a GAAP basis, management utilizes certain non-GAAP financial measures as defined by SEC Regulation G and Regulation S-K Item 10(e). These measures exclude the impact of specific costs, expenses, gains, and losses to evaluate our overall operating performance. Management believes these non-GAAP measures provide users of the financial information with additional meaningful comparison to prior periods, as they generally exclude items that are outside of the normal course of our business or beyond management's control. It is important to note that non-GAAP financial measures do not have standardized definitions and are not defined by U.S. GAAP. In this quarterly report on Form 10-Q, Adjusted EBITDA, Adjusted Income, and Adjusted Diluted EPS (as each defined below) are non-GAAP measures that are used by management and external users of our condensed consolidated financial statements such as investors, industry analysts, and lenders.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is defined as net income excluding interest expense, provision for income taxes, depreciation and amortization, stock-based compensation expense, loss on impairment, business exit credits and charges, product-line discontinuance charges, other operating credits and charges, net, loss on early debt extinguishment, investment income, pension settlement charges, other non-operating income (expense), income from discontinued operations, net of income taxes, and net income attributed to noncontrolling interest.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Income is defined as net income, excluding loss on impairment, business exit credits and charges, product-line discontinuance charges, interest expense outside of normal operations, other operating credits and charges, net, loss on early debt extinguishment, gain (loss) on acquisition, pension settlement charges, income from discontinued operations, net of income taxes, net income attributed to noncontrolling interest, foreign currency gains and losses, and adjusting for a normalized tax rate. Adjusted Diluted EPS is calculated as Adjusted Income divided by diluted shares outstanding, which is a non-GAAP financial measure. We believe that Adjusted Diluted EPS and Adjusted Income are useful measures for evaluating our ability to generate earnings and that providing these measures should allow interested persons to more readily compare the earnings for past and future periods.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quarter of 2026, the Company updated the definition of Adjusted Income to exclude foreign currency gains and losses. These gains and losses primarily arise from the remeasurement of all monetary assets and liabilities including intercompany notes that are denominated in a different currency than the entity's functional currency. The exclusion of these items helps management compare changes in operating results between periods that might otherwise be obscured due to currency fluctuations. The Company believes this exclusion provides investors with a clearer view of underlying operating performance by removing the effects of currency fluctuations that are largely outside of the Company's control and do not reflect its core business activities. For comparability and consistency, all prior period Adjusted Income and Adjusted Diluted EPS measures have been recast to conform to the current presentation. The impact of this update for the three months ended March 31, 2025, resulted in an increase to Adjusted Income and Adjusted Diluted EPS of $4 million and $0.06, respectively.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Reconciliations of Adjusted EBITDA, Adjusted Income, and Adjusted Diluted EPS to their most directly comparable U.S. GAAP financial measures, net income and net income per share of common stock - diluted, respectively, are presented below. Adjusted EBITDA, Adjusted Income, and Adjusted Diluted EPS are not substitutes for the U.S. GAAP measures of net income and net income per share of common stock - diluted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Product-line discontinuance charges</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income</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non-operating expense (income)</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Siding</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OSB</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3"/>
        </w:trPr>
        <w:tc>
          <w:tcPr>
            <w:tcW w:w="7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to Adjusted Income (dollar amounts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880" w:type="dxa"/>
            <w:vAlign w:val="bottom"/>
            <w:tcBorders>
              <w:bottom w:val="single" w:sz="8" w:color="auto"/>
            </w:tcBorders>
            <w:gridSpan w:val="4"/>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of common stock - diluted</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0.39</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w:t>
            </w:r>
          </w:p>
        </w:tc>
        <w:tc>
          <w:tcPr>
            <w:tcW w:w="0" w:type="dxa"/>
            <w:vAlign w:val="bottom"/>
          </w:tcPr>
          <w:p>
            <w:pPr>
              <w:spacing w:after="0"/>
              <w:rPr>
                <w:sz w:val="1"/>
                <w:szCs w:val="1"/>
                <w:color w:val="auto"/>
              </w:rPr>
            </w:pPr>
          </w:p>
        </w:tc>
      </w:tr>
      <w:tr>
        <w:trPr>
          <w:trHeight w:val="162"/>
        </w:trPr>
        <w:tc>
          <w:tcPr>
            <w:tcW w:w="7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Product-line discontinuance charges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(gain) loss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Reported tax provision</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income before tax</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Normalized tax provision at 25%</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Income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center"/>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Diluted shares outstanding</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9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Diluted EPS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0.38</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center"/>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management monitors certain key performance indicators to evaluate our business performance, which include our Overall Equipment Effectiveness (OEE) and our sales volume relative to housing starts, as provided by reports from the U.S. Census Bureau.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summary data relating to: (i) housing starts within the United States, (ii) our sales volumes, and (iii) our OEE performance. We consider these items to be key performance indicators for our business because LP’s management uses these metrics to evaluate our business and trends in our industry, measure our performance, and make strategic decisions. We believe that the key performance indicators presented may provide additional perspective and insights when analyzing our core operating performance. These key performance indicators should not be considered superior to, as a substitute for, or as an alternative to, and should be considered in conjunction with, the financial measures that were prepared in accordance with U.S. GAAP. These measures may not be comparable to similarly titled performance indicators used by other companies.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performance indicators reported by other companies.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housing starts for the three months ended March 31, 2026 and 2025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8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5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5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Housing starts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Single-Family</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0"/>
        </w:trPr>
        <w:tc>
          <w:tcPr>
            <w:tcW w:w="756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3"/>
        </w:trPr>
        <w:tc>
          <w:tcPr>
            <w:tcW w:w="75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50" w:lineRule="exact"/>
        <w:rPr>
          <w:sz w:val="20"/>
          <w:szCs w:val="20"/>
          <w:color w:val="auto"/>
        </w:rPr>
      </w:pPr>
    </w:p>
    <w:p>
      <w:pPr>
        <w:ind w:left="100" w:hanging="92"/>
        <w:spacing w:after="0"/>
        <w:tabs>
          <w:tab w:leader="none" w:pos="10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Actual U.S. housing starts data, in thousands, reported by the U.S. Census Bureau as published through April 29, 2026.</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sales volumes for our products in our Siding and OSB segments, which we define as the amount of our products sold within the applicable period measured in million square feet (MMSF) on a standard 3/8" thickness basis. Evaluating sales volume by product type helps us identify and address changes in product demand, broad market factors that may affect our performance, and opportunities for future growth. It should be noted that other companies may present sales volume data differently, and therefore, as presented by us, sales volume data may not be comparable to similarly titled measures reported by other companies. We believe that sales volumes can be a useful measure for evaluating and understanding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sales volumes for the three months ended March 31, 2026 and 2025 (in MMSF):</w:t>
      </w:r>
    </w:p>
    <w:p>
      <w:pPr>
        <w:spacing w:after="0" w:line="160"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208"/>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Siding sales volume</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435</w:t>
            </w:r>
          </w:p>
        </w:tc>
      </w:tr>
      <w:tr>
        <w:trPr>
          <w:trHeight w:val="272"/>
        </w:trPr>
        <w:tc>
          <w:tcPr>
            <w:tcW w:w="80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13"/>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9"/>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206"/>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OSB sales volume</w:t>
            </w:r>
          </w:p>
        </w:tc>
        <w:tc>
          <w:tcPr>
            <w:tcW w:w="1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701</w:t>
            </w:r>
          </w:p>
        </w:tc>
        <w:tc>
          <w:tcPr>
            <w:tcW w:w="100" w:type="dxa"/>
            <w:vAlign w:val="bottom"/>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monitor operational improvements. We use a best-in-class target across all LP sites that allows us to optimize capital investments, focus maintenance and reliability improvements, and improve overall equipment efficiency. It should be noted that other companies may present OEE data differently, and therefore, as presented by us, OEE data may not be comparable to similarly titled measures reported by other companies.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OEE for the three months ended March 31, 2026 and 2025, for each of our reportable segments is listed below:</w:t>
      </w:r>
    </w:p>
    <w:p>
      <w:pPr>
        <w:spacing w:after="0" w:line="16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1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conducts business through two reportable segments: Siding and OSB. Other comprises our South American operations and other products that are not individually significant. See “Note 11. Selected Segment Data” of the Notes to the Condensed Consolidated Financial Statements included in “Item 1. Financial Statements” of this quarterly report on Form 10-Q for further information regarding our segments.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Siding</w:t>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Siding segment serves diverse end markets with a broad product portfolio of engineered wood siding, trim, soffit, and fascia. Our Siding is offered primed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 BuilderSeries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Lap Siding,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Outdoor Building Solutions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prefinished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ExpertFinish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to meet the needs of builders and installers in new construction and repair and remodeling applications.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180" w:type="dxa"/>
            <w:vAlign w:val="bottom"/>
            <w:tcBorders>
              <w:bottom w:val="single" w:sz="8" w:color="auto"/>
            </w:tcBorders>
          </w:tcPr>
          <w:p>
            <w:pPr>
              <w:spacing w:after="0"/>
              <w:rPr>
                <w:sz w:val="18"/>
                <w:szCs w:val="18"/>
                <w:color w:val="auto"/>
              </w:rPr>
            </w:pPr>
          </w:p>
        </w:tc>
      </w:tr>
      <w:tr>
        <w:trPr>
          <w:trHeight w:val="211"/>
        </w:trPr>
        <w:tc>
          <w:tcPr>
            <w:tcW w:w="65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0" w:type="dxa"/>
            <w:vAlign w:val="bottom"/>
            <w:tcBorders>
              <w:bottom w:val="single" w:sz="8" w:color="auto"/>
            </w:tcBorders>
          </w:tcPr>
          <w:p>
            <w:pPr>
              <w:spacing w:after="0"/>
              <w:rPr>
                <w:sz w:val="18"/>
                <w:szCs w:val="18"/>
                <w:color w:val="auto"/>
              </w:rPr>
            </w:pPr>
          </w:p>
        </w:tc>
      </w:tr>
      <w:tr>
        <w:trPr>
          <w:trHeight w:val="211"/>
        </w:trPr>
        <w:tc>
          <w:tcPr>
            <w:tcW w:w="65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35"/>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 changes in average net sales prices and unit shipments for the three months ended March 31, 2026, compared to the corresponding period in 2025,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3300" w:type="dxa"/>
            <w:vAlign w:val="bottom"/>
            <w:gridSpan w:val="4"/>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r>
      <w:tr>
        <w:trPr>
          <w:trHeight w:val="214"/>
        </w:trPr>
        <w:tc>
          <w:tcPr>
            <w:tcW w:w="7420" w:type="dxa"/>
            <w:vAlign w:val="bottom"/>
          </w:tcPr>
          <w:p>
            <w:pPr>
              <w:spacing w:after="0"/>
              <w:rPr>
                <w:sz w:val="18"/>
                <w:szCs w:val="18"/>
                <w:color w:val="auto"/>
              </w:rPr>
            </w:pPr>
          </w:p>
        </w:tc>
        <w:tc>
          <w:tcPr>
            <w:tcW w:w="3300" w:type="dxa"/>
            <w:vAlign w:val="bottom"/>
            <w:tcBorders>
              <w:bottom w:val="single" w:sz="8" w:color="auto"/>
            </w:tcBorders>
            <w:gridSpan w:val="4"/>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March 31, 2026 versus 2025</w:t>
            </w:r>
          </w:p>
        </w:tc>
        <w:tc>
          <w:tcPr>
            <w:tcW w:w="520" w:type="dxa"/>
            <w:vAlign w:val="bottom"/>
            <w:tcBorders>
              <w:bottom w:val="single" w:sz="8" w:color="auto"/>
            </w:tcBorders>
          </w:tcPr>
          <w:p>
            <w:pPr>
              <w:spacing w:after="0"/>
              <w:rPr>
                <w:sz w:val="18"/>
                <w:szCs w:val="18"/>
                <w:color w:val="auto"/>
              </w:rPr>
            </w:pPr>
          </w:p>
        </w:tc>
      </w:tr>
      <w:tr>
        <w:trPr>
          <w:trHeight w:val="157"/>
        </w:trPr>
        <w:tc>
          <w:tcPr>
            <w:tcW w:w="7420" w:type="dxa"/>
            <w:vAlign w:val="bottom"/>
          </w:tcPr>
          <w:p>
            <w:pPr>
              <w:spacing w:after="0"/>
              <w:rPr>
                <w:sz w:val="13"/>
                <w:szCs w:val="13"/>
                <w:color w:val="auto"/>
              </w:rPr>
            </w:pPr>
          </w:p>
        </w:tc>
        <w:tc>
          <w:tcPr>
            <w:tcW w:w="1440" w:type="dxa"/>
            <w:vAlign w:val="bottom"/>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left="43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520" w:type="dxa"/>
            <w:vAlign w:val="bottom"/>
          </w:tcPr>
          <w:p>
            <w:pPr>
              <w:spacing w:after="0"/>
              <w:rPr>
                <w:sz w:val="13"/>
                <w:szCs w:val="13"/>
                <w:color w:val="auto"/>
              </w:rPr>
            </w:pPr>
          </w:p>
        </w:tc>
      </w:tr>
      <w:tr>
        <w:trPr>
          <w:trHeight w:val="213"/>
        </w:trPr>
        <w:tc>
          <w:tcPr>
            <w:tcW w:w="74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Shipments</w:t>
            </w:r>
          </w:p>
        </w:tc>
        <w:tc>
          <w:tcPr>
            <w:tcW w:w="520" w:type="dxa"/>
            <w:vAlign w:val="bottom"/>
            <w:tcBorders>
              <w:bottom w:val="single" w:sz="8" w:color="auto"/>
            </w:tcBorders>
          </w:tcPr>
          <w:p>
            <w:pPr>
              <w:spacing w:after="0"/>
              <w:rPr>
                <w:sz w:val="18"/>
                <w:szCs w:val="18"/>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4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Siding net sales decreased year over year by $42 million reflecting higher prices offset by lower volumes. The increase in pricing was attributable to the annual price increase, favorable sales mix, and a slight reduction in rebate expense compared to the prior year.</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EBITDA for the Siding segment decreased year over year by $5 million, with pricing improvements contributing $27 million, which were more than offset by $35 million of lower volumes.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OSB</w:t>
      </w:r>
    </w:p>
    <w:p>
      <w:pPr>
        <w:spacing w:after="0" w:line="22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The OSB segment manufactures and distributes OSB structural panel products, including the innovative value-added OSB product portfolio known as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Structural Solutions (which includes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FlameBlock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Fire-Rated Sheathing, LP BurnGuard™ FRT OSB, LP WeatherLogic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Air &amp; Water Barrier,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Radiant Barrier Sheathing, LP Legacy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Premium Sub-Flooring,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TopNotch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350 Durable Sub-Flooring).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180" w:type="dxa"/>
            <w:vAlign w:val="bottom"/>
            <w:tcBorders>
              <w:bottom w:val="single" w:sz="8" w:color="auto"/>
            </w:tcBorders>
          </w:tcPr>
          <w:p>
            <w:pPr>
              <w:spacing w:after="0"/>
              <w:rPr>
                <w:sz w:val="18"/>
                <w:szCs w:val="18"/>
                <w:color w:val="auto"/>
              </w:rPr>
            </w:pPr>
          </w:p>
        </w:tc>
      </w:tr>
      <w:tr>
        <w:trPr>
          <w:trHeight w:val="211"/>
        </w:trPr>
        <w:tc>
          <w:tcPr>
            <w:tcW w:w="65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00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0" w:type="dxa"/>
            <w:vAlign w:val="bottom"/>
            <w:tcBorders>
              <w:bottom w:val="single" w:sz="8" w:color="auto"/>
            </w:tcBorders>
          </w:tcPr>
          <w:p>
            <w:pPr>
              <w:spacing w:after="0"/>
              <w:rPr>
                <w:sz w:val="18"/>
                <w:szCs w:val="18"/>
                <w:color w:val="auto"/>
              </w:rPr>
            </w:pPr>
          </w:p>
        </w:tc>
      </w:tr>
      <w:tr>
        <w:trPr>
          <w:trHeight w:val="211"/>
        </w:trPr>
        <w:tc>
          <w:tcPr>
            <w:tcW w:w="65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08"/>
        </w:trPr>
        <w:tc>
          <w:tcPr>
            <w:tcW w:w="6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267</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r>
      <w:tr>
        <w:trPr>
          <w:trHeight w:val="22"/>
        </w:trPr>
        <w:tc>
          <w:tcPr>
            <w:tcW w:w="6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 changes in average net sales prices and unit shipments for the three months ended March 31, 2026, compared to the corresponding period in 2025,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3440" w:type="dxa"/>
            <w:vAlign w:val="bottom"/>
            <w:gridSpan w:val="4"/>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r>
      <w:tr>
        <w:trPr>
          <w:trHeight w:val="214"/>
        </w:trPr>
        <w:tc>
          <w:tcPr>
            <w:tcW w:w="7280" w:type="dxa"/>
            <w:vAlign w:val="bottom"/>
          </w:tcPr>
          <w:p>
            <w:pPr>
              <w:spacing w:after="0"/>
              <w:rPr>
                <w:sz w:val="18"/>
                <w:szCs w:val="18"/>
                <w:color w:val="auto"/>
              </w:rPr>
            </w:pPr>
          </w:p>
        </w:tc>
        <w:tc>
          <w:tcPr>
            <w:tcW w:w="3440" w:type="dxa"/>
            <w:vAlign w:val="bottom"/>
            <w:tcBorders>
              <w:bottom w:val="single" w:sz="8" w:color="auto"/>
            </w:tcBorders>
            <w:gridSpan w:val="4"/>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March 31, 2026 versus 2025</w:t>
            </w:r>
          </w:p>
        </w:tc>
        <w:tc>
          <w:tcPr>
            <w:tcW w:w="520" w:type="dxa"/>
            <w:vAlign w:val="bottom"/>
            <w:tcBorders>
              <w:bottom w:val="single" w:sz="8" w:color="auto"/>
            </w:tcBorders>
          </w:tcPr>
          <w:p>
            <w:pPr>
              <w:spacing w:after="0"/>
              <w:rPr>
                <w:sz w:val="18"/>
                <w:szCs w:val="18"/>
                <w:color w:val="auto"/>
              </w:rPr>
            </w:pPr>
          </w:p>
        </w:tc>
      </w:tr>
      <w:tr>
        <w:trPr>
          <w:trHeight w:val="157"/>
        </w:trPr>
        <w:tc>
          <w:tcPr>
            <w:tcW w:w="7280" w:type="dxa"/>
            <w:vAlign w:val="bottom"/>
          </w:tcPr>
          <w:p>
            <w:pPr>
              <w:spacing w:after="0"/>
              <w:rPr>
                <w:sz w:val="13"/>
                <w:szCs w:val="13"/>
                <w:color w:val="auto"/>
              </w:rPr>
            </w:pPr>
          </w:p>
        </w:tc>
        <w:tc>
          <w:tcPr>
            <w:tcW w:w="1440" w:type="dxa"/>
            <w:vAlign w:val="bottom"/>
          </w:tcPr>
          <w:p>
            <w:pPr>
              <w:ind w:left="56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left="439"/>
              <w:spacing w:after="0" w:line="158" w:lineRule="exact"/>
              <w:rPr>
                <w:sz w:val="20"/>
                <w:szCs w:val="20"/>
                <w:color w:val="auto"/>
              </w:rPr>
            </w:pPr>
            <w:r>
              <w:rPr>
                <w:rFonts w:ascii="Times New Roman" w:cs="Times New Roman" w:eastAsia="Times New Roman" w:hAnsi="Times New Roman"/>
                <w:sz w:val="16"/>
                <w:szCs w:val="16"/>
                <w:color w:val="auto"/>
                <w:w w:val="98"/>
              </w:rPr>
              <w:t>Unit</w:t>
            </w:r>
          </w:p>
        </w:tc>
        <w:tc>
          <w:tcPr>
            <w:tcW w:w="520" w:type="dxa"/>
            <w:vAlign w:val="bottom"/>
          </w:tcPr>
          <w:p>
            <w:pPr>
              <w:spacing w:after="0"/>
              <w:rPr>
                <w:sz w:val="13"/>
                <w:szCs w:val="13"/>
                <w:color w:val="auto"/>
              </w:rPr>
            </w:pPr>
          </w:p>
        </w:tc>
      </w:tr>
      <w:tr>
        <w:trPr>
          <w:trHeight w:val="213"/>
        </w:trPr>
        <w:tc>
          <w:tcPr>
            <w:tcW w:w="72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Selling Price</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Shipments</w:t>
            </w:r>
          </w:p>
        </w:tc>
        <w:tc>
          <w:tcPr>
            <w:tcW w:w="520" w:type="dxa"/>
            <w:vAlign w:val="bottom"/>
            <w:tcBorders>
              <w:bottom w:val="single" w:sz="8" w:color="auto"/>
            </w:tcBorders>
          </w:tcPr>
          <w:p>
            <w:pPr>
              <w:spacing w:after="0"/>
              <w:rPr>
                <w:sz w:val="18"/>
                <w:szCs w:val="18"/>
                <w:color w:val="auto"/>
              </w:rPr>
            </w:pP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bl>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OSB net sales decreased year over year by $99 million primarily driven by lower OSB prices and a decline in sales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for the OSB segment for the same period decreased year over year by $66 million reflecting the impact of lower OSB prices and a decline in sales volumes.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operations include our South American business that manufactures and distributes OSB structural panels and siding products in South America and certain export markets. Our other operations also include timber and timberlands as well as other minor products, services, and closed operations, which do not qualify as discontinued operations. Additionally, other includes unallocated corporate expenses. Other net sales decreased by $8 million for the three months ended March 31, 2026, primarily due to a decline in OSB sales volumes. Adjusted EBITDA for the same period decreased year over year by $9 million, driven primarily by a decline in Other net sales.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$78 million for the three months ended March 31, 2026, compared to $75 million for the corresponding period in 2025. The year-over-year increase in selling, general, and administrative expenses was primarily driven by higher stock compensation expense.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a total tax provision of $9 million in the three months ended March 31, 2026, compared to $26 million for the corresponding period in 2025. Each quarter, the income tax accrual is updated based on the latest estimate, and any difference from the previously accrued year-to-date balance is recorded in the current quarter. For the three months ended March 31, 2026, the primary difference between the U.S. statutory rate of 21% and the total effective tax rate of 25% relates to state income tax. For the three months ended March 31, 2025, the primary differences between the U.S. statutory rate of 21% and the total effective tax rate of 22% relate to state income tax and inflationary and foreign currency exchange adjustments.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Environmental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legal and environmental matters involving us and the potential impact thereof on our financial position, results of operations, and cash flows, see Items 3, 7, and 8 in our 2025 Annual Report on Form 10-K and “Note 9. Commitments and Contingencies” of the Notes to the Condensed Consolidated Financial Statements included in “Item 1. Financial Statements”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expect to rely on our credit facilities in effect from time to time for any long-term funding not provided by operating cash flows. We may also, from time to time, issue and sell equity, debt, or hybrid securities or engage in other capital market transactions.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share repurchases may be commenced, suspended, discontinued, or resumed, and the method or methods of effecting any such repurchases may be changed, at any time, or from time to time, without prior notice.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fund our capital expenditures over at least the next 12 months through cash on hand, cash generated from operations, and available borrowing under our Amended Credit Facility,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cash used in operations was $38 million. During the same period in 2025, cash provided by operations was $64 million. The decrease in cash provided by operations was primarily related to lower net income and changes in working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cash used in investing activities was $61 million and $64 million, respectively, relating to capital expenditures.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in 2026 are expected to be approximately $390 million. We expect to fund our short-term and long-term capital expenditures in 2026 through cash on hand, cash generated from operations, and available borrowing under our Amended Credit Facility, as necessary.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cash used in financing activities was $29 million, which included $21 million of cash dividends paid and $8 million to repurchase stock from employees in connection with income tax withholding requirements associated with our employee stock-based compensation plans.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cash used in financing activities was $87 million, which included $61 million for share repurchases of LP common stock under the 2024 Share Repurchase Program (as defined below). Additionally, we paid cash dividends of $20 million and $5 million to repurchase stock from employees in connection with income tax withholding requirements associated with our employee stock-based compensation plans.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Letter of Credit Facility</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2022, LP entered into the Credit Agreement with American AgCredit, PCA, as administrative agent and sole lead arranger, CoBank, ACB, as letter of credit issuer, and certain other lender parties (the Credit Agreement), relating to its revolving credit facility. On March 26, 2025, LP entered into the First Amendment to Second Amended and Restated Credit Agreement (the First Amendment) with American AgCredit, PCA, as administrative agent, CoBank, ACB, as letter of credit issuer, and the lenders and voting participants party thereto, which amended the Credit Agreement (the Amended Credit Agreement) to (1) increase the aggregate principal amount for the credit facility from $550 million to $750 million, (2) increase the sub-limit for letters of credit from $60 million to $75 million, (3) change the interest rate for revolving borrowing, (4) change the capitalization ratio limit, and (5) extend the maturity date to March 26, 2032. As of March 31, 2026, there were no outstanding borrowings under the Amended Credit Facility.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Credit Agreement contains various restrictive covenants and customary events of default, the occurrence of which could result in the acceleration of our obligation to repay the indebtedness outstanding thereunder. The Amended Credit Agreement also contains financial covenants that, among other things, require us and our consolidated subsidiaries to have, as of the end of each quarter, a capitalization ratio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funded debt less unrestricted cash to total capitalization) of no more than 65%. As of March 31, 2026, we were in compliance with all financial covenants under the Amended Credit Agreement.</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2024, LP entered into a new letter of credit facility agreement (the LOC Facility Agreement), replacing the letter of credit facility agreement dated May 2020. The LOC Facility Agreement provides for the funding of letters of credit up to an aggregate outstanding amount of $20 million, which may be secured by certain cash collateral of LP (the Letter of Credit Facility). The LOC Facility Agreement provides for a letter of credit fee, due quarterly, ranging from 1.000% to 1.875% of the daily available amount to be drawn on each letter of credit issued under the Letter of Credit Facility. The LOC Facility Agreement contains similar affirmative, negative, and financial covenants as those set forth in the Amended Credit Agreement, including the capitalization ratio covenant. All amounts outstanding under the Letter of Credit Facility become due on April 15, 2029. As of March 31, 2026, we were in compliance with all covenants under the Letter of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Off-Balance Sheet Arrangements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had standby letters of credit of $15 million outstanding related to collateral for environmental impact on owned properties, a deposit for a forestry license, and insurance collateral, including workers’ compensation.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Impairments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values of our long-lived assets are reviewed for potential impairments, and adequate support is believed by management to exist for each asset’s carrying value based on anticipated cash flows derived from estimates of future demand, pricing, and production costs, assuming certain levels of planned capital expenditures. However, if demand and pricing for our products fall to levels significantly below cycle-average demand and pricing, should we decide to invest capital in alternative projects, or should changes occur related to our wood supply for our mills, it is possible that future impairment charges will be required.</w:t>
      </w:r>
    </w:p>
    <w:p>
      <w:pPr>
        <w:spacing w:after="0" w:line="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Potential asset dispositions are also periodically reviewed, taking into account current and anticipated economic and industry conditions, the strategic plan, and other relevant factors. A decision to dispose of specific assets may require management to make assumptions regarding the transaction structure of the disposition and to estimate the net sales proceeds, which may be less than previous estimates of undiscounted future net cash flows. As a result, impairment charges may be necessary in connection with such dispositions.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was recognized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9" w:name="page30"/>
    <w:bookmarkEnd w:id="29"/>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fluctuations in foreign currency exchange rates, commodity prices and interest rates which could impact our results of operations and financial condition.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international operations has transactional foreign currency exposures related to buying and selling in currencies other than the local currencies in which it operates. Exposures are primarily related to the U.S. dollar relative to the Canadian dollar, the Brazilian real, the Chilean peso, and the Argentine peso. We also have translation exposure resulting from translating the financial statements of foreign subsidiaries into U.S. dollars.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although we may do so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for OSB previously disclosed under the caption “Item 7A. Quantitative and Qualitative Disclosures about Market Risk” in our 2025 Annual Report on Form 10-K. We historically have not entered into material commodity futures and swaps, but we may do so in the future.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could be exposed to market risk associated with changes in interest rates on our variable rate credit facility. As of March 31, 2026, there were no outstanding borrowings under our Amended Credit Facility. We do not currently have any derivative or hedging arrangements, or other known exposures, to changes in interest rates. There have been no material changes to the interest rate sensitivity analysis previously disclosed under the caption “Item 7A. Quantitative and Qualitative Disclosures about Market Risk” in our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spacing w:after="0" w:line="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March 31, 2026, LP’s disclosure controls and procedures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recently completed fiscal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certain legal and environmental matters involving LP set forth in “Item 1. Financial Statements” of this quarterly report on Form 10-Q under “Note 9. Commitments and Contingencies” of the Notes to the Condensed Consolidated Financial Statements contained herein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an investor should carefully consider the factors discussed in Part I, “Item 1A. Risk Factors” of the Company’s 2025 Annual Report on Form 10-K. There have been no material changes to the risk factors previously disclosed under the caption “Item 1A. Risk Factors” in Part I of our 2025 Annual Report on Form 10-K.</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risks described in our 2025 Annual Report on Form 10-K are not the only risks facing the Company. Additional risks and uncertainties not currently known to us or that we currently deem immaterial may also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spacing w:after="0" w:line="200" w:lineRule="exact"/>
        <w:rPr>
          <w:sz w:val="20"/>
          <w:szCs w:val="20"/>
          <w:color w:val="auto"/>
        </w:rPr>
      </w:pP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2024, our Board of Directors authorized a share repurchase program under which LP was authorized to repurchase up to $250 million of its outstanding common stock (the 2024 Share Repurchase Program). We did not make any repurchases of LP common stock pursuant to the 2024 Share Repurchase Program or otherwise during the quarter ended March 31, 2026. At March 31, 2026, we had an aggregate of $177 million of repurchase authorization remaining under the 2024 Share Repurchase Program. LP may initiate, discontinue, or resume purchases of its common stock under the 2024 Share Repurchase Program in the open market, in block, and in privately negotiated transactions, including under Rule 10b5-1 plans, at such times and in such amounts as management deems appropriate without prior notice, subject to market and business conditions, regulatory requirements, and other factors.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(as defined in Section 16 of the Exchange Act) adopted, modified or terminated a “Rule 10b5-1 trading arrangement” or a “non-Rule 10b5-1 trading arrangement” (each as defined in Item 408 of Regulation S-K) during 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0" w:type="dxa"/>
            <w:vAlign w:val="bottom"/>
          </w:tcPr>
          <w:p>
            <w:pPr>
              <w:spacing w:after="0"/>
              <w:rPr>
                <w:sz w:val="20"/>
                <w:szCs w:val="20"/>
                <w:color w:val="auto"/>
              </w:rPr>
            </w:pPr>
          </w:p>
        </w:tc>
        <w:tc>
          <w:tcPr>
            <w:tcW w:w="100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7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E32E1"/>
              </w:rPr>
              <w:t>31.</w:t>
            </w:r>
            <w:r>
              <w:rPr>
                <w:rFonts w:ascii="Times New Roman" w:cs="Times New Roman" w:eastAsia="Times New Roman" w:hAnsi="Times New Roman"/>
                <w:sz w:val="18"/>
                <w:szCs w:val="18"/>
                <w:u w:val="single" w:color="auto"/>
                <w:color w:val="0E32E1"/>
              </w:rPr>
              <w:t>1</w:t>
            </w:r>
          </w:p>
        </w:tc>
        <w:tc>
          <w:tcPr>
            <w:tcW w:w="280" w:type="dxa"/>
            <w:vAlign w:val="bottom"/>
          </w:tcPr>
          <w:p>
            <w:pPr>
              <w:spacing w:after="0"/>
              <w:rPr>
                <w:sz w:val="24"/>
                <w:szCs w:val="24"/>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E32E1"/>
              </w:rPr>
              <w:t>Certifications of Chief Executive Officer Pursuant to Rule 13a-14(a) under the Securities Exchange Act of 1934. *</w:t>
            </w:r>
          </w:p>
        </w:tc>
        <w:tc>
          <w:tcPr>
            <w:tcW w:w="0" w:type="dxa"/>
            <w:vAlign w:val="bottom"/>
          </w:tcPr>
          <w:p>
            <w:pPr>
              <w:spacing w:after="0"/>
              <w:rPr>
                <w:sz w:val="1"/>
                <w:szCs w:val="1"/>
                <w:color w:val="auto"/>
              </w:rPr>
            </w:pPr>
          </w:p>
        </w:tc>
      </w:tr>
      <w:tr>
        <w:trPr>
          <w:trHeight w:val="20"/>
        </w:trPr>
        <w:tc>
          <w:tcPr>
            <w:tcW w:w="46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E32E1"/>
          </w:tcPr>
          <w:p>
            <w:pPr>
              <w:spacing w:after="0" w:line="20" w:lineRule="exact"/>
              <w:rPr>
                <w:sz w:val="1"/>
                <w:szCs w:val="1"/>
                <w:color w:val="auto"/>
              </w:rPr>
            </w:pPr>
          </w:p>
        </w:tc>
        <w:tc>
          <w:tcPr>
            <w:tcW w:w="3220" w:type="dxa"/>
            <w:vAlign w:val="bottom"/>
            <w:shd w:val="clear" w:color="auto" w:fill="0E32E1"/>
          </w:tcPr>
          <w:p>
            <w:pPr>
              <w:spacing w:after="0" w:line="20" w:lineRule="exact"/>
              <w:rPr>
                <w:sz w:val="1"/>
                <w:szCs w:val="1"/>
                <w:color w:val="auto"/>
              </w:rPr>
            </w:pPr>
          </w:p>
        </w:tc>
        <w:tc>
          <w:tcPr>
            <w:tcW w:w="190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E32E1"/>
              </w:rPr>
              <w:t>31.</w:t>
            </w:r>
            <w:r>
              <w:rPr>
                <w:rFonts w:ascii="Times New Roman" w:cs="Times New Roman" w:eastAsia="Times New Roman" w:hAnsi="Times New Roman"/>
                <w:sz w:val="18"/>
                <w:szCs w:val="18"/>
                <w:u w:val="single" w:color="auto"/>
                <w:color w:val="0E32E1"/>
              </w:rPr>
              <w:t>2</w:t>
            </w:r>
          </w:p>
        </w:tc>
        <w:tc>
          <w:tcPr>
            <w:tcW w:w="280" w:type="dxa"/>
            <w:vAlign w:val="bottom"/>
          </w:tcPr>
          <w:p>
            <w:pPr>
              <w:spacing w:after="0"/>
              <w:rPr>
                <w:sz w:val="22"/>
                <w:szCs w:val="22"/>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E32E1"/>
              </w:rPr>
              <w:t>Certifications of Chief Financial Officer Pursuant to Rule 13a-14(a) under the Securities Exchange Act of 1934. *</w:t>
            </w:r>
          </w:p>
        </w:tc>
        <w:tc>
          <w:tcPr>
            <w:tcW w:w="0" w:type="dxa"/>
            <w:vAlign w:val="bottom"/>
          </w:tcPr>
          <w:p>
            <w:pPr>
              <w:spacing w:after="0"/>
              <w:rPr>
                <w:sz w:val="1"/>
                <w:szCs w:val="1"/>
                <w:color w:val="auto"/>
              </w:rPr>
            </w:pPr>
          </w:p>
        </w:tc>
      </w:tr>
      <w:tr>
        <w:trPr>
          <w:trHeight w:val="20"/>
        </w:trPr>
        <w:tc>
          <w:tcPr>
            <w:tcW w:w="46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E32E1"/>
          </w:tcPr>
          <w:p>
            <w:pPr>
              <w:spacing w:after="0" w:line="20" w:lineRule="exact"/>
              <w:rPr>
                <w:sz w:val="1"/>
                <w:szCs w:val="1"/>
                <w:color w:val="auto"/>
              </w:rPr>
            </w:pPr>
          </w:p>
        </w:tc>
        <w:tc>
          <w:tcPr>
            <w:tcW w:w="3220" w:type="dxa"/>
            <w:vAlign w:val="bottom"/>
            <w:shd w:val="clear" w:color="auto" w:fill="0E32E1"/>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E32E1"/>
              </w:rPr>
              <w:t>Certifications pursuant to § 906 of the Sarbanes-Oxley Act of 2002. **</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E32E1"/>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gridSpan w:val="4"/>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101.INS</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149"/>
        </w:trPr>
        <w:tc>
          <w:tcPr>
            <w:tcW w:w="1000" w:type="dxa"/>
            <w:vAlign w:val="bottom"/>
            <w:gridSpan w:val="4"/>
            <w:vMerge w:val="continue"/>
          </w:tcPr>
          <w:p>
            <w:pPr>
              <w:spacing w:after="0"/>
              <w:rPr>
                <w:sz w:val="12"/>
                <w:szCs w:val="12"/>
                <w:color w:val="auto"/>
              </w:rPr>
            </w:pPr>
          </w:p>
        </w:tc>
        <w:tc>
          <w:tcPr>
            <w:tcW w:w="101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1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0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101.SCH</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101.PRE</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6"/>
              </w:rPr>
              <w:t>104</w:t>
            </w:r>
          </w:p>
        </w:tc>
        <w:tc>
          <w:tcPr>
            <w:tcW w:w="280" w:type="dxa"/>
            <w:vAlign w:val="bottom"/>
          </w:tcPr>
          <w:p>
            <w:pPr>
              <w:spacing w:after="0"/>
              <w:rPr>
                <w:sz w:val="24"/>
                <w:szCs w:val="24"/>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 and contained in Exhibit 101)*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6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LOUISIANA-PACIFIC CORPORATION</w:t>
            </w:r>
          </w:p>
        </w:tc>
      </w:tr>
      <w:tr>
        <w:trPr>
          <w:trHeight w:val="51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6, 2026</w:t>
            </w:r>
          </w:p>
        </w:tc>
        <w:tc>
          <w:tcPr>
            <w:tcW w:w="2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P. Ringblom</w:t>
            </w:r>
          </w:p>
        </w:tc>
      </w:tr>
      <w:tr>
        <w:trPr>
          <w:trHeight w:val="184"/>
        </w:trPr>
        <w:tc>
          <w:tcPr>
            <w:tcW w:w="6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Jason P. Ringblom</w:t>
            </w:r>
          </w:p>
        </w:tc>
      </w:tr>
      <w:tr>
        <w:trPr>
          <w:trHeight w:val="191"/>
        </w:trPr>
        <w:tc>
          <w:tcPr>
            <w:tcW w:w="6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53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6, 2026</w:t>
            </w:r>
          </w:p>
        </w:tc>
        <w:tc>
          <w:tcPr>
            <w:tcW w:w="2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J.M. Haughie</w:t>
            </w:r>
          </w:p>
        </w:tc>
      </w:tr>
      <w:tr>
        <w:trPr>
          <w:trHeight w:val="184"/>
        </w:trPr>
        <w:tc>
          <w:tcPr>
            <w:tcW w:w="6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Alan J.M. Haughie</w:t>
            </w:r>
          </w:p>
        </w:tc>
      </w:tr>
    </w:tbl>
    <w:p>
      <w:pPr>
        <w:spacing w:after="0" w:line="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p>
      <w:pPr>
        <w:spacing w:after="0" w:line="42"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ectPr>
          <w:pgSz w:w="11900" w:h="16838" w:orient="portrait"/>
          <w:cols w:equalWidth="0" w:num="1">
            <w:col w:w="11240"/>
          </w:cols>
          <w:pgMar w:left="320" w:top="141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P. Ringblom,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P. Ringblom</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Jason P. Ringblom</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J.M. Haughie, certify that:</w:t>
      </w:r>
    </w:p>
    <w:p>
      <w:pPr>
        <w:spacing w:after="0" w:line="17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J.M. Haughie</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J.M. Haughie</w:t>
            </w:r>
          </w:p>
        </w:tc>
      </w:tr>
      <w:tr>
        <w:trPr>
          <w:trHeight w:val="230"/>
        </w:trPr>
        <w:tc>
          <w:tcPr>
            <w:tcW w:w="570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Pursuant to 18 U.S.C. § 1350 as Adopted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in connection with the Quarterly Report on Form 10-Q of Louisiana-Pacific Corporation (the “Company”) for the quarter ended March 31, 2026, as filed with the Securities and Exchange Commission on the date hereof (the “Report”), each of the undersigned officers of the Company certifies, that, to such officer’s knowledge:</w:t>
      </w:r>
    </w:p>
    <w:p>
      <w:pPr>
        <w:spacing w:after="0" w:line="14" w:lineRule="exact"/>
        <w:rPr>
          <w:sz w:val="20"/>
          <w:szCs w:val="20"/>
          <w:color w:val="auto"/>
        </w:rPr>
      </w:pPr>
    </w:p>
    <w:p>
      <w:pPr>
        <w:ind w:left="980" w:hanging="567"/>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63" w:lineRule="exact"/>
        <w:rPr>
          <w:rFonts w:ascii="Times New Roman" w:cs="Times New Roman" w:eastAsia="Times New Roman" w:hAnsi="Times New Roman"/>
          <w:sz w:val="18"/>
          <w:szCs w:val="18"/>
          <w:color w:val="auto"/>
        </w:rPr>
      </w:pPr>
    </w:p>
    <w:p>
      <w:pPr>
        <w:ind w:left="980" w:hanging="567"/>
        <w:spacing w:after="0" w:line="282" w:lineRule="auto"/>
        <w:tabs>
          <w:tab w:leader="none" w:pos="9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1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Jason P. Ringblom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Jason P. Ringblom</w:t>
      </w:r>
    </w:p>
    <w:p>
      <w:pPr>
        <w:ind w:left="58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Alan J.M. Haughie</w:t>
      </w:r>
    </w:p>
    <w:p>
      <w:pPr>
        <w:spacing w:after="0" w:line="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4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bullet"/>
      <w:start w:val="1"/>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5"/>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2026-05-06T13:33:56Z</dcterms:created>
  <dcterms:modified xsi:type="dcterms:W3CDTF">2026-05-06T13:33:56Z</dcterms:modified>
</cp:coreProperties>
</file>