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107315</wp:posOffset>
            </wp:positionV>
            <wp:extent cx="2288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113665</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48" w:lineRule="exact"/>
        <w:rPr>
          <w:sz w:val="24"/>
          <w:szCs w:val="24"/>
          <w:color w:val="auto"/>
        </w:rPr>
      </w:pPr>
    </w:p>
    <w:p>
      <w:pPr>
        <w:jc w:val="center"/>
        <w:ind w:left="3480" w:right="40" w:hanging="3435"/>
        <w:spacing w:after="0" w:line="313" w:lineRule="auto"/>
        <w:tabs>
          <w:tab w:leader="none" w:pos="222"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 For the Quarterly Period Ended June 30, 2021</w:t>
      </w:r>
    </w:p>
    <w:p>
      <w:pPr>
        <w:spacing w:after="0" w:line="2" w:lineRule="exact"/>
        <w:rPr>
          <w:sz w:val="24"/>
          <w:szCs w:val="24"/>
          <w:color w:val="auto"/>
        </w:rPr>
      </w:pPr>
    </w:p>
    <w:p>
      <w:pPr>
        <w:jc w:val="center"/>
        <w:ind w:left="380"/>
        <w:spacing w:after="0" w:line="347" w:lineRule="auto"/>
        <w:rPr>
          <w:sz w:val="20"/>
          <w:szCs w:val="20"/>
          <w:color w:val="auto"/>
        </w:rPr>
      </w:pPr>
      <w:r>
        <w:rPr>
          <w:rFonts w:ascii="Arial" w:cs="Arial" w:eastAsia="Arial" w:hAnsi="Arial"/>
          <w:sz w:val="18"/>
          <w:szCs w:val="18"/>
          <w:color w:val="auto"/>
        </w:rPr>
        <w:t xml:space="preserve">o </w:t>
      </w:r>
      <w:r>
        <w:rPr>
          <w:rFonts w:ascii="Arial" w:cs="Arial" w:eastAsia="Arial" w:hAnsi="Arial"/>
          <w:sz w:val="21"/>
          <w:szCs w:val="21"/>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21"/>
          <w:szCs w:val="21"/>
          <w:b w:val="1"/>
          <w:bCs w:val="1"/>
          <w:color w:val="auto"/>
        </w:rPr>
        <w:t xml:space="preserve">Commission File Number </w:t>
      </w:r>
      <w:r>
        <w:rPr>
          <w:rFonts w:ascii="Arial" w:cs="Arial" w:eastAsia="Arial" w:hAnsi="Arial"/>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-5080</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96" w:lineRule="exact"/>
        <w:rPr>
          <w:sz w:val="24"/>
          <w:szCs w:val="24"/>
          <w:color w:val="auto"/>
        </w:rPr>
      </w:pPr>
    </w:p>
    <w:p>
      <w:pPr>
        <w:ind w:left="3400"/>
        <w:spacing w:after="0"/>
        <w:rPr>
          <w:sz w:val="20"/>
          <w:szCs w:val="20"/>
          <w:color w:val="auto"/>
        </w:rPr>
      </w:pPr>
      <w:r>
        <w:rPr>
          <w:rFonts w:ascii="Arial" w:cs="Arial" w:eastAsia="Arial" w:hAnsi="Arial"/>
          <w:sz w:val="25"/>
          <w:szCs w:val="25"/>
          <w:b w:val="1"/>
          <w:bCs w:val="1"/>
          <w:color w:val="auto"/>
        </w:rPr>
        <w:t>LOUISIANA-PACIFIC CORPORATION</w:t>
      </w:r>
    </w:p>
    <w:p>
      <w:pPr>
        <w:spacing w:after="0" w:line="38" w:lineRule="exact"/>
        <w:rPr>
          <w:sz w:val="24"/>
          <w:szCs w:val="24"/>
          <w:color w:val="auto"/>
        </w:rPr>
      </w:pPr>
    </w:p>
    <w:p>
      <w:pPr>
        <w:ind w:left="2840"/>
        <w:spacing w:after="0"/>
        <w:rPr>
          <w:sz w:val="20"/>
          <w:szCs w:val="20"/>
          <w:color w:val="auto"/>
        </w:rPr>
      </w:pPr>
      <w:r>
        <w:rPr>
          <w:rFonts w:ascii="Arial" w:cs="Arial" w:eastAsia="Arial" w:hAnsi="Arial"/>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80010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83"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93-0609074</w:t>
      </w:r>
    </w:p>
    <w:p>
      <w:pPr>
        <w:spacing w:after="0" w:line="31" w:lineRule="exact"/>
        <w:rPr>
          <w:sz w:val="24"/>
          <w:szCs w:val="24"/>
          <w:color w:val="auto"/>
        </w:rPr>
      </w:pPr>
    </w:p>
    <w:p>
      <w:pPr>
        <w:sectPr>
          <w:pgSz w:w="11900" w:h="16838" w:orient="portrait"/>
          <w:cols w:equalWidth="0" w:num="2">
            <w:col w:w="7280" w:space="720"/>
            <w:col w:w="3240"/>
          </w:cols>
          <w:pgMar w:left="320" w:top="1440" w:right="33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4"/>
          <w:szCs w:val="14"/>
          <w:b w:val="1"/>
          <w:bCs w:val="1"/>
          <w:color w:val="auto"/>
        </w:rPr>
        <w:t>(IRS Employer</w:t>
      </w:r>
    </w:p>
    <w:p>
      <w:pPr>
        <w:jc w:val="center"/>
        <w:ind w:right="2240"/>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140" w:space="720"/>
            <w:col w:w="3380"/>
          </w:cols>
          <w:pgMar w:left="320" w:top="1440" w:right="339" w:bottom="1440" w:gutter="0" w:footer="0" w:header="0"/>
          <w:type w:val="continuous"/>
        </w:sectPr>
      </w:pPr>
    </w:p>
    <w:p>
      <w:pPr>
        <w:ind w:left="3720"/>
        <w:spacing w:after="0"/>
        <w:rPr>
          <w:sz w:val="20"/>
          <w:szCs w:val="20"/>
          <w:color w:val="auto"/>
        </w:rPr>
      </w:pPr>
      <w:r>
        <w:rPr>
          <w:rFonts w:ascii="Arial" w:cs="Arial" w:eastAsia="Arial" w:hAnsi="Arial"/>
          <w:sz w:val="16"/>
          <w:szCs w:val="16"/>
          <w:b w:val="1"/>
          <w:bCs w:val="1"/>
          <w:color w:val="auto"/>
        </w:rPr>
        <w:t>414 Union Street, Suite 2000, Nashville, TN 37219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240"/>
          </w:cols>
          <w:pgMar w:left="320" w:top="1440"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81915</wp:posOffset>
            </wp:positionV>
            <wp:extent cx="228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LPX</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49"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62"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5"/>
        </w:trPr>
        <w:tc>
          <w:tcPr>
            <w:tcW w:w="2640" w:type="dxa"/>
            <w:vAlign w:val="bottom"/>
          </w:tcPr>
          <w:p>
            <w:pPr>
              <w:spacing w:after="0" w:line="205" w:lineRule="exact"/>
              <w:rPr>
                <w:sz w:val="20"/>
                <w:szCs w:val="20"/>
                <w:color w:val="auto"/>
              </w:rPr>
            </w:pPr>
            <w:r>
              <w:rPr>
                <w:rFonts w:ascii="Arial" w:cs="Arial" w:eastAsia="Arial" w:hAnsi="Arial"/>
                <w:sz w:val="18"/>
                <w:szCs w:val="18"/>
                <w:color w:val="auto"/>
              </w:rPr>
              <w:t>Large accelerated filer</w:t>
            </w:r>
          </w:p>
        </w:tc>
        <w:tc>
          <w:tcPr>
            <w:tcW w:w="2340" w:type="dxa"/>
            <w:vAlign w:val="bottom"/>
          </w:tcPr>
          <w:p>
            <w:pPr>
              <w:ind w:left="660"/>
              <w:spacing w:after="0" w:line="205" w:lineRule="exact"/>
              <w:rPr>
                <w:sz w:val="20"/>
                <w:szCs w:val="20"/>
                <w:color w:val="auto"/>
              </w:rPr>
            </w:pPr>
            <w:r>
              <w:rPr>
                <w:rFonts w:ascii="Arial" w:cs="Arial" w:eastAsia="Arial" w:hAnsi="Arial"/>
                <w:sz w:val="18"/>
                <w:szCs w:val="18"/>
                <w:color w:val="auto"/>
              </w:rPr>
              <w:t>x</w:t>
            </w:r>
          </w:p>
        </w:tc>
        <w:tc>
          <w:tcPr>
            <w:tcW w:w="4120" w:type="dxa"/>
            <w:vAlign w:val="bottom"/>
          </w:tcPr>
          <w:p>
            <w:pPr>
              <w:ind w:left="1540"/>
              <w:spacing w:after="0" w:line="205" w:lineRule="exact"/>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205" w:lineRule="exact"/>
              <w:rPr>
                <w:sz w:val="20"/>
                <w:szCs w:val="20"/>
                <w:color w:val="auto"/>
              </w:rPr>
            </w:pPr>
            <w:r>
              <w:rPr>
                <w:rFonts w:ascii="Arial" w:cs="Arial" w:eastAsia="Arial" w:hAnsi="Arial"/>
                <w:sz w:val="18"/>
                <w:szCs w:val="18"/>
                <w:color w:val="auto"/>
              </w:rPr>
              <w:t>o</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340" w:type="dxa"/>
            <w:vAlign w:val="bottom"/>
          </w:tcPr>
          <w:p>
            <w:pPr>
              <w:ind w:left="660"/>
              <w:spacing w:after="0"/>
              <w:rPr>
                <w:sz w:val="20"/>
                <w:szCs w:val="20"/>
                <w:color w:val="auto"/>
              </w:rPr>
            </w:pPr>
            <w:r>
              <w:rPr>
                <w:rFonts w:ascii="Arial" w:cs="Arial" w:eastAsia="Arial" w:hAnsi="Arial"/>
                <w:sz w:val="18"/>
                <w:szCs w:val="18"/>
                <w:color w:val="auto"/>
              </w:rPr>
              <w:t>o</w:t>
            </w:r>
          </w:p>
        </w:tc>
        <w:tc>
          <w:tcPr>
            <w:tcW w:w="4120" w:type="dxa"/>
            <w:vAlign w:val="bottom"/>
          </w:tcPr>
          <w:p>
            <w:pPr>
              <w:ind w:left="154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0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95,225,904 shares of Common Stock, $1 par value, outstanding as of 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i w:val="1"/>
          <w:iCs w:val="1"/>
          <w:color w:val="auto"/>
        </w:rPr>
        <w:t>Except as otherwise specified and unless the context otherwise requires, references to "LP", the “Company”, “we”, “us”, and “our” refer to Louisiana-Pacific Corporation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00"/>
          </w:cols>
          <w:pgMar w:left="320" w:top="1070" w:right="5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FORWARD-LOOKING STATEMENTS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This quarterly report on Form 10-Q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statements are or may constitute forward-looking statements: (1) statements preceded by, followed by or that include words like “may,” “will,” “could,” “should,” “believe,” “expect,” “anticipate,” “intend,” “plan,” “estimate,” "project," “potential,” “continue,” "likely," or “future” or the negative or other variations thereof and (2) other statements regarding matters that are not historical facts, including without limitation, plans for product development, forecasts of future costs and expenditures, possible outcomes of legal proceedings, capacity expansion, and other growth initiatives and the adequacy of reserves for loss contingencies.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Factors that could cause actual results to differ materially from those expressed or implied by the forward-looking statements include, but are not limited to, the following:</w:t>
      </w:r>
    </w:p>
    <w:p>
      <w:pPr>
        <w:spacing w:after="0" w:line="197" w:lineRule="exact"/>
        <w:rPr>
          <w:sz w:val="20"/>
          <w:szCs w:val="20"/>
          <w:color w:val="auto"/>
        </w:rPr>
      </w:pPr>
    </w:p>
    <w:p>
      <w:pPr>
        <w:ind w:left="660" w:hanging="328"/>
        <w:spacing w:after="0" w:line="274"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impacts from public health issues (including global pandemics, such as the ongoing COVID-19 pandemic) on the economy, demand for our products or our operations, including the actions and recommendations of governmental authorities to contain such public health issues;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governmental fiscal and monetary policies, including tariffs, and levels of employment;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conditions, including impacts from the ongoing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and availability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level of home construction and repair and remodel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competitive conditions and prices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relationship between supply of and demand for building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financial or business conditions of third-party wholesale distributors and dealers;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the relationship between supply of and demand for raw materials, including wood fiber and resins, used in manufacturing our products;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of and availability of energy, primarily natural gas, electricity, and diesel fuel;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of and availability of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manufacturing our products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in the launch or production ramp-up of newly introduced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other significant operating expenses;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currency values and exchange rates between the U.S. dollar and other currencies, particularly the Canadian dollar, Brazilian real and Chilean peso;</w:t>
      </w: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circumstances giving rise to environmental liabilities or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warranty costs exceeding our warranty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challenge or exploitation of our intellectual property or other proprietary information by others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funding requirements of our defined benefit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resolution of existing and future product-related litigation and other legal proceedings;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effect of covenants and events of default contained in our debt instruments;</w:t>
      </w:r>
    </w:p>
    <w:p>
      <w:pPr>
        <w:spacing w:after="0" w:line="1"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any repurchases of our common stock and the payment of dividends on our common stock, which will depend on market and business conditions and other considerations; and</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acts of public authorities, war, civil unrest, natural disasters, fire, floods, earthquakes, inclement weather and other matters beyond our control.</w:t>
      </w:r>
    </w:p>
    <w:p>
      <w:pPr>
        <w:spacing w:after="0" w:line="2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the foregoing and any risks and uncertainties specifically identified in the text surrounding forward-looking statements, any statements in the reports and other documents filed by us with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THIRD-PARTY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20" w:type="dxa"/>
            <w:vAlign w:val="bottom"/>
            <w:gridSpan w:val="5"/>
          </w:tcPr>
          <w:p>
            <w:pPr>
              <w:jc w:val="center"/>
              <w:ind w:left="53"/>
              <w:spacing w:after="0"/>
              <w:rPr>
                <w:sz w:val="20"/>
                <w:szCs w:val="20"/>
                <w:color w:val="auto"/>
              </w:rPr>
            </w:pPr>
            <w:r>
              <w:rPr>
                <w:rFonts w:ascii="Arial" w:cs="Arial" w:eastAsia="Arial" w:hAnsi="Arial"/>
                <w:sz w:val="18"/>
                <w:szCs w:val="18"/>
                <w:b w:val="1"/>
                <w:bCs w:val="1"/>
                <w:color w:val="auto"/>
              </w:rPr>
              <w:t>PART I - FINANCIAL INFORMATION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36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20" w:type="dxa"/>
            <w:vAlign w:val="bottom"/>
            <w:gridSpan w:val="5"/>
          </w:tcPr>
          <w:p>
            <w:pPr>
              <w:jc w:val="center"/>
              <w:ind w:left="53"/>
              <w:spacing w:after="0"/>
              <w:rPr>
                <w:sz w:val="20"/>
                <w:szCs w:val="20"/>
                <w:color w:val="auto"/>
              </w:rPr>
            </w:pPr>
            <w:r>
              <w:rPr>
                <w:rFonts w:ascii="Arial" w:cs="Arial" w:eastAsia="Arial" w:hAnsi="Arial"/>
                <w:sz w:val="18"/>
                <w:szCs w:val="18"/>
                <w:b w:val="1"/>
                <w:bCs w:val="1"/>
                <w:color w:val="auto"/>
                <w:w w:val="87"/>
              </w:rPr>
              <w:t>Condensed Consolidated Statements of Income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840" w:type="dxa"/>
            <w:vAlign w:val="bottom"/>
            <w:gridSpan w:val="7"/>
          </w:tcPr>
          <w:p>
            <w:pPr>
              <w:jc w:val="center"/>
              <w:ind w:right="880"/>
              <w:spacing w:after="0"/>
              <w:rPr>
                <w:sz w:val="20"/>
                <w:szCs w:val="20"/>
                <w:color w:val="auto"/>
              </w:rPr>
            </w:pPr>
            <w:r>
              <w:rPr>
                <w:rFonts w:ascii="Arial" w:cs="Arial" w:eastAsia="Arial" w:hAnsi="Arial"/>
                <w:sz w:val="18"/>
                <w:szCs w:val="18"/>
                <w:color w:val="auto"/>
                <w:w w:val="90"/>
              </w:rPr>
              <w:t>Dollar amounts in millions, except per share amounts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320" w:type="dxa"/>
            <w:vAlign w:val="bottom"/>
            <w:gridSpan w:val="4"/>
          </w:tcPr>
          <w:p>
            <w:pPr>
              <w:jc w:val="center"/>
              <w:ind w:left="553"/>
              <w:spacing w:after="0"/>
              <w:rPr>
                <w:sz w:val="20"/>
                <w:szCs w:val="20"/>
                <w:color w:val="auto"/>
              </w:rPr>
            </w:pPr>
            <w:r>
              <w:rPr>
                <w:rFonts w:ascii="Arial" w:cs="Arial" w:eastAsia="Arial" w:hAnsi="Arial"/>
                <w:sz w:val="18"/>
                <w:szCs w:val="18"/>
                <w:color w:val="auto"/>
                <w:w w:val="93"/>
              </w:rPr>
              <w:t>(Unaudited)</w:t>
            </w: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24"/>
                <w:szCs w:val="24"/>
                <w:color w:val="auto"/>
              </w:rPr>
            </w:pPr>
          </w:p>
        </w:tc>
        <w:tc>
          <w:tcPr>
            <w:tcW w:w="24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1,133</w:t>
            </w:r>
          </w:p>
        </w:tc>
        <w:tc>
          <w:tcPr>
            <w:tcW w:w="0" w:type="dxa"/>
            <w:vAlign w:val="bottom"/>
          </w:tcPr>
          <w:p>
            <w:pPr>
              <w:spacing w:after="0"/>
              <w:rPr>
                <w:sz w:val="1"/>
                <w:szCs w:val="1"/>
                <w:color w:val="auto"/>
              </w:rPr>
            </w:pPr>
          </w:p>
        </w:tc>
      </w:tr>
      <w:tr>
        <w:trPr>
          <w:trHeight w:val="213"/>
        </w:trPr>
        <w:tc>
          <w:tcPr>
            <w:tcW w:w="1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w w:val="97"/>
              </w:rPr>
              <w:t>Cost of sales</w:t>
            </w:r>
          </w:p>
        </w:tc>
        <w:tc>
          <w:tcPr>
            <w:tcW w:w="236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26"/>
        </w:trPr>
        <w:tc>
          <w:tcPr>
            <w:tcW w:w="1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3"/>
        </w:trPr>
        <w:tc>
          <w:tcPr>
            <w:tcW w:w="3640" w:type="dxa"/>
            <w:vAlign w:val="bottom"/>
            <w:gridSpan w:val="2"/>
          </w:tcPr>
          <w:p>
            <w:pPr>
              <w:ind w:left="360"/>
              <w:spacing w:after="0"/>
              <w:rPr>
                <w:sz w:val="20"/>
                <w:szCs w:val="20"/>
                <w:color w:val="auto"/>
              </w:rPr>
            </w:pPr>
            <w:r>
              <w:rPr>
                <w:rFonts w:ascii="Arial" w:cs="Arial" w:eastAsia="Arial" w:hAnsi="Arial"/>
                <w:sz w:val="16"/>
                <w:szCs w:val="16"/>
                <w:color w:val="auto"/>
              </w:rPr>
              <w:t>Selling, general, and administrative expenses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Loss on impairment</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36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 operating credits and charges, net</w:t>
            </w:r>
          </w:p>
        </w:tc>
        <w:tc>
          <w:tcPr>
            <w:tcW w:w="1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0" w:type="dxa"/>
            <w:vAlign w:val="bottom"/>
          </w:tcPr>
          <w:p>
            <w:pPr>
              <w:spacing w:after="0"/>
              <w:rPr>
                <w:sz w:val="1"/>
                <w:szCs w:val="1"/>
                <w:color w:val="auto"/>
              </w:rPr>
            </w:pPr>
          </w:p>
        </w:tc>
      </w:tr>
      <w:tr>
        <w:trPr>
          <w:trHeight w:val="213"/>
        </w:trPr>
        <w:tc>
          <w:tcPr>
            <w:tcW w:w="1280" w:type="dxa"/>
            <w:vAlign w:val="bottom"/>
          </w:tcPr>
          <w:p>
            <w:pPr>
              <w:ind w:left="220"/>
              <w:spacing w:after="0"/>
              <w:rPr>
                <w:sz w:val="20"/>
                <w:szCs w:val="20"/>
                <w:color w:val="auto"/>
              </w:rPr>
            </w:pPr>
            <w:r>
              <w:rPr>
                <w:rFonts w:ascii="Arial" w:cs="Arial" w:eastAsia="Arial" w:hAnsi="Arial"/>
                <w:sz w:val="16"/>
                <w:szCs w:val="16"/>
                <w:color w:val="auto"/>
                <w:w w:val="87"/>
              </w:rPr>
              <w:t>Interest expense</w:t>
            </w:r>
          </w:p>
        </w:tc>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Investment income</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non-operating items</w:t>
            </w:r>
          </w:p>
        </w:tc>
        <w:tc>
          <w:tcPr>
            <w:tcW w:w="1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0" w:type="dxa"/>
            <w:vAlign w:val="bottom"/>
          </w:tcPr>
          <w:p>
            <w:pPr>
              <w:spacing w:after="0"/>
              <w:rPr>
                <w:sz w:val="1"/>
                <w:szCs w:val="1"/>
                <w:color w:val="auto"/>
              </w:rPr>
            </w:pPr>
          </w:p>
        </w:tc>
      </w:tr>
      <w:tr>
        <w:trPr>
          <w:trHeight w:val="213"/>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 unconsolidated affiliate</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497</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817</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loss attributed to noncontrolling interest</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attributed to LP</w:t>
            </w:r>
          </w:p>
        </w:tc>
        <w:tc>
          <w:tcPr>
            <w:tcW w:w="18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498</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818</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Basic net income per share of common stock:</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 per share - basic</w:t>
            </w:r>
          </w:p>
        </w:tc>
        <w:tc>
          <w:tcPr>
            <w:tcW w:w="2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w w:val="99"/>
              </w:rPr>
              <w:t>Diluted net income per share of common stock:</w:t>
            </w:r>
          </w:p>
        </w:tc>
        <w:tc>
          <w:tcPr>
            <w:tcW w:w="1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40" w:type="dxa"/>
            <w:vAlign w:val="bottom"/>
            <w:gridSpan w:val="2"/>
            <w:vMerge w:val="continue"/>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 per share - diluted</w:t>
            </w:r>
          </w:p>
        </w:tc>
        <w:tc>
          <w:tcPr>
            <w:tcW w:w="2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Average shares of common stock used to compute net income per share: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6"/>
                <w:szCs w:val="16"/>
                <w:color w:val="auto"/>
              </w:rPr>
              <w:t>Basic</w:t>
            </w:r>
          </w:p>
        </w:tc>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36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26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Unrealized gains on securities, net of reversals</w:t>
            </w:r>
          </w:p>
        </w:tc>
        <w:tc>
          <w:tcPr>
            <w:tcW w:w="9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6"/>
              </w:rPr>
              <w:t>Amortization of pension and post-retirement prior service costs and net</w:t>
            </w:r>
          </w:p>
        </w:tc>
        <w:tc>
          <w:tcPr>
            <w:tcW w:w="9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9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5"/>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Comprehensive loss associated with noncontrolling interest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attributed to LP</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Receivables, net of allowance for doubtful accounts of $2 million at June 30, 2021, and December 31, 2020</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w:t>
            </w:r>
          </w:p>
        </w:tc>
        <w:tc>
          <w:tcPr>
            <w:tcW w:w="0" w:type="dxa"/>
            <w:vAlign w:val="bottom"/>
          </w:tcPr>
          <w:p>
            <w:pPr>
              <w:spacing w:after="0"/>
              <w:rPr>
                <w:sz w:val="1"/>
                <w:szCs w:val="1"/>
                <w:color w:val="auto"/>
              </w:rPr>
            </w:pPr>
          </w:p>
        </w:tc>
      </w:tr>
      <w:tr>
        <w:trPr>
          <w:trHeight w:val="239"/>
        </w:trPr>
        <w:tc>
          <w:tcPr>
            <w:tcW w:w="7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Timber and timberlands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other intangible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Investments in and advances to affiliates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2,086</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payable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contingency reserves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w:t>
            </w:r>
          </w:p>
        </w:tc>
        <w:tc>
          <w:tcPr>
            <w:tcW w:w="0" w:type="dxa"/>
            <w:vAlign w:val="bottom"/>
          </w:tcPr>
          <w:p>
            <w:pPr>
              <w:spacing w:after="0"/>
              <w:rPr>
                <w:sz w:val="1"/>
                <w:szCs w:val="1"/>
                <w:color w:val="auto"/>
              </w:rPr>
            </w:pPr>
          </w:p>
        </w:tc>
      </w:tr>
      <w:tr>
        <w:trPr>
          <w:trHeight w:val="239"/>
        </w:trPr>
        <w:tc>
          <w:tcPr>
            <w:tcW w:w="7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Contingency reserves, excluding current portion</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842</w:t>
            </w:r>
          </w:p>
        </w:tc>
        <w:tc>
          <w:tcPr>
            <w:tcW w:w="0" w:type="dxa"/>
            <w:vAlign w:val="bottom"/>
          </w:tcPr>
          <w:p>
            <w:pPr>
              <w:spacing w:after="0"/>
              <w:rPr>
                <w:sz w:val="1"/>
                <w:szCs w:val="1"/>
                <w:color w:val="auto"/>
              </w:rPr>
            </w:pPr>
          </w:p>
        </w:tc>
      </w:tr>
      <w:tr>
        <w:trPr>
          <w:trHeight w:val="239"/>
        </w:trPr>
        <w:tc>
          <w:tcPr>
            <w:tcW w:w="7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0"/>
        </w:trPr>
        <w:tc>
          <w:tcPr>
            <w:tcW w:w="7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58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w w:val="95"/>
              </w:rPr>
              <w:t>Common stock, $1 par value, 200,000,000 shares authorized; 113,835,024 and 96,973,031 shares issued and</w:t>
            </w: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2"/>
              </w:rPr>
              <w:t>outstanding, respectively, as of June 30, 2021; and 123,547,974 and 106,240,030 shares issued and outstanding,</w:t>
            </w:r>
          </w:p>
        </w:tc>
        <w:tc>
          <w:tcPr>
            <w:tcW w:w="2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respectively, as of December 31, 2020</w:t>
            </w:r>
          </w:p>
        </w:tc>
        <w:tc>
          <w:tcPr>
            <w:tcW w:w="2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0" w:type="dxa"/>
            <w:vAlign w:val="bottom"/>
          </w:tcPr>
          <w:p>
            <w:pPr>
              <w:spacing w:after="0"/>
              <w:rPr>
                <w:sz w:val="1"/>
                <w:szCs w:val="1"/>
                <w:color w:val="auto"/>
              </w:rPr>
            </w:pPr>
          </w:p>
        </w:tc>
      </w:tr>
      <w:tr>
        <w:trPr>
          <w:trHeight w:val="166"/>
        </w:trPr>
        <w:tc>
          <w:tcPr>
            <w:tcW w:w="7580" w:type="dxa"/>
            <w:vAlign w:val="bottom"/>
          </w:tcPr>
          <w:p>
            <w:pPr>
              <w:ind w:left="140"/>
              <w:spacing w:after="0" w:line="166" w:lineRule="exact"/>
              <w:rPr>
                <w:sz w:val="20"/>
                <w:szCs w:val="20"/>
                <w:color w:val="auto"/>
              </w:rPr>
            </w:pPr>
            <w:r>
              <w:rPr>
                <w:rFonts w:ascii="Arial" w:cs="Arial" w:eastAsia="Arial" w:hAnsi="Arial"/>
                <w:sz w:val="16"/>
                <w:szCs w:val="16"/>
                <w:color w:val="auto"/>
                <w:w w:val="92"/>
              </w:rPr>
              <w:t>Treasury stock, 16,861,993 shares and 17,307,944 shares, at cost as of June 30, 2021, and December 31, 2020,</w:t>
            </w:r>
          </w:p>
        </w:tc>
        <w:tc>
          <w:tcPr>
            <w:tcW w:w="2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9"/>
        </w:trPr>
        <w:tc>
          <w:tcPr>
            <w:tcW w:w="7580" w:type="dxa"/>
            <w:vAlign w:val="bottom"/>
          </w:tcPr>
          <w:p>
            <w:pPr>
              <w:ind w:left="140"/>
              <w:spacing w:after="0"/>
              <w:rPr>
                <w:sz w:val="20"/>
                <w:szCs w:val="20"/>
                <w:color w:val="auto"/>
              </w:rPr>
            </w:pPr>
            <w:r>
              <w:rPr>
                <w:rFonts w:ascii="Arial" w:cs="Arial" w:eastAsia="Arial" w:hAnsi="Arial"/>
                <w:sz w:val="16"/>
                <w:szCs w:val="16"/>
                <w:color w:val="auto"/>
              </w:rPr>
              <w:t>respectively</w:t>
            </w:r>
          </w:p>
        </w:tc>
        <w:tc>
          <w:tcPr>
            <w:tcW w:w="2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1,234</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92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net income:</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Loss on impairment</w:t>
            </w:r>
          </w:p>
        </w:tc>
        <w:tc>
          <w:tcPr>
            <w:tcW w:w="9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ind w:left="120"/>
              <w:spacing w:after="0"/>
              <w:rPr>
                <w:sz w:val="20"/>
                <w:szCs w:val="20"/>
                <w:color w:val="auto"/>
              </w:rPr>
            </w:pPr>
            <w:r>
              <w:rPr>
                <w:rFonts w:ascii="Arial" w:cs="Arial" w:eastAsia="Arial" w:hAnsi="Arial"/>
                <w:sz w:val="16"/>
                <w:szCs w:val="16"/>
                <w:color w:val="auto"/>
              </w:rPr>
              <w:t>Deferred taxes</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Loss on early debt extinguishment</w:t>
            </w:r>
          </w:p>
        </w:tc>
        <w:tc>
          <w:tcPr>
            <w:tcW w:w="9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ind w:left="120"/>
              <w:spacing w:after="0"/>
              <w:rPr>
                <w:sz w:val="20"/>
                <w:szCs w:val="20"/>
                <w:color w:val="auto"/>
              </w:rPr>
            </w:pPr>
            <w:r>
              <w:rPr>
                <w:rFonts w:ascii="Arial" w:cs="Arial" w:eastAsia="Arial" w:hAnsi="Arial"/>
                <w:sz w:val="16"/>
                <w:szCs w:val="16"/>
                <w:color w:val="auto"/>
              </w:rPr>
              <w:t>Other adjustments, net</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assets and liabilities (net of acquisitions and divestitures):</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6"/>
                <w:szCs w:val="16"/>
                <w:color w:val="auto"/>
              </w:rPr>
              <w:t>Receivables</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Income taxes payable, net of receivables</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plant, and equipment additions</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ind w:left="120"/>
              <w:spacing w:after="0"/>
              <w:rPr>
                <w:sz w:val="20"/>
                <w:szCs w:val="20"/>
                <w:color w:val="auto"/>
              </w:rPr>
            </w:pPr>
            <w:r>
              <w:rPr>
                <w:rFonts w:ascii="Arial" w:cs="Arial" w:eastAsia="Arial" w:hAnsi="Arial"/>
                <w:sz w:val="16"/>
                <w:szCs w:val="16"/>
                <w:color w:val="auto"/>
              </w:rPr>
              <w:t>Proceeds from business divestiture</w:t>
            </w:r>
          </w:p>
        </w:tc>
        <w:tc>
          <w:tcPr>
            <w:tcW w:w="9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Redemption of insurance cash surrender value</w:t>
            </w:r>
          </w:p>
        </w:tc>
        <w:tc>
          <w:tcPr>
            <w:tcW w:w="9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investing activities</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cash (used in) provided by investing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Borrowing of long-term debt</w:t>
            </w:r>
          </w:p>
        </w:tc>
        <w:tc>
          <w:tcPr>
            <w:tcW w:w="9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ind w:left="120"/>
              <w:spacing w:after="0"/>
              <w:rPr>
                <w:sz w:val="20"/>
                <w:szCs w:val="20"/>
                <w:color w:val="auto"/>
              </w:rPr>
            </w:pPr>
            <w:r>
              <w:rPr>
                <w:rFonts w:ascii="Arial" w:cs="Arial" w:eastAsia="Arial" w:hAnsi="Arial"/>
                <w:sz w:val="16"/>
                <w:szCs w:val="16"/>
                <w:color w:val="auto"/>
              </w:rPr>
              <w:t>Repayment of long-term debt, including redemption premium</w:t>
            </w:r>
          </w:p>
        </w:tc>
        <w:tc>
          <w:tcPr>
            <w:tcW w:w="9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Payment of cash dividends</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ind w:left="120"/>
              <w:spacing w:after="0"/>
              <w:rPr>
                <w:sz w:val="20"/>
                <w:szCs w:val="20"/>
                <w:color w:val="auto"/>
              </w:rPr>
            </w:pPr>
            <w:r>
              <w:rPr>
                <w:rFonts w:ascii="Arial" w:cs="Arial" w:eastAsia="Arial" w:hAnsi="Arial"/>
                <w:sz w:val="16"/>
                <w:szCs w:val="16"/>
                <w:color w:val="auto"/>
              </w:rPr>
              <w:t>Purchase of stock</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i w:val="1"/>
                <w:iCs w:val="1"/>
                <w:color w:val="auto"/>
              </w:rPr>
              <w:t>Net cash (used in) provided by financing activities</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6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EFFECT OF EXCHANGE RATE ON CASH, CASH EQUIVALENTS AND</w:t>
            </w:r>
          </w:p>
        </w:tc>
        <w:tc>
          <w:tcPr>
            <w:tcW w:w="9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9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9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Supplemental cash flow information:</w:t>
            </w: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income taxes, net of cash received</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6"/>
                <w:szCs w:val="16"/>
                <w:color w:val="auto"/>
              </w:rPr>
              <w:t>Cash paid for interest, net of cash received</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Unpaid capital expenditures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Treasury Stock</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4"/>
                <w:szCs w:val="4"/>
                <w:color w:val="auto"/>
              </w:rPr>
            </w:pPr>
          </w:p>
        </w:tc>
        <w:tc>
          <w:tcPr>
            <w:tcW w:w="98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60" w:type="dxa"/>
            <w:vAlign w:val="bottom"/>
            <w:vMerge w:val="restart"/>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61"/>
        </w:trPr>
        <w:tc>
          <w:tcPr>
            <w:tcW w:w="26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1,234</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($0.16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w w:val="93"/>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w w:val="92"/>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Purchase of stock</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9"/>
              </w:rPr>
              <w:t>Compensation expense associated</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1,404</w:t>
            </w:r>
          </w:p>
        </w:tc>
        <w:tc>
          <w:tcPr>
            <w:tcW w:w="0" w:type="dxa"/>
            <w:vAlign w:val="bottom"/>
          </w:tcPr>
          <w:p>
            <w:pPr>
              <w:spacing w:after="0"/>
              <w:rPr>
                <w:sz w:val="1"/>
                <w:szCs w:val="1"/>
                <w:color w:val="auto"/>
              </w:rPr>
            </w:pPr>
          </w:p>
        </w:tc>
      </w:tr>
      <w:tr>
        <w:trPr>
          <w:trHeight w:val="207"/>
        </w:trPr>
        <w:tc>
          <w:tcPr>
            <w:tcW w:w="2640" w:type="dxa"/>
            <w:vAlign w:val="bottom"/>
          </w:tcPr>
          <w:p>
            <w:pPr>
              <w:ind w:left="14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($0.16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w w:val="93"/>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Purchase of stock</w:t>
            </w: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9"/>
              </w:rPr>
              <w:t>Compensation expense associated</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76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7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Treasury Stock</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4"/>
                <w:szCs w:val="4"/>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100" w:type="dxa"/>
            <w:vAlign w:val="bottom"/>
            <w:vMerge w:val="restart"/>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6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1"/>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991</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($0.145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w w:val="96"/>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80"/>
              <w:spacing w:after="0" w:line="169" w:lineRule="exact"/>
              <w:rPr>
                <w:sz w:val="20"/>
                <w:szCs w:val="20"/>
                <w:color w:val="auto"/>
              </w:rPr>
            </w:pPr>
            <w:r>
              <w:rPr>
                <w:rFonts w:ascii="Arial" w:cs="Arial" w:eastAsia="Arial" w:hAnsi="Arial"/>
                <w:sz w:val="16"/>
                <w:szCs w:val="16"/>
                <w:color w:val="auto"/>
                <w:w w:val="94"/>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20"/>
              <w:spacing w:after="0" w:line="166" w:lineRule="exact"/>
              <w:rPr>
                <w:sz w:val="20"/>
                <w:szCs w:val="20"/>
                <w:color w:val="auto"/>
              </w:rPr>
            </w:pPr>
            <w:r>
              <w:rPr>
                <w:rFonts w:ascii="Arial" w:cs="Arial" w:eastAsia="Arial" w:hAnsi="Arial"/>
                <w:sz w:val="16"/>
                <w:szCs w:val="16"/>
                <w:color w:val="auto"/>
              </w:rPr>
              <w:t>Compensation expense associated</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680" w:type="dxa"/>
            <w:vAlign w:val="bottom"/>
          </w:tcPr>
          <w:p>
            <w:pPr>
              <w:ind w:left="12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7"/>
        </w:trPr>
        <w:tc>
          <w:tcPr>
            <w:tcW w:w="26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Balance, March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984</w:t>
            </w:r>
          </w:p>
        </w:tc>
        <w:tc>
          <w:tcPr>
            <w:tcW w:w="0" w:type="dxa"/>
            <w:vAlign w:val="bottom"/>
          </w:tcPr>
          <w:p>
            <w:pPr>
              <w:spacing w:after="0"/>
              <w:rPr>
                <w:sz w:val="1"/>
                <w:szCs w:val="1"/>
                <w:color w:val="auto"/>
              </w:rPr>
            </w:pPr>
          </w:p>
        </w:tc>
      </w:tr>
      <w:tr>
        <w:trPr>
          <w:trHeight w:val="226"/>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Dividends paid ($0.145 per share)</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Issuance of shares under stock plans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2680" w:type="dxa"/>
            <w:vAlign w:val="bottom"/>
          </w:tcPr>
          <w:p>
            <w:pPr>
              <w:ind w:left="120"/>
              <w:spacing w:after="0" w:line="166" w:lineRule="exact"/>
              <w:rPr>
                <w:sz w:val="20"/>
                <w:szCs w:val="20"/>
                <w:color w:val="auto"/>
              </w:rPr>
            </w:pPr>
            <w:r>
              <w:rPr>
                <w:rFonts w:ascii="Arial" w:cs="Arial" w:eastAsia="Arial" w:hAnsi="Arial"/>
                <w:sz w:val="16"/>
                <w:szCs w:val="16"/>
                <w:color w:val="auto"/>
              </w:rPr>
              <w:t>Compensation expense associated</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680" w:type="dxa"/>
            <w:vAlign w:val="bottom"/>
          </w:tcPr>
          <w:p>
            <w:pPr>
              <w:ind w:left="12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Noncontrolling interest redemption</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value adjustment</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7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FOR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Louisiana-Pacific Corporation and our subsidiaries is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In addition to our U.S. operations, the Company also maintains manufacturing facilities in Canada, Chile, and Brazil through foreign subsidiaries, and operates facilities through joint ventures. The principal customers for our building solutions are retailers, wholesalers, and homebuilding and industrial businesses in North America and South America, with limited sales to Asia, Australia, and Europe. References to "LP," "the Company," "we," "our," and "us" refer to Louisiana-Pacific Corporation and its consolidated subsidiaries as a whole.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Presentation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Notes hereto should be read in conjunction with our Annual Report on Form 10-K for the fiscal year ended December 31, 2020, filed with the SEC on February 18, 2021 (2020 Annual Report on Form 10-K). Results of operations for interim periods are not necessarily indicative of results to be expected for an entire year. All dollar amounts are shown in millions except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2019, the FASB issued ASU No. 2019-12, Simplifying the Accounting for Income Taxes (Topic 740). This ASU simplifies the accounting for income taxes by, among other things, eliminating certain existing exceptions related to the general approach in ASC 740 relating to franchise taxes, reducing complexity in the interim-period accounting for year-to-date loss limitations and changes in tax laws, and clarifying the accounting for transactions outside of business combination that result in a step-up in the tax basis of goodwill. The Company adopted ASU 2019-12 effective as of January 1, 2021. There was no impact on our Condensed Consolidated Financial Statements upon adoption.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our reportable segment revenues, disaggregated by revenue source. We disaggregate revenue from contracts with customers into major product lines. We have determined that disaggregating revenue into these categories achieves the disclosure objective to depict how the nature, amount, timing, and uncertainty of revenue and cash flows are affected by economic factors.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in the segment reporting information in Note 17 below, our reportable segments are Siding, Oriented Strand Board (OSB), Engineered Wood Products (EWP), and South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Three Months Ended June 30, 2021</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26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Siding</w:t>
            </w:r>
          </w:p>
        </w:tc>
        <w:tc>
          <w:tcPr>
            <w:tcW w:w="24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6"/>
                <w:szCs w:val="16"/>
                <w:b w:val="1"/>
                <w:bCs w:val="1"/>
                <w:color w:val="auto"/>
              </w:rPr>
              <w:t>OSB</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EWP</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South America</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12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Inter-segment</w:t>
            </w:r>
          </w:p>
        </w:tc>
        <w:tc>
          <w:tcPr>
            <w:tcW w:w="24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6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288</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I-Joist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LVL</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LSL</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2"/>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r>
      <w:tr>
        <w:trPr>
          <w:trHeight w:val="176"/>
        </w:trPr>
        <w:tc>
          <w:tcPr>
            <w:tcW w:w="20" w:type="dxa"/>
            <w:vAlign w:val="bottom"/>
          </w:tcPr>
          <w:p>
            <w:pPr>
              <w:spacing w:after="0"/>
              <w:rPr>
                <w:sz w:val="15"/>
                <w:szCs w:val="15"/>
                <w:color w:val="auto"/>
              </w:rPr>
            </w:pPr>
          </w:p>
        </w:tc>
        <w:tc>
          <w:tcPr>
            <w:tcW w:w="2680" w:type="dxa"/>
            <w:vAlign w:val="bottom"/>
            <w:gridSpan w:val="4"/>
          </w:tcPr>
          <w:p>
            <w:pPr>
              <w:spacing w:after="0" w:line="175" w:lineRule="exact"/>
              <w:rPr>
                <w:sz w:val="20"/>
                <w:szCs w:val="20"/>
                <w:color w:val="auto"/>
              </w:rPr>
            </w:pPr>
            <w:r>
              <w:rPr>
                <w:rFonts w:ascii="Arial" w:cs="Arial" w:eastAsia="Arial" w:hAnsi="Arial"/>
                <w:sz w:val="16"/>
                <w:szCs w:val="16"/>
                <w:color w:val="auto"/>
              </w:rPr>
              <w:t>Commodity</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commodity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Plywood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r>
      <w:tr>
        <w:trPr>
          <w:trHeight w:val="156"/>
        </w:trPr>
        <w:tc>
          <w:tcPr>
            <w:tcW w:w="20" w:type="dxa"/>
            <w:vAlign w:val="bottom"/>
          </w:tcPr>
          <w:p>
            <w:pPr>
              <w:spacing w:after="0"/>
              <w:rPr>
                <w:sz w:val="13"/>
                <w:szCs w:val="13"/>
                <w:color w:val="auto"/>
              </w:rPr>
            </w:pPr>
          </w:p>
        </w:tc>
        <w:tc>
          <w:tcPr>
            <w:tcW w:w="2680" w:type="dxa"/>
            <w:vAlign w:val="bottom"/>
            <w:gridSpan w:val="4"/>
          </w:tcPr>
          <w:p>
            <w:pPr>
              <w:spacing w:after="0" w:line="155" w:lineRule="exact"/>
              <w:rPr>
                <w:sz w:val="20"/>
                <w:szCs w:val="20"/>
                <w:color w:val="auto"/>
              </w:rPr>
            </w:pPr>
            <w:r>
              <w:rPr>
                <w:rFonts w:ascii="Arial" w:cs="Arial" w:eastAsia="Arial" w:hAnsi="Arial"/>
                <w:sz w:val="16"/>
                <w:szCs w:val="16"/>
                <w:color w:val="auto"/>
              </w:rPr>
              <w:t>Other</w:t>
            </w: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291</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778</w:t>
            </w: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ind w:left="640"/>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1,325</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0"/>
              </w:rPr>
              <w:t>Six Months Ended June 30, 2021</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26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Siding</w:t>
            </w:r>
          </w:p>
        </w:tc>
        <w:tc>
          <w:tcPr>
            <w:tcW w:w="24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6"/>
                <w:szCs w:val="16"/>
                <w:b w:val="1"/>
                <w:bCs w:val="1"/>
                <w:color w:val="auto"/>
              </w:rPr>
              <w:t>OSB</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EWP</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South America</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Inter-segment</w:t>
            </w:r>
          </w:p>
        </w:tc>
        <w:tc>
          <w:tcPr>
            <w:tcW w:w="24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6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570</w:t>
            </w:r>
          </w:p>
        </w:tc>
        <w:tc>
          <w:tcPr>
            <w:tcW w:w="16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3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I-Joist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LVL</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LSL</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r>
      <w:tr>
        <w:trPr>
          <w:trHeight w:val="175"/>
        </w:trPr>
        <w:tc>
          <w:tcPr>
            <w:tcW w:w="20" w:type="dxa"/>
            <w:vAlign w:val="bottom"/>
          </w:tcPr>
          <w:p>
            <w:pPr>
              <w:spacing w:after="0"/>
              <w:rPr>
                <w:sz w:val="15"/>
                <w:szCs w:val="15"/>
                <w:color w:val="auto"/>
              </w:rPr>
            </w:pPr>
          </w:p>
        </w:tc>
        <w:tc>
          <w:tcPr>
            <w:tcW w:w="2680" w:type="dxa"/>
            <w:vAlign w:val="bottom"/>
            <w:gridSpan w:val="4"/>
          </w:tcPr>
          <w:p>
            <w:pPr>
              <w:spacing w:after="0" w:line="175" w:lineRule="exact"/>
              <w:rPr>
                <w:sz w:val="20"/>
                <w:szCs w:val="20"/>
                <w:color w:val="auto"/>
              </w:rPr>
            </w:pPr>
            <w:r>
              <w:rPr>
                <w:rFonts w:ascii="Arial" w:cs="Arial" w:eastAsia="Arial" w:hAnsi="Arial"/>
                <w:sz w:val="16"/>
                <w:szCs w:val="16"/>
                <w:color w:val="auto"/>
              </w:rPr>
              <w:t>Commodity</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commodity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Plywood</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r>
      <w:tr>
        <w:trPr>
          <w:trHeight w:val="155"/>
        </w:trPr>
        <w:tc>
          <w:tcPr>
            <w:tcW w:w="20" w:type="dxa"/>
            <w:vAlign w:val="bottom"/>
          </w:tcPr>
          <w:p>
            <w:pPr>
              <w:spacing w:after="0"/>
              <w:rPr>
                <w:sz w:val="13"/>
                <w:szCs w:val="13"/>
                <w:color w:val="auto"/>
              </w:rPr>
            </w:pPr>
          </w:p>
        </w:tc>
        <w:tc>
          <w:tcPr>
            <w:tcW w:w="2680" w:type="dxa"/>
            <w:vAlign w:val="bottom"/>
            <w:gridSpan w:val="4"/>
          </w:tcPr>
          <w:p>
            <w:pPr>
              <w:spacing w:after="0" w:line="155" w:lineRule="exact"/>
              <w:rPr>
                <w:sz w:val="20"/>
                <w:szCs w:val="20"/>
                <w:color w:val="auto"/>
              </w:rPr>
            </w:pPr>
            <w:r>
              <w:rPr>
                <w:rFonts w:ascii="Arial" w:cs="Arial" w:eastAsia="Arial" w:hAnsi="Arial"/>
                <w:sz w:val="16"/>
                <w:szCs w:val="16"/>
                <w:color w:val="auto"/>
              </w:rPr>
              <w:t>Other</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1,317</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4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Three Months Ended June 30, 2020</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26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Siding</w:t>
            </w:r>
          </w:p>
        </w:tc>
        <w:tc>
          <w:tcPr>
            <w:tcW w:w="24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6"/>
                <w:szCs w:val="16"/>
                <w:b w:val="1"/>
                <w:bCs w:val="1"/>
                <w:color w:val="auto"/>
              </w:rPr>
              <w:t>OSB</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EWP</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South America</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12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Inter-segment</w:t>
            </w:r>
          </w:p>
        </w:tc>
        <w:tc>
          <w:tcPr>
            <w:tcW w:w="24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59"/>
        </w:trPr>
        <w:tc>
          <w:tcPr>
            <w:tcW w:w="20" w:type="dxa"/>
            <w:vAlign w:val="bottom"/>
            <w:tcBorders>
              <w:top w:val="single" w:sz="8" w:color="CCEEFF"/>
            </w:tcBorders>
            <w:shd w:val="clear" w:color="auto" w:fill="CCEEFF"/>
          </w:tcPr>
          <w:p>
            <w:pPr>
              <w:spacing w:after="0"/>
              <w:rPr>
                <w:sz w:val="13"/>
                <w:szCs w:val="13"/>
                <w:color w:val="auto"/>
              </w:rPr>
            </w:pPr>
          </w:p>
        </w:tc>
        <w:tc>
          <w:tcPr>
            <w:tcW w:w="26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207</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I-Joist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LVL</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LSL</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r>
      <w:tr>
        <w:trPr>
          <w:trHeight w:val="175"/>
        </w:trPr>
        <w:tc>
          <w:tcPr>
            <w:tcW w:w="20" w:type="dxa"/>
            <w:vAlign w:val="bottom"/>
          </w:tcPr>
          <w:p>
            <w:pPr>
              <w:spacing w:after="0"/>
              <w:rPr>
                <w:sz w:val="15"/>
                <w:szCs w:val="15"/>
                <w:color w:val="auto"/>
              </w:rPr>
            </w:pPr>
          </w:p>
        </w:tc>
        <w:tc>
          <w:tcPr>
            <w:tcW w:w="2680" w:type="dxa"/>
            <w:vAlign w:val="bottom"/>
            <w:gridSpan w:val="4"/>
          </w:tcPr>
          <w:p>
            <w:pPr>
              <w:spacing w:after="0" w:line="175" w:lineRule="exact"/>
              <w:rPr>
                <w:sz w:val="20"/>
                <w:szCs w:val="20"/>
                <w:color w:val="auto"/>
              </w:rPr>
            </w:pPr>
            <w:r>
              <w:rPr>
                <w:rFonts w:ascii="Arial" w:cs="Arial" w:eastAsia="Arial" w:hAnsi="Arial"/>
                <w:sz w:val="16"/>
                <w:szCs w:val="16"/>
                <w:color w:val="auto"/>
              </w:rPr>
              <w:t>Commodity</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commodity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Plywood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5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89"/>
              </w:rPr>
              <w:t>Other</w:t>
            </w:r>
          </w:p>
        </w:tc>
        <w:tc>
          <w:tcPr>
            <w:tcW w:w="230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CanExel siding</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220</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204</w:t>
            </w: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0"/>
              </w:rPr>
              <w:t>Six Months Ended June 30, 2020</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26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Siding</w:t>
            </w:r>
          </w:p>
        </w:tc>
        <w:tc>
          <w:tcPr>
            <w:tcW w:w="24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6"/>
                <w:szCs w:val="16"/>
                <w:b w:val="1"/>
                <w:bCs w:val="1"/>
                <w:color w:val="auto"/>
              </w:rPr>
              <w:t>OSB</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EWP</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South America</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12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Inter-segment</w:t>
            </w:r>
          </w:p>
        </w:tc>
        <w:tc>
          <w:tcPr>
            <w:tcW w:w="24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59"/>
        </w:trPr>
        <w:tc>
          <w:tcPr>
            <w:tcW w:w="20" w:type="dxa"/>
            <w:vAlign w:val="bottom"/>
            <w:tcBorders>
              <w:top w:val="single" w:sz="8" w:color="CCEEFF"/>
            </w:tcBorders>
            <w:shd w:val="clear" w:color="auto" w:fill="CCEEFF"/>
          </w:tcPr>
          <w:p>
            <w:pPr>
              <w:spacing w:after="0"/>
              <w:rPr>
                <w:sz w:val="13"/>
                <w:szCs w:val="13"/>
                <w:color w:val="auto"/>
              </w:rPr>
            </w:pPr>
          </w:p>
        </w:tc>
        <w:tc>
          <w:tcPr>
            <w:tcW w:w="26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398</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3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I-Joist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LVL</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LSL</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r>
      <w:tr>
        <w:trPr>
          <w:trHeight w:val="175"/>
        </w:trPr>
        <w:tc>
          <w:tcPr>
            <w:tcW w:w="20" w:type="dxa"/>
            <w:vAlign w:val="bottom"/>
          </w:tcPr>
          <w:p>
            <w:pPr>
              <w:spacing w:after="0"/>
              <w:rPr>
                <w:sz w:val="15"/>
                <w:szCs w:val="15"/>
                <w:color w:val="auto"/>
              </w:rPr>
            </w:pPr>
          </w:p>
        </w:tc>
        <w:tc>
          <w:tcPr>
            <w:tcW w:w="2680" w:type="dxa"/>
            <w:vAlign w:val="bottom"/>
            <w:gridSpan w:val="4"/>
          </w:tcPr>
          <w:p>
            <w:pPr>
              <w:spacing w:after="0" w:line="175" w:lineRule="exact"/>
              <w:rPr>
                <w:sz w:val="20"/>
                <w:szCs w:val="20"/>
                <w:color w:val="auto"/>
              </w:rPr>
            </w:pPr>
            <w:r>
              <w:rPr>
                <w:rFonts w:ascii="Arial" w:cs="Arial" w:eastAsia="Arial" w:hAnsi="Arial"/>
                <w:sz w:val="16"/>
                <w:szCs w:val="16"/>
                <w:color w:val="auto"/>
              </w:rPr>
              <w:t>Commodity</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commodity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Plywood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5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89"/>
              </w:rPr>
              <w:t>Other</w:t>
            </w:r>
          </w:p>
        </w:tc>
        <w:tc>
          <w:tcPr>
            <w:tcW w:w="230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CanExel siding</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432</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424</w:t>
            </w: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178</w:t>
            </w:r>
          </w:p>
        </w:tc>
        <w:tc>
          <w:tcPr>
            <w:tcW w:w="14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ind w:left="640"/>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Revenue is recognized when obligations under the terms of a contract (i.e.,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businesses routinely incur customer program costs to obtain favorable product placement, to promote sales of products, and to maintain competitive pricing. Customer program costs and incentives, including rebates and promotion and volume allowances, are accounted for as deductions from net sales at the time the program is initiated. These reductions from revenue are recorded at the time of sale or the implementation of the program based on management’s best estimates. Estimates are based on historical and projected experience for each type of program or customer. Volume allowances are accrued based on management’s estimates of customer volume achievement and other factors incorporated into customer agreements, such as new product purchases, store sell-through, and merchandising support. Management adjusts accruals when circumstances indicate (typically as a result of a change in volume expectations).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earnings per share is based upon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(SSARs), restricted stock units, and performance stock units) be excluded from the calculation of diluted earnings per share for the periods in which losses are reported because the effect is anti-dilutive.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9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19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attributed to LP</w:t>
            </w: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4940" w:type="dxa"/>
            <w:vAlign w:val="bottom"/>
          </w:tcPr>
          <w:p>
            <w:pPr>
              <w:ind w:left="140"/>
              <w:spacing w:after="0"/>
              <w:rPr>
                <w:sz w:val="20"/>
                <w:szCs w:val="20"/>
                <w:color w:val="auto"/>
              </w:rPr>
            </w:pPr>
            <w:r>
              <w:rPr>
                <w:rFonts w:ascii="Arial" w:cs="Arial" w:eastAsia="Arial" w:hAnsi="Arial"/>
                <w:sz w:val="16"/>
                <w:szCs w:val="16"/>
                <w:color w:val="auto"/>
              </w:rPr>
              <w:t>Weighted average common shares outstanding - basic</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Dilutive effect of employee stock plans</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4940" w:type="dxa"/>
            <w:vAlign w:val="bottom"/>
          </w:tcPr>
          <w:p>
            <w:pPr>
              <w:ind w:left="20"/>
              <w:spacing w:after="0"/>
              <w:rPr>
                <w:sz w:val="20"/>
                <w:szCs w:val="20"/>
                <w:color w:val="auto"/>
              </w:rPr>
            </w:pPr>
            <w:r>
              <w:rPr>
                <w:rFonts w:ascii="Arial" w:cs="Arial" w:eastAsia="Arial" w:hAnsi="Arial"/>
                <w:sz w:val="16"/>
                <w:szCs w:val="16"/>
                <w:color w:val="auto"/>
              </w:rPr>
              <w:t>Shares used for diluted earnings per share</w:t>
            </w: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6"/>
                <w:szCs w:val="16"/>
                <w:color w:val="auto"/>
              </w:rPr>
              <w:t>Basic earnings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2"/>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earnings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Trading securities consist of rabbi trust financial assets, which are recorded in Other assets in our Condensed Consolidated Balance Sheets. The assets of the rabbi trust are invested in mutual funds and are reported at fair value based on active market quotations, which represent Level 1 inputs. The assets of the rabbi trust were $6 million and $5 million at June 30, 2021, and December 31, 2020, respectively.</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estimated our 3.625% Senior Notes due in 2029 (2029 Senior Notes) to have a fair value of $352 million as of June 30, 2021, based upon market quotations. Our 2029 Senior Notes and other long-term debt are categorized as Level 1 in the U.S. GAAP fair value hierarchy. Fair values are based on trading activity among the Company’s lenders and the average bid and ask price as determined using published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amounts borrowed under our Amended Credit Facility as of June 30, 2021.</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and six months ended June 30, 2020, we sold our auction rate securities (ARS) and recognized a $3 million gain on available for sale securities, which is included in Investment income in the Condensed Consolidated Statements of Income.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Carrying amounts reported on the balance sheet for cash and cash equivalents, accounts receivables, and accounts payable approximate fair value due to the short-term maturity of these items.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June 30, 2021</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December 31, 2020</w:t>
            </w:r>
          </w:p>
        </w:tc>
      </w:tr>
      <w:tr>
        <w:trPr>
          <w:trHeight w:val="21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receivables</w:t>
            </w:r>
          </w:p>
        </w:tc>
        <w:tc>
          <w:tcPr>
            <w:tcW w:w="16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Income tax receivable</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doubtful accounts</w:t>
            </w:r>
          </w:p>
        </w:tc>
        <w:tc>
          <w:tcPr>
            <w:tcW w:w="1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Trade receivables are primarily generated by sales of our products to our wholesale and retail customers. Other receivables, as of June 30, 2021, and December 31, 2020, primarily consist of sales tax receivables, vendor rebates, a receivable associated with an affiliate, and other miscellaneous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 w:name="page16"/>
    <w:bookmarkEnd w:id="15"/>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valued at the lower of cost or net realizable value. Inventory cost includes materials, labor, and operating overhead. The major types of inventories are as follows (work in process is not material and is included in Semi-finished inventory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June 30, 2021</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December 31, 2020</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Logs</w:t>
            </w:r>
          </w:p>
        </w:tc>
        <w:tc>
          <w:tcPr>
            <w:tcW w:w="16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Other raw materials</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Semi-finished inventory</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products</w:t>
            </w:r>
          </w:p>
        </w:tc>
        <w:tc>
          <w:tcPr>
            <w:tcW w:w="1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Goodwill and indefinite-lived intangible assets are not amortized and are subject to assessment for impairment by applying a fair value based test on an annual basis or more frequently, if circumstances indicate a potential impairment. The Company’s annual assessment date is October 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other intangible assets as of June 30, 2021, are provided in the following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Timber licenses</w:t>
            </w:r>
            <w:r>
              <w:rPr>
                <w:rFonts w:ascii="Arial" w:cs="Arial" w:eastAsia="Arial" w:hAnsi="Arial"/>
                <w:sz w:val="21"/>
                <w:szCs w:val="21"/>
                <w:b w:val="1"/>
                <w:bCs w:val="1"/>
                <w:color w:val="auto"/>
                <w:w w:val="93"/>
                <w:vertAlign w:val="superscript"/>
              </w:rPr>
              <w:t>1</w:t>
            </w:r>
          </w:p>
        </w:tc>
        <w:tc>
          <w:tcPr>
            <w:tcW w:w="220" w:type="dxa"/>
            <w:vAlign w:val="bottom"/>
          </w:tcPr>
          <w:p>
            <w:pPr>
              <w:spacing w:after="0"/>
              <w:rPr>
                <w:sz w:val="16"/>
                <w:szCs w:val="16"/>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Developed</w:t>
            </w:r>
          </w:p>
        </w:tc>
        <w:tc>
          <w:tcPr>
            <w:tcW w:w="200" w:type="dxa"/>
            <w:vAlign w:val="bottom"/>
          </w:tcPr>
          <w:p>
            <w:pPr>
              <w:spacing w:after="0"/>
              <w:rPr>
                <w:sz w:val="16"/>
                <w:szCs w:val="16"/>
                <w:color w:val="auto"/>
              </w:rPr>
            </w:pPr>
          </w:p>
        </w:tc>
        <w:tc>
          <w:tcPr>
            <w:tcW w:w="12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Trademarks</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6"/>
              </w:rPr>
              <w:t>Technology</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December 31, 2020</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June 30, 2021</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Timber licenses are included in Timber and timberlands on the Condensed Consolidated Balance Sheets.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NONCONTROLLING INTEREST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Redeemable noncontrolling interest is interest in subsidiaries that is redeemable outside of our control either for cash or other assets. These interests are classified as mezzanine equity and measured at the greater of estimated redemption value or carrying value at the end of each reporting period. Net loss attributed to noncontrolling interest is recorded in the Condensed Consolidated Statements of Income. Any adjustments to the redemption value of redeemable noncontrolling interest are recognized in either net income or through accumulated paid-in capital, depending on the nature of the underlying security (preferred or common units).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redeemable noncontrolling interest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December 31, 2020</w:t>
            </w:r>
          </w:p>
        </w:tc>
        <w:tc>
          <w:tcPr>
            <w:tcW w:w="14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1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June 30, 2021</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debt: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6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June 30, 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Senior Notes</w:t>
            </w:r>
          </w:p>
        </w:tc>
        <w:tc>
          <w:tcPr>
            <w:tcW w:w="1760" w:type="dxa"/>
            <w:vAlign w:val="bottom"/>
            <w:shd w:val="clear" w:color="auto" w:fill="CCEEFF"/>
          </w:tcPr>
          <w:p>
            <w:pPr>
              <w:jc w:val="right"/>
              <w:ind w:right="15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2024 Senior Notes</w:t>
            </w:r>
          </w:p>
        </w:tc>
        <w:tc>
          <w:tcPr>
            <w:tcW w:w="17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Amended Credit Facility</w:t>
            </w:r>
          </w:p>
        </w:tc>
        <w:tc>
          <w:tcPr>
            <w:tcW w:w="17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Financing leases</w:t>
            </w:r>
          </w:p>
        </w:tc>
        <w:tc>
          <w:tcPr>
            <w:tcW w:w="17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costs</w:t>
            </w:r>
          </w:p>
        </w:tc>
        <w:tc>
          <w:tcPr>
            <w:tcW w:w="1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6600" w:type="dxa"/>
            <w:vAlign w:val="bottom"/>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19"/>
        </w:trPr>
        <w:tc>
          <w:tcPr>
            <w:tcW w:w="6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Less: current portion</w:t>
            </w:r>
          </w:p>
        </w:tc>
        <w:tc>
          <w:tcPr>
            <w:tcW w:w="17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00" w:type="dxa"/>
            <w:vAlign w:val="bottom"/>
          </w:tcPr>
          <w:p>
            <w:pPr>
              <w:ind w:left="660"/>
              <w:spacing w:after="0"/>
              <w:rPr>
                <w:sz w:val="20"/>
                <w:szCs w:val="20"/>
                <w:color w:val="auto"/>
              </w:rPr>
            </w:pPr>
            <w:r>
              <w:rPr>
                <w:rFonts w:ascii="Arial" w:cs="Arial" w:eastAsia="Arial" w:hAnsi="Arial"/>
                <w:sz w:val="16"/>
                <w:szCs w:val="16"/>
                <w:color w:val="auto"/>
              </w:rPr>
              <w:t>Long-term portion</w:t>
            </w:r>
          </w:p>
        </w:tc>
        <w:tc>
          <w:tcPr>
            <w:tcW w:w="1760" w:type="dxa"/>
            <w:vAlign w:val="bottom"/>
            <w:tcBorders>
              <w:top w:val="single" w:sz="8" w:color="auto"/>
              <w:bottom w:val="single" w:sz="8" w:color="auto"/>
            </w:tcBorders>
          </w:tcPr>
          <w:p>
            <w:pPr>
              <w:jc w:val="right"/>
              <w:ind w:right="157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w:t>
            </w:r>
          </w:p>
        </w:tc>
      </w:tr>
      <w:tr>
        <w:trPr>
          <w:trHeight w:val="23"/>
        </w:trPr>
        <w:tc>
          <w:tcPr>
            <w:tcW w:w="66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March 2021, we issued $350 million of the 2029 Senior Notes. We may redeem the 2029 Senior Notes, in whole or in part, prior to March 15, 2024, at a redemption price equal to 100% of the principal amount thereof plus a “make-whole” premium set forth in the indenture governing our 2029 Senior Notes, plus accrued and unpaid interest, if any, to, but not including, the date of redemption. On or after March 15, 2024, we may, at our option on one or more occasions, redeem all or any portion of these notes at the redemption prices set forth in the indenture governing the 2029 Senior Notes, plus accrued and unpaid interest, if any, to, but not including, the date of redemption. The indenture governing the 2029 Senior Notes contains certain covenants that, among other things, limit our ability to grant liens to secure indebtedness, engage in sale and leaseback transactions and merge or consolidate or sell all or substantially all of our assets. If we are subject to a "change of control," as defined in the indenture, we are required to offer to repurchase the 2029 Senior Notes at a purchase price equal to 101% of the principal amount thereof plus accrued and unpaid interest, if any, thereon to, but not including, the date of purchase. The indenture governing the 2029 Senior Notes contains customary events of default, including failure to make required payments on the 2029 Senior Notes, failure to comply with certain agreements or covenants contained in the indenture, failure to pay or acceleration of certain other indebtedness and certain events of bankruptcy and insolvency. An event of default in the indenture allows either the indenture trustee or the holders of at least 25% in aggregate principal amount of the then-outstanding 2029 Senior Notes to accelerate, or in certain cases, automatically causes the acceleration of, the amounts due under the 2029 Senior Notes.</w:t>
      </w:r>
    </w:p>
    <w:p>
      <w:pPr>
        <w:spacing w:after="0" w:line="2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September 2016, LP issued $350 million aggregate principal amount Senior Notes due 2024 (2024 Senior Notes). In February 2021, LP delivered to holders of the 2024 Senior Notes a conditional notice of redemption to redeem on March 27, 2021 all of the 2024 Senior Notes outstanding at a redemption price of 102.438% of the principal amount thereof plus accrued and unpaid interest to, but not including, the redemption date. The redemption notice became irrevocable on March 11, 2021, and the 2024 Senior Notes were fully redeemed on March 27, 2021. In connection with this redemption, LP recorded an early debt extinguishment charge of $11 million, recorded within Other non-operating items on the Condensed Consolidated Statements of Income, which included $9 million of redemption premium and $2 million of unamortized debt costs associated with these notes.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debt costs are amortized over the life of the related debt using a straight-line basis which approximates the effective interest method. If the debt is retired early, the related unamortized deferred financing costs are written off in the period the debt is retired to Other non-operating items. During the six months ended June 30, 2021, $2 million of deferred debt costs were written off in association with the 2024 Senior Notes extinguishment, and we paid $4 million in debt issuance costs that will be deferred and amortized over the life of the 2029 Senior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3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June 2021, we entered into a third amendment (Third Amendment) to our revolving credit facility, dated as of June 27, 2019 (Credit Facility), with American AgCredit, PCA, as administrative agent and CoBank, ACB, as letter of credit issuer, (as amended, the Amended Credit Facility). The Amended Credit Facility provides a revolving credit facility in the principal amount of up to $550 million, with a $60 million sub-limit for letters of credit.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revolving facility, pursuant to the Amended Credit Facility, terminates, and all loans made thereunder become due in June 2027. LP has granted a security interest in substantially all of its personal property to secure the Amended Credit Facility, and certain of LP’s existing and future wholly-owned domestic subsidiaries may guaranty our obligations under the Amended Credit Facility and, subject to certain limited exceptions, provide security through a security interest in substantially all the personal property of these subsidiaries. The Amended Credit Facility provides a release of security interest after obtaining an Investment Grade rating from any one of the Moody's, S&amp;P, or Fitch. There are no outstanding amounts borrowed under the Amended Credit Facility as of June 30, 2021.</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Revolving borrowings under the Amended Credit Facility accrue interest, at our option, at either (a) a “base rate” plus a margin of 0.500% to 1.500% or (b) LIBOR plus a margin of 1.500% to 2.500%. The Amended Credit Facility also includes an unused commitment fee, due quarterly, ranging from 0.200% to 0.425%. The applicable margins and fees within these ranges are based on our ratio of consolidated EBITDA to cash interest charges. The “base rate” is the highest of (i) the Federal funds rate plus 0.5%, (ii) the U.S. prime rate, and (iii) one-month LIBOR plus 1.0%.</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Amended Credit Facility contains various restrictive covenants and customary events of default, the occurrence of which could result in the acceleration of our obligation to repay the indebtedness outstanding thereunder. The Amended Credit Facility also contains financial covenants that require us and our consolidated subsidiaries to have, as of the end of each quarter, (i) a capitalization ratio (i.e., funded debt less unrestricted cash to total capitalization) of no more than 57.5% and (ii) a minimum consolidated net worth of at least $475 million plus 70% of consolidated net income after December 31, 2019, without a deduction for net losses.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LP entered into a letter of credit facility agreement (Letter of Credit Facility) with Bank of America, N.A., which provides for the funding of letters of credit up to an aggregate outstanding amount of $20 million, which may be secured by certain cash collateral of LP. The Letter of Credit Facility includes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Amended Credit Facility, including capitalization ratio and minimum net worth covenants. As of June 30, 2021, we secured $13 million of outstanding letters of credit with cash collateral, included in Restricted cash in our Condensed Consolidated Balance Sheets.</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Deferred debt costs are amortized over the life of the related debt using a straight-line basis, which approximates the effective interest method. Included in such amortized amounts are deferred debt costs associated with our Amended Credit Facility, which are recorded within Other assets on our Condensed Consolidated Balance Sheets. During the three months ended June 30, 2021, we paid $2 million in debt issuance costs in connection with the Third Amendment that was deferred and will be amortized over the life of the Amended Credit Facility.</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we were in compliance with all financial covenants under the Amended Credit Facility (as well as the Letter of Credit Facility by such compliance).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in the current quarter. Changes in profitability estimates in various jurisdictions will impact our quarterly effective income tax rates.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 provision for income taxes for the six months ended June 30, 2021 and 2020, reflected an estimated annual tax rate of 24% and 26%, respectively, excluding discrete items discussed below. The total effective tax rate for the three and six months ended June 30, 2021, was 23%, compared to 37% and 30% for the comparable periods in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We recognized a net discrete tax benefit of $9 million during the six months ended June 30, 2021, primarily related to stock-based compensation and adjustments to prior year, including an adjustment to the deferred tax rate. We recognized a net discrete tax expense of $4 million during the six months ended June 30, 2020, primarily related to the surrender of a corporate-owned life insurance contract and a sales of ARS, offset by a benefit related to stock-based compensation.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maintain reserves for various contingent liabilities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 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Environmental reserves</w:t>
            </w:r>
          </w:p>
        </w:tc>
        <w:tc>
          <w:tcPr>
            <w:tcW w:w="1800" w:type="dxa"/>
            <w:vAlign w:val="bottom"/>
            <w:shd w:val="clear" w:color="auto" w:fill="CCEEFF"/>
          </w:tcPr>
          <w:p>
            <w:pPr>
              <w:jc w:val="right"/>
              <w:ind w:right="16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14</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Other reserves</w:t>
            </w:r>
          </w:p>
        </w:tc>
        <w:tc>
          <w:tcPr>
            <w:tcW w:w="180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980" w:type="dxa"/>
            <w:vAlign w:val="bottom"/>
          </w:tcPr>
          <w:p>
            <w:pPr>
              <w:ind w:left="1740"/>
              <w:spacing w:after="0"/>
              <w:rPr>
                <w:sz w:val="20"/>
                <w:szCs w:val="20"/>
                <w:color w:val="auto"/>
              </w:rPr>
            </w:pPr>
            <w:r>
              <w:rPr>
                <w:rFonts w:ascii="Arial" w:cs="Arial" w:eastAsia="Arial" w:hAnsi="Arial"/>
                <w:sz w:val="16"/>
                <w:szCs w:val="16"/>
                <w:color w:val="auto"/>
              </w:rPr>
              <w:t>—</w:t>
            </w:r>
          </w:p>
        </w:tc>
      </w:tr>
      <w:tr>
        <w:trPr>
          <w:trHeight w:val="212"/>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contingencies</w:t>
            </w:r>
          </w:p>
        </w:tc>
        <w:tc>
          <w:tcPr>
            <w:tcW w:w="1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6"/>
                <w:szCs w:val="16"/>
                <w:color w:val="auto"/>
              </w:rPr>
              <w:t>14</w:t>
            </w:r>
          </w:p>
        </w:tc>
      </w:tr>
      <w:tr>
        <w:trPr>
          <w:trHeight w:val="213"/>
        </w:trPr>
        <w:tc>
          <w:tcPr>
            <w:tcW w:w="6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Current portion (included in Accrued liabilities)</w:t>
            </w:r>
          </w:p>
        </w:tc>
        <w:tc>
          <w:tcPr>
            <w:tcW w:w="1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760"/>
              <w:spacing w:after="0"/>
              <w:rPr>
                <w:sz w:val="20"/>
                <w:szCs w:val="20"/>
                <w:color w:val="auto"/>
              </w:rPr>
            </w:pPr>
            <w:r>
              <w:rPr>
                <w:rFonts w:ascii="Arial" w:cs="Arial" w:eastAsia="Arial" w:hAnsi="Arial"/>
                <w:sz w:val="16"/>
                <w:szCs w:val="16"/>
                <w:color w:val="auto"/>
              </w:rPr>
              <w:t>(1)</w:t>
            </w:r>
          </w:p>
        </w:tc>
      </w:tr>
      <w:tr>
        <w:trPr>
          <w:trHeight w:val="234"/>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Long-term portion (included in Other long-term liabilities)</w:t>
            </w:r>
          </w:p>
        </w:tc>
        <w:tc>
          <w:tcPr>
            <w:tcW w:w="1800" w:type="dxa"/>
            <w:vAlign w:val="bottom"/>
            <w:tcBorders>
              <w:bottom w:val="single" w:sz="8" w:color="auto"/>
            </w:tcBorders>
            <w:shd w:val="clear" w:color="auto" w:fill="CCEEFF"/>
          </w:tcPr>
          <w:p>
            <w:pPr>
              <w:jc w:val="right"/>
              <w:ind w:right="16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6"/>
                <w:szCs w:val="16"/>
                <w:color w:val="auto"/>
              </w:rPr>
              <w:t>13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 However, no estimate of the range of any such change can be made at this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Proceedings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From time to time, we and our subsidiaries are parties to certain legal proceedings. Based on the information currently available, management believes the resolution of such proceedings will not have a material adverse effect on our financial position, results of operations, cash flows, or liquidity.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IMPAIRMENT OF LONG-LIVED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8"/>
          <w:szCs w:val="18"/>
          <w:color w:val="auto"/>
        </w:rPr>
        <w:t>We review the carrying values of our long-lived assets for potential impairments and believe we have adequate support for the carrying value of our long-lived assets. If demand and pricing for our products fall to levels significantly below cycle average demand and pricing, or should we decide to invest capital in alternative projects, or should changes occur related to our wood supply for our mills, it is possible that future impairment charges will be required. As of June 30, 2021, there were no indications of impairment.</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2020, we recorded $4 million and $9 million, respectively, in pre-tax impairment charges primarily related to our fiber producing assets at a Siding facility.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PRODUCT WARRANTIES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and six months ended June 30, 2021, and 2020, is summarized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959"/>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959"/>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Accrued to expense</w:t>
            </w:r>
          </w:p>
        </w:tc>
        <w:tc>
          <w:tcPr>
            <w:tcW w:w="11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center"/>
              <w:ind w:left="959"/>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ind w:left="95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made</w:t>
            </w:r>
          </w:p>
        </w:tc>
        <w:tc>
          <w:tcPr>
            <w:tcW w:w="1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4480" w:type="dxa"/>
            <w:vAlign w:val="bottom"/>
          </w:tcPr>
          <w:p>
            <w:pPr>
              <w:ind w:left="20"/>
              <w:spacing w:after="0"/>
              <w:rPr>
                <w:sz w:val="20"/>
                <w:szCs w:val="20"/>
                <w:color w:val="auto"/>
              </w:rPr>
            </w:pPr>
            <w:r>
              <w:rPr>
                <w:rFonts w:ascii="Arial" w:cs="Arial" w:eastAsia="Arial" w:hAnsi="Arial"/>
                <w:sz w:val="16"/>
                <w:szCs w:val="16"/>
                <w:color w:val="auto"/>
              </w:rPr>
              <w:t>Total warranty reserves</w:t>
            </w:r>
          </w:p>
        </w:tc>
        <w:tc>
          <w:tcPr>
            <w:tcW w:w="1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left="959"/>
              <w:spacing w:after="0"/>
              <w:rPr>
                <w:sz w:val="20"/>
                <w:szCs w:val="20"/>
                <w:color w:val="auto"/>
              </w:rPr>
            </w:pPr>
            <w:r>
              <w:rPr>
                <w:rFonts w:ascii="Arial" w:cs="Arial" w:eastAsia="Arial" w:hAnsi="Arial"/>
                <w:sz w:val="16"/>
                <w:szCs w:val="16"/>
                <w:color w:val="auto"/>
                <w:w w:val="89"/>
              </w:rPr>
              <w:t>8</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left="959"/>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169"/>
        </w:trPr>
        <w:tc>
          <w:tcPr>
            <w:tcW w:w="44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2"/>
              </w:rPr>
              <w:t>Current portion of warranty reserves (included in Other current</w:t>
            </w:r>
          </w:p>
        </w:tc>
        <w:tc>
          <w:tcPr>
            <w:tcW w:w="116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ind w:left="9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ind w:left="9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liabilities)</w:t>
            </w:r>
          </w:p>
        </w:tc>
        <w:tc>
          <w:tcPr>
            <w:tcW w:w="1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360"/>
              <w:spacing w:after="0" w:line="146" w:lineRule="exact"/>
              <w:rPr>
                <w:sz w:val="20"/>
                <w:szCs w:val="20"/>
                <w:color w:val="auto"/>
              </w:rPr>
            </w:pPr>
            <w:r>
              <w:rPr>
                <w:rFonts w:ascii="Arial" w:cs="Arial" w:eastAsia="Arial" w:hAnsi="Arial"/>
                <w:sz w:val="16"/>
                <w:szCs w:val="16"/>
                <w:color w:val="auto"/>
              </w:rPr>
              <w:t>Long-term portion of warranty reserves (included in Other</w:t>
            </w:r>
          </w:p>
        </w:tc>
        <w:tc>
          <w:tcPr>
            <w:tcW w:w="1160" w:type="dxa"/>
            <w:vAlign w:val="bottom"/>
            <w:vMerge w:val="restart"/>
          </w:tcPr>
          <w:p>
            <w:pPr>
              <w:jc w:val="right"/>
              <w:ind w:right="979"/>
              <w:spacing w:after="0"/>
              <w:rPr>
                <w:sz w:val="20"/>
                <w:szCs w:val="20"/>
                <w:color w:val="auto"/>
              </w:rPr>
            </w:pPr>
            <w:r>
              <w:rPr>
                <w:rFonts w:ascii="Arial" w:cs="Arial" w:eastAsia="Arial" w:hAnsi="Arial"/>
                <w:sz w:val="16"/>
                <w:szCs w:val="16"/>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2"/>
                <w:szCs w:val="12"/>
                <w:color w:val="auto"/>
              </w:rPr>
            </w:pPr>
          </w:p>
        </w:tc>
        <w:tc>
          <w:tcPr>
            <w:tcW w:w="1180" w:type="dxa"/>
            <w:vAlign w:val="bottom"/>
            <w:vMerge w:val="restart"/>
          </w:tcPr>
          <w:p>
            <w:pPr>
              <w:jc w:val="right"/>
              <w:ind w:right="999"/>
              <w:spacing w:after="0"/>
              <w:rPr>
                <w:sz w:val="20"/>
                <w:szCs w:val="20"/>
                <w:color w:val="auto"/>
              </w:rPr>
            </w:pPr>
            <w:r>
              <w:rPr>
                <w:rFonts w:ascii="Arial" w:cs="Arial" w:eastAsia="Arial" w:hAnsi="Arial"/>
                <w:sz w:val="16"/>
                <w:szCs w:val="16"/>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2"/>
                <w:szCs w:val="12"/>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center"/>
              <w:ind w:left="959"/>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2"/>
                <w:szCs w:val="12"/>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center"/>
              <w:ind w:left="959"/>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190"/>
        </w:trPr>
        <w:tc>
          <w:tcPr>
            <w:tcW w:w="4480" w:type="dxa"/>
            <w:vAlign w:val="bottom"/>
          </w:tcPr>
          <w:p>
            <w:pPr>
              <w:ind w:left="360"/>
              <w:spacing w:after="0"/>
              <w:rPr>
                <w:sz w:val="20"/>
                <w:szCs w:val="20"/>
                <w:color w:val="auto"/>
              </w:rPr>
            </w:pPr>
            <w:r>
              <w:rPr>
                <w:rFonts w:ascii="Arial" w:cs="Arial" w:eastAsia="Arial" w:hAnsi="Arial"/>
                <w:sz w:val="16"/>
                <w:szCs w:val="16"/>
                <w:color w:val="auto"/>
              </w:rPr>
              <w:t>long-term liabilities)</w:t>
            </w:r>
          </w:p>
        </w:tc>
        <w:tc>
          <w:tcPr>
            <w:tcW w:w="11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continue to monitor warranty and other claims associated with these products and believe as of June 30, 2021, that the warranty reserve balances associated with these matters are adequate to cover future warranty payments. However, it is possible that additional changes may be required in the future.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DEFINED BENEFIT PENSION PLANS</w:t>
      </w:r>
    </w:p>
    <w:p>
      <w:pPr>
        <w:spacing w:after="0" w:line="256"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color w:val="auto"/>
        </w:rPr>
        <w:t>The following table summarizes our net periodic pension cost for our defined benefit pension and postretirement plans during the three and six months ended June 30, 2021, and 2020:</w:t>
      </w: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4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480" w:type="dxa"/>
            <w:vAlign w:val="bottom"/>
          </w:tcPr>
          <w:p>
            <w:pPr>
              <w:ind w:left="20"/>
              <w:spacing w:after="0" w:line="216" w:lineRule="exact"/>
              <w:rPr>
                <w:sz w:val="20"/>
                <w:szCs w:val="20"/>
                <w:color w:val="auto"/>
              </w:rPr>
            </w:pPr>
            <w:r>
              <w:rPr>
                <w:rFonts w:ascii="Arial" w:cs="Arial" w:eastAsia="Arial" w:hAnsi="Arial"/>
                <w:sz w:val="16"/>
                <w:szCs w:val="16"/>
                <w:color w:val="auto"/>
              </w:rPr>
              <w:t>Other components of net periodic pension cost</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cost</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4480" w:type="dxa"/>
            <w:vAlign w:val="bottom"/>
          </w:tcPr>
          <w:p>
            <w:pPr>
              <w:ind w:left="140"/>
              <w:spacing w:after="0"/>
              <w:rPr>
                <w:sz w:val="20"/>
                <w:szCs w:val="20"/>
                <w:color w:val="auto"/>
              </w:rPr>
            </w:pPr>
            <w:r>
              <w:rPr>
                <w:rFonts w:ascii="Arial" w:cs="Arial" w:eastAsia="Arial" w:hAnsi="Arial"/>
                <w:sz w:val="16"/>
                <w:szCs w:val="16"/>
                <w:color w:val="auto"/>
              </w:rPr>
              <w:t>Expected return on plan assets</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cost</w:t>
            </w:r>
          </w:p>
        </w:tc>
        <w:tc>
          <w:tcPr>
            <w:tcW w:w="1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net loss</w:t>
            </w: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pension cost</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Other components of net periodic pension cost are included in Other non-operating items on our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COMPREHENSIVE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Accumulated comprehensive loss is provided in the following table for the three and six months ended June 30, 2021, and 2020:</w:t>
      </w:r>
    </w:p>
    <w:p>
      <w:pPr>
        <w:sectPr>
          <w:pgSz w:w="11900" w:h="16838" w:orient="portrait"/>
          <w:cols w:equalWidth="0" w:num="1">
            <w:col w:w="11240"/>
          </w:cols>
          <w:pgMar w:left="320" w:top="14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Pension</w:t>
            </w:r>
            <w:r>
              <w:rPr>
                <w:rFonts w:ascii="Arial" w:cs="Arial" w:eastAsia="Arial" w:hAnsi="Arial"/>
                <w:sz w:val="21"/>
                <w:szCs w:val="21"/>
                <w:b w:val="1"/>
                <w:bCs w:val="1"/>
                <w:color w:val="auto"/>
                <w:vertAlign w:val="superscript"/>
              </w:rPr>
              <w:t>1</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69"/>
        </w:trPr>
        <w:tc>
          <w:tcPr>
            <w:tcW w:w="44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Amounts reclassified from accumulated other comprehensive loss</w:t>
            </w:r>
          </w:p>
        </w:tc>
        <w:tc>
          <w:tcPr>
            <w:tcW w:w="1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to income </w:t>
            </w:r>
            <w:r>
              <w:rPr>
                <w:rFonts w:ascii="Arial" w:cs="Arial" w:eastAsia="Arial" w:hAnsi="Arial"/>
                <w:sz w:val="21"/>
                <w:szCs w:val="21"/>
                <w:color w:val="auto"/>
                <w:vertAlign w:val="superscript"/>
              </w:rPr>
              <w:t>2</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w:t>
            </w:r>
          </w:p>
        </w:tc>
        <w:tc>
          <w:tcPr>
            <w:tcW w:w="1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Translation Adjustments</w:t>
            </w: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Translation adjustments</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Other</w:t>
            </w: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gains on securities, net of reversals</w:t>
            </w: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Accumulated other comprehensive loss, end of period</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00" w:hanging="92"/>
        <w:spacing w:after="0"/>
        <w:tabs>
          <w:tab w:leader="none" w:pos="10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Amounts are presented net of tax.</w:t>
      </w:r>
    </w:p>
    <w:p>
      <w:pPr>
        <w:ind w:left="80" w:hanging="72"/>
        <w:spacing w:after="0" w:line="197" w:lineRule="auto"/>
        <w:tabs>
          <w:tab w:leader="none" w:pos="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Amounts of actuarial loss and prior service cost are components of net periodic benefit cost.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OPERATING AND NON-OPERATING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credits and charges,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credits and charges, net is comprised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1" w:name="page22"/>
    <w:bookmarkEnd w:id="21"/>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4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16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100" w:type="dxa"/>
            <w:vAlign w:val="bottom"/>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1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ization charges</w:t>
            </w: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2960" w:type="dxa"/>
            <w:vAlign w:val="bottom"/>
            <w:gridSpan w:val="2"/>
          </w:tcPr>
          <w:p>
            <w:pPr>
              <w:spacing w:after="0"/>
              <w:rPr>
                <w:sz w:val="20"/>
                <w:szCs w:val="20"/>
                <w:color w:val="auto"/>
              </w:rPr>
            </w:pPr>
            <w:r>
              <w:rPr>
                <w:rFonts w:ascii="Arial" w:cs="Arial" w:eastAsia="Arial" w:hAnsi="Arial"/>
                <w:sz w:val="16"/>
                <w:szCs w:val="16"/>
                <w:color w:val="auto"/>
              </w:rPr>
              <w:t>n wage subsidies</w:t>
            </w:r>
          </w:p>
        </w:tc>
        <w:tc>
          <w:tcPr>
            <w:tcW w:w="13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2960" w:type="dxa"/>
            <w:vAlign w:val="bottom"/>
            <w:gridSpan w:val="2"/>
          </w:tcPr>
          <w:p>
            <w:pPr>
              <w:spacing w:after="0"/>
              <w:rPr>
                <w:sz w:val="20"/>
                <w:szCs w:val="20"/>
                <w:color w:val="auto"/>
              </w:rPr>
            </w:pPr>
            <w:r>
              <w:rPr>
                <w:rFonts w:ascii="Arial" w:cs="Arial" w:eastAsia="Arial" w:hAnsi="Arial"/>
                <w:sz w:val="16"/>
                <w:szCs w:val="16"/>
                <w:color w:val="auto"/>
              </w:rPr>
              <w:t>-line discontinuance charges</w:t>
            </w:r>
          </w:p>
        </w:tc>
        <w:tc>
          <w:tcPr>
            <w:tcW w:w="13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e recoveries</w:t>
            </w:r>
          </w:p>
        </w:tc>
        <w:tc>
          <w:tcPr>
            <w:tcW w:w="1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0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perating credits and charges, net</w:t>
            </w:r>
          </w:p>
        </w:tc>
        <w:tc>
          <w:tcPr>
            <w:tcW w:w="13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r>
      <w:tr>
        <w:trPr>
          <w:trHeight w:val="21"/>
        </w:trPr>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-591185</wp:posOffset>
            </wp:positionV>
            <wp:extent cx="67208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9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non-operating items</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 non-operating items is comprised of the following components:</w:t>
      </w: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4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Amortization of debt charges</w:t>
            </w:r>
          </w:p>
        </w:tc>
        <w:tc>
          <w:tcPr>
            <w:tcW w:w="11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Interest expense</w:t>
            </w: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Gain on sale of auction rate securities</w:t>
            </w:r>
          </w:p>
        </w:tc>
        <w:tc>
          <w:tcPr>
            <w:tcW w:w="11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SERP market adjustments</w:t>
            </w:r>
          </w:p>
        </w:tc>
        <w:tc>
          <w:tcPr>
            <w:tcW w:w="1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Investment income</w:t>
            </w:r>
          </w:p>
        </w:tc>
        <w:tc>
          <w:tcPr>
            <w:tcW w:w="11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4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Net periodic pension cost, excluding service cost</w:t>
            </w:r>
          </w:p>
        </w:tc>
        <w:tc>
          <w:tcPr>
            <w:tcW w:w="11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debt extinguishment</w:t>
            </w:r>
          </w:p>
        </w:tc>
        <w:tc>
          <w:tcPr>
            <w:tcW w:w="1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gain (loss)</w:t>
            </w:r>
          </w:p>
        </w:tc>
        <w:tc>
          <w:tcPr>
            <w:tcW w:w="1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non-operating items</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17. SELECTED SEGMENT DATA</w:t>
      </w:r>
    </w:p>
    <w:p>
      <w:pPr>
        <w:spacing w:after="0" w:line="256" w:lineRule="exact"/>
        <w:rPr>
          <w:sz w:val="20"/>
          <w:szCs w:val="20"/>
          <w:color w:val="auto"/>
        </w:rPr>
      </w:pPr>
    </w:p>
    <w:p>
      <w:pPr>
        <w:jc w:val="both"/>
        <w:ind w:left="100"/>
        <w:spacing w:after="0" w:line="263" w:lineRule="auto"/>
        <w:rPr>
          <w:sz w:val="20"/>
          <w:szCs w:val="20"/>
          <w:color w:val="auto"/>
        </w:rPr>
      </w:pPr>
      <w:r>
        <w:rPr>
          <w:rFonts w:ascii="Arial" w:cs="Arial" w:eastAsia="Arial" w:hAnsi="Arial"/>
          <w:sz w:val="18"/>
          <w:szCs w:val="18"/>
          <w:color w:val="auto"/>
        </w:rPr>
        <w:t>We operate in four segments: Siding, OSB, EWP, and South America. Our business units have been aggregated into these four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211" w:lineRule="exact"/>
        <w:rPr>
          <w:sz w:val="20"/>
          <w:szCs w:val="20"/>
          <w:color w:val="auto"/>
        </w:rPr>
      </w:pPr>
    </w:p>
    <w:p>
      <w:pPr>
        <w:jc w:val="both"/>
        <w:ind w:left="100"/>
        <w:spacing w:after="0" w:line="275" w:lineRule="auto"/>
        <w:rPr>
          <w:sz w:val="20"/>
          <w:szCs w:val="20"/>
          <w:color w:val="auto"/>
        </w:rPr>
      </w:pPr>
      <w:r>
        <w:rPr>
          <w:rFonts w:ascii="Arial" w:cs="Arial" w:eastAsia="Arial" w:hAnsi="Arial"/>
          <w:sz w:val="17"/>
          <w:szCs w:val="17"/>
          <w:color w:val="auto"/>
        </w:rPr>
        <w:t>We evaluate the performance of our business segments based on net sales and Adjusted EBITDA. Accordingly, our chief operating decision maker evaluates performance and allocates resources based primarily on net sales and Adjusted EBITDA for our business segments. Adjusted EBITDA is a non-GAAP financial measure and is defined as income attributed to LP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and other non-operating items.</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Information about our product segments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sectPr>
      </w:pPr>
    </w:p>
    <w:bookmarkStart w:id="22" w:name="page23"/>
    <w:bookmarkEnd w:id="22"/>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Net sales</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Siding</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Arial" w:cs="Arial" w:eastAsia="Arial" w:hAnsi="Arial"/>
                <w:sz w:val="16"/>
                <w:szCs w:val="16"/>
                <w:color w:val="auto"/>
              </w:rPr>
              <w:t>OSB</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EWP</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Arial" w:cs="Arial" w:eastAsia="Arial" w:hAnsi="Arial"/>
                <w:sz w:val="16"/>
                <w:szCs w:val="16"/>
                <w:color w:val="auto"/>
              </w:rPr>
              <w:t>South America</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Arial" w:cs="Arial" w:eastAsia="Arial" w:hAnsi="Arial"/>
                <w:sz w:val="16"/>
                <w:szCs w:val="16"/>
                <w:color w:val="auto"/>
              </w:rPr>
              <w:t>Intersegment sales</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sales</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PROFIT BY SEGMENT</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Income attributed to LP</w:t>
            </w:r>
          </w:p>
        </w:tc>
        <w:tc>
          <w:tcPr>
            <w:tcW w:w="9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Loss on impairment attributed to LP</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credits and charges, net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Product-line discontinuance charges</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debt extinguishment</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non-operating items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OSB</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EWP</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South America</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6, 2020, we announced that our Board of Directors authorized a share repurchase program (2020 Share Repurchase Program) under which LP may repurchase up to $200 million of shares of LP’s common stock, and on November 4, 2020, we announced that our Board of Directors expanded the 2020 Share Repurchase Program by authorizing repurchases of an additional $300 million of our common stock. On May 4, 2021, our Board of Directors authorized an additional share repurchase program (2021 Share Repurchase Program) under which we may repurchase up to $1 billion of shares of our common stock. Subsequent to June 30, 2021 through August 4, 2021, we paid $151 million to repurchase 2.7 million shares of LP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statements that are forward-looking statements that are based on the beliefs of our management, as well as assumptions made by, and information currently available to our management.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To serve these markets, we operate in four segments: Siding, OSB, EWP, and South America.</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2021, we announced (i) that LSL production will cease during 2021 in connection with the conversion of the Houlton, Maine facility from LSL and OSB production to Siding production and (ii) our decision to explore strategic alternatives with respect to the Company's remaining EWP segment, including a possible sale in whole or in part.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did not materially impact our results of operations for the three and six months ended June 30, 2021. LP is continuing to follow national, state and local health and safety guidelines and is running full mill operating schedules as of June 30, 2021. The number of cases of COVID-19 has decreased in the United States and certain other parts of the world in recent months as vaccines have become more widely available, and most restrictions related to the COVID-19 pandemic in the United States have been relaxed as the result of such decrease. However, the duration of the COVID-19 pandemic, the emergence of new variants of the virus, the effect of easing restrictions, actions to contain the pandemic and mitigate its impacts, and the effects on our operations cannot be reasonably estimated.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for our Building Products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Demand for our products correlates positively with new home construction and repair and remodeling activity in North America, which historically have been characterized by significant cyclicality. The U.S. Department of Census reported on July 20, 2021, that actual single housing starts were 46% and 33% higher for the three and six months ended June 30, 2021, respectively, as compared to the same periods in 2020. Repair and remodeling activity is difficult to reasonably measure, but many indications, including the substantial increase in LP’s retail sales, suggest that repair and remodeling activity grew significantly in the first six months of 2021 as compared to the corresponding period in the prior year.</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housing market demand has recently been very strong, future economic conditions in the United States and the demand for homes remain uncertain due to continuing COVID-19-related disruptions, government directives, actions and economic relief efforts related thereto, and the impact of these actions on the economy, employment levels, consumer confidence, and financial markets, among other things. Additionally, as a result of increased demand in the housing market and a strengthening economy in the United States, we have experienced increases in material prices, supply disruptions, and labor shortages, which will be a challenge for LP as we continue to work to meet the demands of builders, remodelers, and homeowners worldwide. The potential effect of these factors on our future operational and financial performance is uncertain. As a result, our past performance may not be indicative of future results.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and Demand for OSB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OSB is sold as a commodity for which sales prices fluctuate daily based on market factors over which we have little or no control. We have experienced increased demand for commodity OSB in the first and second quarters of 2021; however, we cannot predict whether the prices of our OSB products will remain at current levels or increase or decrease in the future.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additional factors affecting our results, refer to the "Overview" within our Management's Discussion and Analysis of Financial Condition and Results of Operations and “Risk Factors” contained in our 2020 Annual Report on Form 10-K, and to “About Forward-Looking Statements”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1 of the Notes to the Consolidated Financial Statements included in our 2020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 and Other Key Performance Indicators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attributed to LP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and other non-operating items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excluding loss on impairment attributed to LP, product-line discontinuance charges, interest expense outside of normal operations, other operating credits and charges, net, loss on early debt extinguishment, gain (loss) on acquisition, and adjusts for a normalized tax rate as Adjusted Income (Adjusted Income). We also disclose Adjusted Diluted EPS, calculated as Adjusted Income divided by diluted shares outstanding. We believe that Adjusted Diluted EPS and Adjusted Income are useful measures for evaluating our ability to generate earnings and that providing this measure should allow interested persons to more readily compare the earnings for past and future periods.</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Neither Adjusted EBITDA, Adjusted Income, nor Adjusted Diluted EPS is a substitute for the U.S. GAAP measure of net income or for any other U.S. GAAP measures of operating performance. It should be noted that other companies may present similarly-titled measures differently and therefore, as presented by us, these measures may not be comparable to similarly-titled measures reported by other companies. Adjusted EBITDA, Adjusted Income, and Adjusted Diluted EPS have material limitations as performance measures because they exclude items that are actually incurred or experienced in connection with the operations of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significant items by operating segment and reconciles Net income to Adjusted EBITDA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5160" w:type="dxa"/>
            <w:vAlign w:val="bottom"/>
          </w:tcPr>
          <w:p>
            <w:pPr>
              <w:ind w:left="140"/>
              <w:spacing w:after="0"/>
              <w:rPr>
                <w:sz w:val="20"/>
                <w:szCs w:val="20"/>
                <w:color w:val="auto"/>
              </w:rPr>
            </w:pPr>
            <w:r>
              <w:rPr>
                <w:rFonts w:ascii="Arial" w:cs="Arial" w:eastAsia="Arial" w:hAnsi="Arial"/>
                <w:sz w:val="16"/>
                <w:szCs w:val="16"/>
                <w:color w:val="auto"/>
              </w:rPr>
              <w:t>Income attributed to LP</w:t>
            </w:r>
          </w:p>
        </w:tc>
        <w:tc>
          <w:tcPr>
            <w:tcW w:w="10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Loss on impairment attributed to LP</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credits and charges, net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Product-line discontinuance charges</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debt extinguishment</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non-operating items</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OSB</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EWP</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South America</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reconciliation of Net income to Adjusted Income (dollar amounts in millions, except earnings per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5160" w:type="dxa"/>
            <w:vAlign w:val="bottom"/>
          </w:tcPr>
          <w:p>
            <w:pPr>
              <w:ind w:left="140"/>
              <w:spacing w:after="0"/>
              <w:rPr>
                <w:sz w:val="20"/>
                <w:szCs w:val="20"/>
                <w:color w:val="auto"/>
              </w:rPr>
            </w:pPr>
            <w:r>
              <w:rPr>
                <w:rFonts w:ascii="Arial" w:cs="Arial" w:eastAsia="Arial" w:hAnsi="Arial"/>
                <w:sz w:val="16"/>
                <w:szCs w:val="16"/>
                <w:color w:val="auto"/>
              </w:rPr>
              <w:t>Income attributed to LP</w:t>
            </w:r>
          </w:p>
        </w:tc>
        <w:tc>
          <w:tcPr>
            <w:tcW w:w="9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impairment attributed to LP</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Other operating credits and charges, net</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line discontinuance charges</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Loss on early debt extinguishment</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tax provision</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6"/>
        </w:trPr>
        <w:tc>
          <w:tcPr>
            <w:tcW w:w="5160" w:type="dxa"/>
            <w:vAlign w:val="bottom"/>
          </w:tcPr>
          <w:p>
            <w:pPr>
              <w:ind w:left="20"/>
              <w:spacing w:after="0"/>
              <w:rPr>
                <w:sz w:val="20"/>
                <w:szCs w:val="20"/>
                <w:color w:val="auto"/>
              </w:rPr>
            </w:pPr>
            <w:r>
              <w:rPr>
                <w:rFonts w:ascii="Arial" w:cs="Arial" w:eastAsia="Arial" w:hAnsi="Arial"/>
                <w:sz w:val="16"/>
                <w:szCs w:val="16"/>
                <w:color w:val="auto"/>
              </w:rPr>
              <w:t>Adjusted income before tax</w:t>
            </w: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Normalized tax provision at 25%</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b w:val="1"/>
                <w:bCs w:val="1"/>
                <w:color w:val="auto"/>
              </w:rPr>
              <w:t>Adjusted Income</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481</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shares outstanding</w:t>
            </w:r>
          </w:p>
        </w:tc>
        <w:tc>
          <w:tcPr>
            <w:tcW w:w="9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60" w:type="dxa"/>
            <w:vAlign w:val="bottom"/>
          </w:tcPr>
          <w:p>
            <w:pPr>
              <w:ind w:left="140"/>
              <w:spacing w:after="0"/>
              <w:rPr>
                <w:sz w:val="20"/>
                <w:szCs w:val="20"/>
                <w:color w:val="auto"/>
              </w:rPr>
            </w:pPr>
            <w:r>
              <w:rPr>
                <w:rFonts w:ascii="Arial" w:cs="Arial" w:eastAsia="Arial" w:hAnsi="Arial"/>
                <w:sz w:val="16"/>
                <w:szCs w:val="16"/>
                <w:b w:val="1"/>
                <w:bCs w:val="1"/>
                <w:color w:val="auto"/>
              </w:rPr>
              <w:t>Adjusted Diluted EPS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4.74</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0.43</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0.77</w:t>
            </w:r>
          </w:p>
        </w:tc>
      </w:tr>
      <w:tr>
        <w:trPr>
          <w:trHeight w:val="21"/>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ind w:right="220"/>
        <w:spacing w:after="0" w:line="286" w:lineRule="auto"/>
        <w:rPr>
          <w:sz w:val="20"/>
          <w:szCs w:val="20"/>
          <w:color w:val="auto"/>
        </w:rPr>
      </w:pPr>
      <w:r>
        <w:rPr>
          <w:rFonts w:ascii="Arial" w:cs="Arial" w:eastAsia="Arial" w:hAnsi="Arial"/>
          <w:sz w:val="17"/>
          <w:szCs w:val="17"/>
          <w:color w:val="auto"/>
        </w:rPr>
        <w:t>In addition, management monitors certain key performance indicators to evaluate our business performance, which include our Overall Equipment Effectiveness (OEE) and our sales volume relative to housing starts, as provided by reports from the U.S. Department of Census. These key performance indicators are further described on page 35 of this quarterly report on Form 10-Q and are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results of operations are separately discussed below for each of our segments, as well as for the “Other” category, which comprises other products that are not individually significant. See Note 17 of the Notes to the Condensed Consolidated Financial Statements included in Item 1 of this quarterly report on Form 10-Q for further information regarding our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SIDING</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Siding segment serves diverse end markets with a broad product offering of engineered wood siding, trim, and fascia, including 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SmartSide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Trim</w:t>
      </w:r>
    </w:p>
    <w:p>
      <w:pPr>
        <w:ind w:firstLine="8"/>
        <w:spacing w:after="0" w:line="224"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Siding,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SmartSide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ExpertFinish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Trim &amp; Siding,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BuilderSeries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Lap Siding, and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Outdoor Building Solutions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(collectively referred to as Siding Solutions).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Segment sales, Adjusted EBITDA, and Adjusted EBITDA margin for this segment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gridSpan w:val="8"/>
          </w:tcPr>
          <w:p>
            <w:pPr>
              <w:ind w:left="580"/>
              <w:spacing w:after="0"/>
              <w:rPr>
                <w:sz w:val="20"/>
                <w:szCs w:val="20"/>
                <w:color w:val="auto"/>
              </w:rPr>
            </w:pPr>
            <w:r>
              <w:rPr>
                <w:rFonts w:ascii="Arial" w:cs="Arial" w:eastAsia="Arial" w:hAnsi="Arial"/>
                <w:sz w:val="16"/>
                <w:szCs w:val="16"/>
                <w:b w:val="1"/>
                <w:bCs w:val="1"/>
                <w:color w:val="auto"/>
              </w:rPr>
              <w:t>Three Months Ended June 30,</w:t>
            </w:r>
          </w:p>
        </w:tc>
        <w:tc>
          <w:tcPr>
            <w:tcW w:w="2620" w:type="dxa"/>
            <w:vAlign w:val="bottom"/>
            <w:gridSpan w:val="6"/>
          </w:tcPr>
          <w:p>
            <w:pPr>
              <w:ind w:left="680"/>
              <w:spacing w:after="0"/>
              <w:rPr>
                <w:sz w:val="20"/>
                <w:szCs w:val="20"/>
                <w:color w:val="auto"/>
              </w:rPr>
            </w:pPr>
            <w:r>
              <w:rPr>
                <w:rFonts w:ascii="Arial" w:cs="Arial" w:eastAsia="Arial" w:hAnsi="Arial"/>
                <w:sz w:val="16"/>
                <w:szCs w:val="16"/>
                <w:b w:val="1"/>
                <w:bCs w:val="1"/>
                <w:color w:val="auto"/>
                <w:w w:val="92"/>
              </w:rPr>
              <w:t>Six Months Ended June 30,</w:t>
            </w:r>
          </w:p>
        </w:tc>
        <w:tc>
          <w:tcPr>
            <w:tcW w:w="920" w:type="dxa"/>
            <w:vAlign w:val="bottom"/>
          </w:tcPr>
          <w:p>
            <w:pPr>
              <w:spacing w:after="0"/>
              <w:rPr>
                <w:sz w:val="18"/>
                <w:szCs w:val="18"/>
                <w:color w:val="auto"/>
              </w:rPr>
            </w:pPr>
          </w:p>
        </w:tc>
      </w:tr>
      <w:tr>
        <w:trPr>
          <w:trHeight w:val="210"/>
        </w:trPr>
        <w:tc>
          <w:tcPr>
            <w:tcW w:w="3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Change</w:t>
            </w:r>
          </w:p>
        </w:tc>
      </w:tr>
      <w:tr>
        <w:trPr>
          <w:trHeight w:val="212"/>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32 %  $</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220" w:type="dxa"/>
            <w:vAlign w:val="bottom"/>
          </w:tcPr>
          <w:p>
            <w:pPr>
              <w:ind w:left="840"/>
              <w:spacing w:after="0"/>
              <w:rPr>
                <w:sz w:val="20"/>
                <w:szCs w:val="20"/>
                <w:color w:val="auto"/>
              </w:rPr>
            </w:pPr>
            <w:r>
              <w:rPr>
                <w:rFonts w:ascii="Arial" w:cs="Arial" w:eastAsia="Arial" w:hAnsi="Arial"/>
                <w:sz w:val="16"/>
                <w:szCs w:val="16"/>
                <w:color w:val="auto"/>
                <w:w w:val="98"/>
              </w:rPr>
              <w:t>52 %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80 %</w:t>
            </w: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Sales in this segment by product line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8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740" w:type="dxa"/>
            <w:vAlign w:val="bottom"/>
          </w:tcPr>
          <w:p>
            <w:pPr>
              <w:spacing w:after="0"/>
              <w:rPr>
                <w:sz w:val="18"/>
                <w:szCs w:val="18"/>
                <w:color w:val="auto"/>
              </w:rPr>
            </w:pPr>
          </w:p>
        </w:tc>
        <w:tc>
          <w:tcPr>
            <w:tcW w:w="2060" w:type="dxa"/>
            <w:vAlign w:val="bottom"/>
            <w:gridSpan w:val="6"/>
          </w:tcPr>
          <w:p>
            <w:pPr>
              <w:ind w:left="160"/>
              <w:spacing w:after="0"/>
              <w:rPr>
                <w:sz w:val="20"/>
                <w:szCs w:val="20"/>
                <w:color w:val="auto"/>
              </w:rPr>
            </w:pPr>
            <w:r>
              <w:rPr>
                <w:rFonts w:ascii="Arial" w:cs="Arial" w:eastAsia="Arial" w:hAnsi="Arial"/>
                <w:sz w:val="16"/>
                <w:szCs w:val="16"/>
                <w:b w:val="1"/>
                <w:bCs w:val="1"/>
                <w:color w:val="auto"/>
                <w:w w:val="90"/>
              </w:rPr>
              <w:t>Six Months Ended June 30,</w:t>
            </w:r>
          </w:p>
        </w:tc>
        <w:tc>
          <w:tcPr>
            <w:tcW w:w="900" w:type="dxa"/>
            <w:vAlign w:val="bottom"/>
          </w:tcPr>
          <w:p>
            <w:pPr>
              <w:spacing w:after="0"/>
              <w:rPr>
                <w:sz w:val="18"/>
                <w:szCs w:val="18"/>
                <w:color w:val="auto"/>
              </w:rPr>
            </w:pPr>
          </w:p>
        </w:tc>
      </w:tr>
      <w:tr>
        <w:trPr>
          <w:trHeight w:val="210"/>
        </w:trPr>
        <w:tc>
          <w:tcPr>
            <w:tcW w:w="37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8"/>
              </w:rPr>
              <w:t>Change</w:t>
            </w: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r>
      <w:tr>
        <w:trPr>
          <w:trHeight w:val="235"/>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291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32 %</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576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432</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Percent changes in average sales prices and unit shipments for the three and six months ended June 30, 2021, compared to the corresponding periods in 2020,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8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2"/>
              </w:rPr>
              <w:t>Three Months Ended June 30,</w:t>
            </w:r>
          </w:p>
        </w:tc>
        <w:tc>
          <w:tcPr>
            <w:tcW w:w="37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3"/>
        </w:trPr>
        <w:tc>
          <w:tcPr>
            <w:tcW w:w="3660" w:type="dxa"/>
            <w:vAlign w:val="bottom"/>
          </w:tcPr>
          <w:p>
            <w:pPr>
              <w:spacing w:after="0"/>
              <w:rPr>
                <w:sz w:val="18"/>
                <w:szCs w:val="18"/>
                <w:color w:val="auto"/>
              </w:rPr>
            </w:pPr>
          </w:p>
        </w:tc>
        <w:tc>
          <w:tcPr>
            <w:tcW w:w="244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9"/>
              </w:rPr>
              <w:t>2021 versus 2020</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8"/>
              </w:rPr>
              <w:t>2021 versus 2020</w:t>
            </w:r>
          </w:p>
        </w:tc>
        <w:tc>
          <w:tcPr>
            <w:tcW w:w="1280" w:type="dxa"/>
            <w:vAlign w:val="bottom"/>
            <w:tcBorders>
              <w:bottom w:val="single" w:sz="8" w:color="auto"/>
            </w:tcBorders>
          </w:tcPr>
          <w:p>
            <w:pPr>
              <w:spacing w:after="0"/>
              <w:rPr>
                <w:sz w:val="18"/>
                <w:szCs w:val="18"/>
                <w:color w:val="auto"/>
              </w:rPr>
            </w:pPr>
          </w:p>
        </w:tc>
      </w:tr>
      <w:tr>
        <w:trPr>
          <w:trHeight w:val="162"/>
        </w:trPr>
        <w:tc>
          <w:tcPr>
            <w:tcW w:w="3660" w:type="dxa"/>
            <w:vAlign w:val="bottom"/>
          </w:tcPr>
          <w:p>
            <w:pPr>
              <w:spacing w:after="0"/>
              <w:rPr>
                <w:sz w:val="14"/>
                <w:szCs w:val="14"/>
                <w:color w:val="auto"/>
              </w:rPr>
            </w:pPr>
          </w:p>
        </w:tc>
        <w:tc>
          <w:tcPr>
            <w:tcW w:w="2440" w:type="dxa"/>
            <w:vAlign w:val="bottom"/>
            <w:gridSpan w:val="3"/>
          </w:tcPr>
          <w:p>
            <w:pPr>
              <w:ind w:left="480"/>
              <w:spacing w:after="0" w:line="162" w:lineRule="exact"/>
              <w:rPr>
                <w:sz w:val="20"/>
                <w:szCs w:val="20"/>
                <w:color w:val="auto"/>
              </w:rPr>
            </w:pPr>
            <w:r>
              <w:rPr>
                <w:rFonts w:ascii="Arial" w:cs="Arial" w:eastAsia="Arial" w:hAnsi="Arial"/>
                <w:sz w:val="16"/>
                <w:szCs w:val="16"/>
                <w:color w:val="auto"/>
              </w:rPr>
              <w:t>Average Net</w:t>
            </w:r>
          </w:p>
        </w:tc>
        <w:tc>
          <w:tcPr>
            <w:tcW w:w="1380" w:type="dxa"/>
            <w:vAlign w:val="bottom"/>
            <w:gridSpan w:val="2"/>
          </w:tcPr>
          <w:p>
            <w:pPr>
              <w:jc w:val="center"/>
              <w:ind w:right="660"/>
              <w:spacing w:after="0" w:line="162" w:lineRule="exact"/>
              <w:rPr>
                <w:sz w:val="20"/>
                <w:szCs w:val="20"/>
                <w:color w:val="auto"/>
              </w:rPr>
            </w:pPr>
            <w:r>
              <w:rPr>
                <w:rFonts w:ascii="Arial" w:cs="Arial" w:eastAsia="Arial" w:hAnsi="Arial"/>
                <w:sz w:val="16"/>
                <w:szCs w:val="16"/>
                <w:color w:val="auto"/>
                <w:w w:val="98"/>
              </w:rPr>
              <w:t>Unit</w:t>
            </w:r>
          </w:p>
        </w:tc>
        <w:tc>
          <w:tcPr>
            <w:tcW w:w="2460" w:type="dxa"/>
            <w:vAlign w:val="bottom"/>
            <w:gridSpan w:val="3"/>
          </w:tcPr>
          <w:p>
            <w:pPr>
              <w:ind w:left="500"/>
              <w:spacing w:after="0" w:line="162" w:lineRule="exact"/>
              <w:rPr>
                <w:sz w:val="20"/>
                <w:szCs w:val="20"/>
                <w:color w:val="auto"/>
              </w:rPr>
            </w:pPr>
            <w:r>
              <w:rPr>
                <w:rFonts w:ascii="Arial" w:cs="Arial" w:eastAsia="Arial" w:hAnsi="Arial"/>
                <w:sz w:val="16"/>
                <w:szCs w:val="16"/>
                <w:color w:val="auto"/>
              </w:rPr>
              <w:t>Average Net</w:t>
            </w:r>
          </w:p>
        </w:tc>
        <w:tc>
          <w:tcPr>
            <w:tcW w:w="1280" w:type="dxa"/>
            <w:vAlign w:val="bottom"/>
          </w:tcPr>
          <w:p>
            <w:pPr>
              <w:jc w:val="center"/>
              <w:ind w:right="45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660" w:type="dxa"/>
            <w:vAlign w:val="bottom"/>
          </w:tcPr>
          <w:p>
            <w:pPr>
              <w:spacing w:after="0"/>
              <w:rPr>
                <w:sz w:val="18"/>
                <w:szCs w:val="18"/>
                <w:color w:val="auto"/>
              </w:rPr>
            </w:pPr>
          </w:p>
        </w:tc>
        <w:tc>
          <w:tcPr>
            <w:tcW w:w="2440" w:type="dxa"/>
            <w:vAlign w:val="bottom"/>
            <w:gridSpan w:val="3"/>
          </w:tcPr>
          <w:p>
            <w:pPr>
              <w:ind w:left="480"/>
              <w:spacing w:after="0"/>
              <w:rPr>
                <w:sz w:val="20"/>
                <w:szCs w:val="20"/>
                <w:color w:val="auto"/>
              </w:rPr>
            </w:pPr>
            <w:r>
              <w:rPr>
                <w:rFonts w:ascii="Arial" w:cs="Arial" w:eastAsia="Arial" w:hAnsi="Arial"/>
                <w:sz w:val="16"/>
                <w:szCs w:val="16"/>
                <w:color w:val="auto"/>
              </w:rPr>
              <w:t>Selling Price</w:t>
            </w:r>
          </w:p>
        </w:tc>
        <w:tc>
          <w:tcPr>
            <w:tcW w:w="1380" w:type="dxa"/>
            <w:vAlign w:val="bottom"/>
            <w:gridSpan w:val="2"/>
          </w:tcPr>
          <w:p>
            <w:pPr>
              <w:jc w:val="center"/>
              <w:ind w:right="660"/>
              <w:spacing w:after="0"/>
              <w:rPr>
                <w:sz w:val="20"/>
                <w:szCs w:val="20"/>
                <w:color w:val="auto"/>
              </w:rPr>
            </w:pPr>
            <w:r>
              <w:rPr>
                <w:rFonts w:ascii="Arial" w:cs="Arial" w:eastAsia="Arial" w:hAnsi="Arial"/>
                <w:sz w:val="16"/>
                <w:szCs w:val="16"/>
                <w:color w:val="auto"/>
                <w:w w:val="89"/>
              </w:rPr>
              <w:t>Shipments</w:t>
            </w:r>
          </w:p>
        </w:tc>
        <w:tc>
          <w:tcPr>
            <w:tcW w:w="2460" w:type="dxa"/>
            <w:vAlign w:val="bottom"/>
            <w:gridSpan w:val="3"/>
          </w:tcPr>
          <w:p>
            <w:pPr>
              <w:ind w:left="480"/>
              <w:spacing w:after="0"/>
              <w:rPr>
                <w:sz w:val="20"/>
                <w:szCs w:val="20"/>
                <w:color w:val="auto"/>
              </w:rPr>
            </w:pPr>
            <w:r>
              <w:rPr>
                <w:rFonts w:ascii="Arial" w:cs="Arial" w:eastAsia="Arial" w:hAnsi="Arial"/>
                <w:sz w:val="16"/>
                <w:szCs w:val="16"/>
                <w:color w:val="auto"/>
              </w:rPr>
              <w:t>Selling Price</w:t>
            </w:r>
          </w:p>
        </w:tc>
        <w:tc>
          <w:tcPr>
            <w:tcW w:w="1280" w:type="dxa"/>
            <w:vAlign w:val="bottom"/>
          </w:tcPr>
          <w:p>
            <w:pPr>
              <w:jc w:val="center"/>
              <w:ind w:right="459"/>
              <w:spacing w:after="0"/>
              <w:rPr>
                <w:sz w:val="20"/>
                <w:szCs w:val="20"/>
                <w:color w:val="auto"/>
              </w:rPr>
            </w:pPr>
            <w:r>
              <w:rPr>
                <w:rFonts w:ascii="Arial" w:cs="Arial" w:eastAsia="Arial" w:hAnsi="Arial"/>
                <w:sz w:val="16"/>
                <w:szCs w:val="16"/>
                <w:color w:val="auto"/>
                <w:w w:val="92"/>
              </w:rPr>
              <w:t>Shipments</w:t>
            </w:r>
          </w:p>
        </w:tc>
      </w:tr>
      <w:tr>
        <w:trPr>
          <w:trHeight w:val="21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Siding Solutions</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bl>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Siding net sales increased by $71 million (or 32%) and $144 million (or 33%) for the three and six months ended June 30, 2021, respectively, compared to the corresponding periods in 2020. These increases are primarily due to the Siding Solutions revenue increases of 39% and 43% for the three and six months ended June 30, 2021, respectively, partially offset by decreases in fiber sales (included in the Other product line).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increased by $26 million and $75 million for the three and six months ended June 30, 2021, respectively, compared to the corresponding periods in 2020, primarily due to the increased Siding Solutions revenue, partially offset by increases in raw material prices, freight costs, and mill spending.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OSB</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7" w:name="page28"/>
    <w:bookmarkEnd w:id="27"/>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OSB segment manufactures and distributes OSB structural panel products including our value-added OSB portfolio known as LP Structural Solutions (which includes 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TechShield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Radiant Barrier, LP WeatherLogic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Air &amp; Water Barrier, LP Legacy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Premium Sub-Flooring, and 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FlameBlock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Fire-Rated Sheathing) and 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TopNotch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Sub-Flooring. OSB is manufactured using wood strands arranged in layers and bonded with resins.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Segment sales, Adjusted EBITDA, and Adjusted EBITDA Margin for this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gridSpan w:val="8"/>
          </w:tcPr>
          <w:p>
            <w:pPr>
              <w:jc w:val="right"/>
              <w:ind w:right="1240"/>
              <w:spacing w:after="0"/>
              <w:rPr>
                <w:sz w:val="20"/>
                <w:szCs w:val="20"/>
                <w:color w:val="auto"/>
              </w:rPr>
            </w:pPr>
            <w:r>
              <w:rPr>
                <w:rFonts w:ascii="Arial" w:cs="Arial" w:eastAsia="Arial" w:hAnsi="Arial"/>
                <w:sz w:val="16"/>
                <w:szCs w:val="16"/>
                <w:b w:val="1"/>
                <w:bCs w:val="1"/>
                <w:color w:val="auto"/>
              </w:rPr>
              <w:t>Three Months Ended June 30,</w:t>
            </w:r>
          </w:p>
        </w:tc>
        <w:tc>
          <w:tcPr>
            <w:tcW w:w="2640" w:type="dxa"/>
            <w:vAlign w:val="bottom"/>
            <w:gridSpan w:val="6"/>
          </w:tcPr>
          <w:p>
            <w:pPr>
              <w:ind w:left="700"/>
              <w:spacing w:after="0"/>
              <w:rPr>
                <w:sz w:val="20"/>
                <w:szCs w:val="20"/>
                <w:color w:val="auto"/>
              </w:rPr>
            </w:pPr>
            <w:r>
              <w:rPr>
                <w:rFonts w:ascii="Arial" w:cs="Arial" w:eastAsia="Arial" w:hAnsi="Arial"/>
                <w:sz w:val="16"/>
                <w:szCs w:val="16"/>
                <w:b w:val="1"/>
                <w:bCs w:val="1"/>
                <w:color w:val="auto"/>
                <w:w w:val="92"/>
              </w:rPr>
              <w:t>Six Months Ended June 30,</w:t>
            </w:r>
          </w:p>
        </w:tc>
        <w:tc>
          <w:tcPr>
            <w:tcW w:w="920" w:type="dxa"/>
            <w:vAlign w:val="bottom"/>
          </w:tcPr>
          <w:p>
            <w:pPr>
              <w:spacing w:after="0"/>
              <w:rPr>
                <w:sz w:val="18"/>
                <w:szCs w:val="18"/>
                <w:color w:val="auto"/>
              </w:rPr>
            </w:pPr>
          </w:p>
        </w:tc>
      </w:tr>
      <w:tr>
        <w:trPr>
          <w:trHeight w:val="210"/>
        </w:trPr>
        <w:tc>
          <w:tcPr>
            <w:tcW w:w="3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Change</w:t>
            </w: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281 %  $</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1,035 %</w:t>
            </w: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Sales in this segment by product line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519"/>
              <w:spacing w:after="0"/>
              <w:rPr>
                <w:sz w:val="20"/>
                <w:szCs w:val="20"/>
                <w:color w:val="auto"/>
              </w:rPr>
            </w:pPr>
            <w:r>
              <w:rPr>
                <w:rFonts w:ascii="Arial" w:cs="Arial" w:eastAsia="Arial" w:hAnsi="Arial"/>
                <w:sz w:val="16"/>
                <w:szCs w:val="16"/>
                <w:b w:val="1"/>
                <w:bCs w:val="1"/>
                <w:color w:val="auto"/>
                <w:w w:val="93"/>
              </w:rPr>
              <w:t>Three Months Ended June 30,</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ind w:left="660"/>
              <w:spacing w:after="0"/>
              <w:rPr>
                <w:sz w:val="20"/>
                <w:szCs w:val="20"/>
                <w:color w:val="auto"/>
              </w:rPr>
            </w:pPr>
            <w:r>
              <w:rPr>
                <w:rFonts w:ascii="Arial" w:cs="Arial" w:eastAsia="Arial" w:hAnsi="Arial"/>
                <w:sz w:val="16"/>
                <w:szCs w:val="16"/>
                <w:b w:val="1"/>
                <w:bCs w:val="1"/>
                <w:color w:val="auto"/>
                <w:w w:val="90"/>
              </w:rPr>
              <w:t>Six Months Ended June 30,</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10"/>
        </w:trPr>
        <w:tc>
          <w:tcPr>
            <w:tcW w:w="37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Borders>
              <w:bottom w:val="single" w:sz="8" w:color="auto"/>
            </w:tcBorders>
          </w:tcPr>
          <w:p>
            <w:pPr>
              <w:spacing w:after="0"/>
              <w:rPr>
                <w:sz w:val="18"/>
                <w:szCs w:val="18"/>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commodity</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OSB - Structural Solutions</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350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740" w:type="dxa"/>
            <w:vAlign w:val="bottom"/>
          </w:tcPr>
          <w:p>
            <w:pPr>
              <w:ind w:left="36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778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w:t>
            </w:r>
          </w:p>
        </w:tc>
        <w:tc>
          <w:tcPr>
            <w:tcW w:w="140" w:type="dxa"/>
            <w:vAlign w:val="bottom"/>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281 %</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211 %</w:t>
            </w:r>
          </w:p>
        </w:tc>
      </w:tr>
      <w:tr>
        <w:trPr>
          <w:trHeight w:val="23"/>
        </w:trPr>
        <w:tc>
          <w:tcPr>
            <w:tcW w:w="37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Percent changes in average sales prices and unit shipments for the three and six months ended June 30, 2021, compared to the corresponding periods in 2020,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326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w w:val="91"/>
              </w:rPr>
              <w:t>Three Months Ended 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3"/>
        </w:trPr>
        <w:tc>
          <w:tcPr>
            <w:tcW w:w="3640" w:type="dxa"/>
            <w:vAlign w:val="bottom"/>
          </w:tcPr>
          <w:p>
            <w:pPr>
              <w:spacing w:after="0"/>
              <w:rPr>
                <w:sz w:val="18"/>
                <w:szCs w:val="18"/>
                <w:color w:val="auto"/>
              </w:rPr>
            </w:pPr>
          </w:p>
        </w:tc>
        <w:tc>
          <w:tcPr>
            <w:tcW w:w="326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6"/>
                <w:szCs w:val="16"/>
                <w:b w:val="1"/>
                <w:bCs w:val="1"/>
                <w:color w:val="auto"/>
                <w:w w:val="88"/>
              </w:rPr>
              <w:t>2021 versus 2020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8"/>
              </w:rPr>
              <w:t>2021 versus 2020</w:t>
            </w:r>
          </w:p>
        </w:tc>
        <w:tc>
          <w:tcPr>
            <w:tcW w:w="1260" w:type="dxa"/>
            <w:vAlign w:val="bottom"/>
            <w:tcBorders>
              <w:bottom w:val="single" w:sz="8" w:color="auto"/>
            </w:tcBorders>
          </w:tcPr>
          <w:p>
            <w:pPr>
              <w:spacing w:after="0"/>
              <w:rPr>
                <w:sz w:val="18"/>
                <w:szCs w:val="18"/>
                <w:color w:val="auto"/>
              </w:rPr>
            </w:pPr>
          </w:p>
        </w:tc>
      </w:tr>
      <w:tr>
        <w:trPr>
          <w:trHeight w:val="162"/>
        </w:trPr>
        <w:tc>
          <w:tcPr>
            <w:tcW w:w="3640" w:type="dxa"/>
            <w:vAlign w:val="bottom"/>
          </w:tcPr>
          <w:p>
            <w:pPr>
              <w:spacing w:after="0"/>
              <w:rPr>
                <w:sz w:val="14"/>
                <w:szCs w:val="14"/>
                <w:color w:val="auto"/>
              </w:rPr>
            </w:pPr>
          </w:p>
        </w:tc>
        <w:tc>
          <w:tcPr>
            <w:tcW w:w="1340" w:type="dxa"/>
            <w:vAlign w:val="bottom"/>
          </w:tcPr>
          <w:p>
            <w:pPr>
              <w:ind w:left="500"/>
              <w:spacing w:after="0" w:line="162" w:lineRule="exact"/>
              <w:rPr>
                <w:sz w:val="20"/>
                <w:szCs w:val="20"/>
                <w:color w:val="auto"/>
              </w:rPr>
            </w:pPr>
            <w:r>
              <w:rPr>
                <w:rFonts w:ascii="Arial" w:cs="Arial" w:eastAsia="Arial" w:hAnsi="Arial"/>
                <w:sz w:val="16"/>
                <w:szCs w:val="16"/>
                <w:color w:val="auto"/>
                <w:w w:val="92"/>
              </w:rPr>
              <w:t>Average Net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left="399"/>
              <w:spacing w:after="0" w:line="162" w:lineRule="exact"/>
              <w:rPr>
                <w:sz w:val="20"/>
                <w:szCs w:val="20"/>
                <w:color w:val="auto"/>
              </w:rPr>
            </w:pPr>
            <w:r>
              <w:rPr>
                <w:rFonts w:ascii="Arial" w:cs="Arial" w:eastAsia="Arial" w:hAnsi="Arial"/>
                <w:sz w:val="16"/>
                <w:szCs w:val="16"/>
                <w:color w:val="auto"/>
              </w:rPr>
              <w:t>Unit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3"/>
          </w:tcPr>
          <w:p>
            <w:pPr>
              <w:ind w:left="520"/>
              <w:spacing w:after="0" w:line="162" w:lineRule="exact"/>
              <w:rPr>
                <w:sz w:val="20"/>
                <w:szCs w:val="20"/>
                <w:color w:val="auto"/>
              </w:rPr>
            </w:pPr>
            <w:r>
              <w:rPr>
                <w:rFonts w:ascii="Arial" w:cs="Arial" w:eastAsia="Arial" w:hAnsi="Arial"/>
                <w:sz w:val="16"/>
                <w:szCs w:val="16"/>
                <w:color w:val="auto"/>
              </w:rPr>
              <w:t>Average Net</w:t>
            </w:r>
          </w:p>
        </w:tc>
        <w:tc>
          <w:tcPr>
            <w:tcW w:w="1260" w:type="dxa"/>
            <w:vAlign w:val="bottom"/>
          </w:tcPr>
          <w:p>
            <w:pPr>
              <w:jc w:val="right"/>
              <w:ind w:right="67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6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w w:val="94"/>
              </w:rPr>
              <w:t>Selling Price</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89"/>
              </w:rPr>
              <w:t>Shipments</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Selling Price</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Shipments</w:t>
            </w:r>
          </w:p>
        </w:tc>
      </w:tr>
      <w:tr>
        <w:trPr>
          <w:trHeight w:val="21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commodity</w:t>
            </w:r>
          </w:p>
        </w:tc>
        <w:tc>
          <w:tcPr>
            <w:tcW w:w="1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301 %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OSB - Structural Solutions</w:t>
            </w:r>
          </w:p>
        </w:tc>
        <w:tc>
          <w:tcPr>
            <w:tcW w:w="460" w:type="dxa"/>
            <w:vAlign w:val="bottom"/>
          </w:tcPr>
          <w:p>
            <w:pPr>
              <w:jc w:val="right"/>
              <w:spacing w:after="0"/>
              <w:rPr>
                <w:sz w:val="20"/>
                <w:szCs w:val="20"/>
                <w:color w:val="auto"/>
              </w:rPr>
            </w:pPr>
            <w:r>
              <w:rPr>
                <w:rFonts w:ascii="Arial" w:cs="Arial" w:eastAsia="Arial" w:hAnsi="Arial"/>
                <w:sz w:val="16"/>
                <w:szCs w:val="16"/>
                <w:color w:val="auto"/>
                <w:w w:val="96"/>
              </w:rPr>
              <w:t>205 %</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6"/>
                <w:szCs w:val="16"/>
                <w:color w:val="auto"/>
                <w:w w:val="93"/>
              </w:rPr>
              <w:t>19 %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174 %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9 %</w:t>
            </w:r>
          </w:p>
        </w:tc>
      </w:tr>
    </w:tbl>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OSB net sales increased by $574 million (or 281%) and $893 million (or 211%) for the three and six months ended June 30, 2021, respectively, compared to the corresponding periods in 2020. OSB prices increased by $554 million and $888 million for the three and six months ended June 30, 2021, respectively, compared to the corresponding periods in 2020. OSB sales volume increased by 8% for the three months ended June 30, 2021, compared to the corresponding period in 2020, primarily due to the nonoccurrence of last year's COVID-related downtime. OSB sales volume was flat for the six months ended June 30, 2021, compared to the corresponding period in 2020. Structural Solutions volume, as a percentage of total OSB segment volume, was 46% for the three and six months ended June 30, 2021, compared to 41% and 42% in the corresponding periods in 2020, respectively.</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increased over the prior year by $519 million and $838 million for the three and six months ended June 30, 2021, respectively, primarily due to increased OSB prices, slightly offset by increases in raw material prices and mill spending.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EWP</w:t>
      </w:r>
    </w:p>
    <w:p>
      <w:pPr>
        <w:spacing w:after="0" w:line="22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EWP segment is comprised of LP</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SolidStart</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I-Joist (I-Joist), Laminated Veneer Lumber (LVL), and Laminated Strand Lumber (LSL) and other related products. This segment also includes the sales of I-Joist and LVL products produced by our joint venture and sales of plywood produced as a by-product of the LVL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process. In February 2021, we announced that LSL production will cease during 2021 and that we are exploring strategic alternatives to the remaining EWP business, including a possible sale in whole or in part.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Segment sales, Adjusted EBITDA, and Adjusted EBITDA margin for this segment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8"/>
          </w:tcPr>
          <w:p>
            <w:pPr>
              <w:jc w:val="right"/>
              <w:ind w:right="1220"/>
              <w:spacing w:after="0"/>
              <w:rPr>
                <w:sz w:val="20"/>
                <w:szCs w:val="20"/>
                <w:color w:val="auto"/>
              </w:rPr>
            </w:pPr>
            <w:r>
              <w:rPr>
                <w:rFonts w:ascii="Arial" w:cs="Arial" w:eastAsia="Arial" w:hAnsi="Arial"/>
                <w:sz w:val="16"/>
                <w:szCs w:val="16"/>
                <w:b w:val="1"/>
                <w:bCs w:val="1"/>
                <w:color w:val="auto"/>
              </w:rPr>
              <w:t>Three Months Ended June 30,</w:t>
            </w:r>
          </w:p>
        </w:tc>
        <w:tc>
          <w:tcPr>
            <w:tcW w:w="2640" w:type="dxa"/>
            <w:vAlign w:val="bottom"/>
            <w:gridSpan w:val="6"/>
          </w:tcPr>
          <w:p>
            <w:pPr>
              <w:ind w:left="700"/>
              <w:spacing w:after="0"/>
              <w:rPr>
                <w:sz w:val="20"/>
                <w:szCs w:val="20"/>
                <w:color w:val="auto"/>
              </w:rPr>
            </w:pPr>
            <w:r>
              <w:rPr>
                <w:rFonts w:ascii="Arial" w:cs="Arial" w:eastAsia="Arial" w:hAnsi="Arial"/>
                <w:sz w:val="16"/>
                <w:szCs w:val="16"/>
                <w:b w:val="1"/>
                <w:bCs w:val="1"/>
                <w:color w:val="auto"/>
                <w:w w:val="92"/>
              </w:rPr>
              <w:t>Six Months Ended June 30,</w:t>
            </w:r>
          </w:p>
        </w:tc>
        <w:tc>
          <w:tcPr>
            <w:tcW w:w="920" w:type="dxa"/>
            <w:vAlign w:val="bottom"/>
          </w:tcPr>
          <w:p>
            <w:pPr>
              <w:spacing w:after="0"/>
              <w:rPr>
                <w:sz w:val="18"/>
                <w:szCs w:val="18"/>
                <w:color w:val="auto"/>
              </w:rPr>
            </w:pPr>
          </w:p>
        </w:tc>
      </w:tr>
      <w:tr>
        <w:trPr>
          <w:trHeight w:val="210"/>
        </w:trPr>
        <w:tc>
          <w:tcPr>
            <w:tcW w:w="35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Change</w:t>
            </w:r>
          </w:p>
        </w:tc>
      </w:tr>
      <w:tr>
        <w:trPr>
          <w:trHeight w:val="212"/>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99 %  $</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513 %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116 %</w:t>
            </w: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418"/>
        </w:trPr>
        <w:tc>
          <w:tcPr>
            <w:tcW w:w="3920" w:type="dxa"/>
            <w:vAlign w:val="bottom"/>
            <w:gridSpan w:val="2"/>
          </w:tcPr>
          <w:p>
            <w:pPr>
              <w:spacing w:after="0"/>
              <w:rPr>
                <w:sz w:val="20"/>
                <w:szCs w:val="20"/>
                <w:color w:val="auto"/>
              </w:rPr>
            </w:pPr>
            <w:r>
              <w:rPr>
                <w:rFonts w:ascii="Arial" w:cs="Arial" w:eastAsia="Arial" w:hAnsi="Arial"/>
                <w:sz w:val="18"/>
                <w:szCs w:val="18"/>
                <w:color w:val="auto"/>
                <w:w w:val="91"/>
              </w:rPr>
              <w:t>Sales in this segment by product line were as follows: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519"/>
              <w:spacing w:after="0"/>
              <w:rPr>
                <w:sz w:val="20"/>
                <w:szCs w:val="20"/>
                <w:color w:val="auto"/>
              </w:rPr>
            </w:pPr>
            <w:r>
              <w:rPr>
                <w:rFonts w:ascii="Arial" w:cs="Arial" w:eastAsia="Arial" w:hAnsi="Arial"/>
                <w:sz w:val="16"/>
                <w:szCs w:val="16"/>
                <w:b w:val="1"/>
                <w:bCs w:val="1"/>
                <w:color w:val="auto"/>
                <w:w w:val="94"/>
              </w:rPr>
              <w:t>Three Months Ended June 30,</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ind w:left="160"/>
              <w:spacing w:after="0"/>
              <w:rPr>
                <w:sz w:val="20"/>
                <w:szCs w:val="20"/>
                <w:color w:val="auto"/>
              </w:rPr>
            </w:pPr>
            <w:r>
              <w:rPr>
                <w:rFonts w:ascii="Arial" w:cs="Arial" w:eastAsia="Arial" w:hAnsi="Arial"/>
                <w:sz w:val="16"/>
                <w:szCs w:val="16"/>
                <w:b w:val="1"/>
                <w:bCs w:val="1"/>
                <w:color w:val="auto"/>
                <w:w w:val="90"/>
              </w:rPr>
              <w:t>Six Months Ended June 30,</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10"/>
        </w:trPr>
        <w:tc>
          <w:tcPr>
            <w:tcW w:w="37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Borders>
              <w:bottom w:val="single" w:sz="8" w:color="auto"/>
            </w:tcBorders>
          </w:tcPr>
          <w:p>
            <w:pPr>
              <w:spacing w:after="0"/>
              <w:rPr>
                <w:sz w:val="18"/>
                <w:szCs w:val="18"/>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I-Joist</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LVL</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LSL</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including plywood and related products</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158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99 %</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280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58 %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Percent changes in average sales prices and unit shipments for the three and six months ended June 30, 2021, compared to the corresponding periods in 2020, were as follows:</w:t>
      </w:r>
    </w:p>
    <w:tbl>
      <w:tblPr>
        <w:tblLayout w:type="fixed"/>
        <w:tblInd w:w="0" w:type="dxa"/>
        <w:tblCellMar>
          <w:top w:w="0" w:type="dxa"/>
          <w:left w:w="0" w:type="dxa"/>
          <w:bottom w:w="0" w:type="dxa"/>
          <w:right w:w="0" w:type="dxa"/>
        </w:tblCellMar>
      </w:tblPr>
      <w:tr>
        <w:trPr>
          <w:trHeight w:val="163"/>
        </w:trPr>
        <w:tc>
          <w:tcPr>
            <w:tcW w:w="3620" w:type="dxa"/>
            <w:vAlign w:val="bottom"/>
          </w:tcPr>
          <w:p>
            <w:pPr>
              <w:spacing w:after="0"/>
              <w:rPr>
                <w:sz w:val="14"/>
                <w:szCs w:val="14"/>
                <w:color w:val="auto"/>
              </w:rPr>
            </w:pPr>
          </w:p>
        </w:tc>
        <w:tc>
          <w:tcPr>
            <w:tcW w:w="3860" w:type="dxa"/>
            <w:vAlign w:val="bottom"/>
            <w:gridSpan w:val="5"/>
          </w:tcPr>
          <w:p>
            <w:pPr>
              <w:jc w:val="center"/>
              <w:ind w:right="120"/>
              <w:spacing w:after="0" w:line="163" w:lineRule="exact"/>
              <w:rPr>
                <w:sz w:val="20"/>
                <w:szCs w:val="20"/>
                <w:color w:val="auto"/>
              </w:rPr>
            </w:pPr>
            <w:r>
              <w:rPr>
                <w:rFonts w:ascii="Arial" w:cs="Arial" w:eastAsia="Arial" w:hAnsi="Arial"/>
                <w:sz w:val="16"/>
                <w:szCs w:val="16"/>
                <w:b w:val="1"/>
                <w:bCs w:val="1"/>
                <w:color w:val="auto"/>
                <w:w w:val="92"/>
              </w:rPr>
              <w:t>Three Months Ended June 30,</w:t>
            </w:r>
          </w:p>
        </w:tc>
        <w:tc>
          <w:tcPr>
            <w:tcW w:w="3760" w:type="dxa"/>
            <w:vAlign w:val="bottom"/>
            <w:gridSpan w:val="4"/>
          </w:tcPr>
          <w:p>
            <w:pPr>
              <w:jc w:val="center"/>
              <w:spacing w:after="0" w:line="163" w:lineRule="exact"/>
              <w:rPr>
                <w:sz w:val="20"/>
                <w:szCs w:val="20"/>
                <w:color w:val="auto"/>
              </w:rPr>
            </w:pPr>
            <w:r>
              <w:rPr>
                <w:rFonts w:ascii="Arial" w:cs="Arial" w:eastAsia="Arial" w:hAnsi="Arial"/>
                <w:sz w:val="16"/>
                <w:szCs w:val="16"/>
                <w:b w:val="1"/>
                <w:bCs w:val="1"/>
                <w:color w:val="auto"/>
                <w:w w:val="91"/>
              </w:rPr>
              <w:t>Six Months Ended June 30,</w:t>
            </w:r>
          </w:p>
        </w:tc>
      </w:tr>
      <w:tr>
        <w:trPr>
          <w:trHeight w:val="213"/>
        </w:trPr>
        <w:tc>
          <w:tcPr>
            <w:tcW w:w="3620" w:type="dxa"/>
            <w:vAlign w:val="bottom"/>
          </w:tcPr>
          <w:p>
            <w:pPr>
              <w:spacing w:after="0"/>
              <w:rPr>
                <w:sz w:val="18"/>
                <w:szCs w:val="18"/>
                <w:color w:val="auto"/>
              </w:rPr>
            </w:pPr>
          </w:p>
        </w:tc>
        <w:tc>
          <w:tcPr>
            <w:tcW w:w="248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9"/>
              </w:rPr>
              <w:t>2021 versus 2020</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8"/>
              </w:rPr>
              <w:t>2021 versus 2020</w:t>
            </w:r>
          </w:p>
        </w:tc>
        <w:tc>
          <w:tcPr>
            <w:tcW w:w="1260" w:type="dxa"/>
            <w:vAlign w:val="bottom"/>
            <w:tcBorders>
              <w:bottom w:val="single" w:sz="8" w:color="auto"/>
            </w:tcBorders>
          </w:tcPr>
          <w:p>
            <w:pPr>
              <w:spacing w:after="0"/>
              <w:rPr>
                <w:sz w:val="18"/>
                <w:szCs w:val="18"/>
                <w:color w:val="auto"/>
              </w:rPr>
            </w:pPr>
          </w:p>
        </w:tc>
      </w:tr>
      <w:tr>
        <w:trPr>
          <w:trHeight w:val="162"/>
        </w:trPr>
        <w:tc>
          <w:tcPr>
            <w:tcW w:w="3620" w:type="dxa"/>
            <w:vAlign w:val="bottom"/>
          </w:tcPr>
          <w:p>
            <w:pPr>
              <w:spacing w:after="0"/>
              <w:rPr>
                <w:sz w:val="14"/>
                <w:szCs w:val="14"/>
                <w:color w:val="auto"/>
              </w:rPr>
            </w:pPr>
          </w:p>
        </w:tc>
        <w:tc>
          <w:tcPr>
            <w:tcW w:w="2480" w:type="dxa"/>
            <w:vAlign w:val="bottom"/>
            <w:gridSpan w:val="3"/>
          </w:tcPr>
          <w:p>
            <w:pPr>
              <w:ind w:left="500"/>
              <w:spacing w:after="0" w:line="162" w:lineRule="exact"/>
              <w:rPr>
                <w:sz w:val="20"/>
                <w:szCs w:val="20"/>
                <w:color w:val="auto"/>
              </w:rPr>
            </w:pPr>
            <w:r>
              <w:rPr>
                <w:rFonts w:ascii="Arial" w:cs="Arial" w:eastAsia="Arial" w:hAnsi="Arial"/>
                <w:sz w:val="16"/>
                <w:szCs w:val="16"/>
                <w:color w:val="auto"/>
              </w:rPr>
              <w:t>Average Net</w:t>
            </w:r>
          </w:p>
        </w:tc>
        <w:tc>
          <w:tcPr>
            <w:tcW w:w="1380" w:type="dxa"/>
            <w:vAlign w:val="bottom"/>
            <w:gridSpan w:val="2"/>
          </w:tcPr>
          <w:p>
            <w:pPr>
              <w:jc w:val="center"/>
              <w:ind w:right="660"/>
              <w:spacing w:after="0" w:line="162" w:lineRule="exact"/>
              <w:rPr>
                <w:sz w:val="20"/>
                <w:szCs w:val="20"/>
                <w:color w:val="auto"/>
              </w:rPr>
            </w:pPr>
            <w:r>
              <w:rPr>
                <w:rFonts w:ascii="Arial" w:cs="Arial" w:eastAsia="Arial" w:hAnsi="Arial"/>
                <w:sz w:val="16"/>
                <w:szCs w:val="16"/>
                <w:color w:val="auto"/>
                <w:w w:val="98"/>
              </w:rPr>
              <w:t>Unit</w:t>
            </w:r>
          </w:p>
        </w:tc>
        <w:tc>
          <w:tcPr>
            <w:tcW w:w="2500" w:type="dxa"/>
            <w:vAlign w:val="bottom"/>
            <w:gridSpan w:val="3"/>
          </w:tcPr>
          <w:p>
            <w:pPr>
              <w:ind w:left="520"/>
              <w:spacing w:after="0" w:line="162" w:lineRule="exact"/>
              <w:rPr>
                <w:sz w:val="20"/>
                <w:szCs w:val="20"/>
                <w:color w:val="auto"/>
              </w:rPr>
            </w:pPr>
            <w:r>
              <w:rPr>
                <w:rFonts w:ascii="Arial" w:cs="Arial" w:eastAsia="Arial" w:hAnsi="Arial"/>
                <w:sz w:val="16"/>
                <w:szCs w:val="16"/>
                <w:color w:val="auto"/>
              </w:rPr>
              <w:t>Average Net</w:t>
            </w:r>
          </w:p>
        </w:tc>
        <w:tc>
          <w:tcPr>
            <w:tcW w:w="1260" w:type="dxa"/>
            <w:vAlign w:val="bottom"/>
          </w:tcPr>
          <w:p>
            <w:pPr>
              <w:jc w:val="right"/>
              <w:ind w:right="67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620" w:type="dxa"/>
            <w:vAlign w:val="bottom"/>
          </w:tcPr>
          <w:p>
            <w:pPr>
              <w:spacing w:after="0"/>
              <w:rPr>
                <w:sz w:val="18"/>
                <w:szCs w:val="18"/>
                <w:color w:val="auto"/>
              </w:rPr>
            </w:pPr>
          </w:p>
        </w:tc>
        <w:tc>
          <w:tcPr>
            <w:tcW w:w="2480" w:type="dxa"/>
            <w:vAlign w:val="bottom"/>
            <w:gridSpan w:val="3"/>
          </w:tcPr>
          <w:p>
            <w:pPr>
              <w:ind w:left="480"/>
              <w:spacing w:after="0"/>
              <w:rPr>
                <w:sz w:val="20"/>
                <w:szCs w:val="20"/>
                <w:color w:val="auto"/>
              </w:rPr>
            </w:pPr>
            <w:r>
              <w:rPr>
                <w:rFonts w:ascii="Arial" w:cs="Arial" w:eastAsia="Arial" w:hAnsi="Arial"/>
                <w:sz w:val="16"/>
                <w:szCs w:val="16"/>
                <w:color w:val="auto"/>
              </w:rPr>
              <w:t>Selling Price</w:t>
            </w:r>
          </w:p>
        </w:tc>
        <w:tc>
          <w:tcPr>
            <w:tcW w:w="1380" w:type="dxa"/>
            <w:vAlign w:val="bottom"/>
            <w:gridSpan w:val="2"/>
          </w:tcPr>
          <w:p>
            <w:pPr>
              <w:jc w:val="center"/>
              <w:ind w:right="660"/>
              <w:spacing w:after="0"/>
              <w:rPr>
                <w:sz w:val="20"/>
                <w:szCs w:val="20"/>
                <w:color w:val="auto"/>
              </w:rPr>
            </w:pPr>
            <w:r>
              <w:rPr>
                <w:rFonts w:ascii="Arial" w:cs="Arial" w:eastAsia="Arial" w:hAnsi="Arial"/>
                <w:sz w:val="16"/>
                <w:szCs w:val="16"/>
                <w:color w:val="auto"/>
                <w:w w:val="89"/>
              </w:rPr>
              <w:t>Shipments</w:t>
            </w:r>
          </w:p>
        </w:tc>
        <w:tc>
          <w:tcPr>
            <w:tcW w:w="2500" w:type="dxa"/>
            <w:vAlign w:val="bottom"/>
            <w:gridSpan w:val="3"/>
          </w:tcPr>
          <w:p>
            <w:pPr>
              <w:ind w:left="500"/>
              <w:spacing w:after="0"/>
              <w:rPr>
                <w:sz w:val="20"/>
                <w:szCs w:val="20"/>
                <w:color w:val="auto"/>
              </w:rPr>
            </w:pPr>
            <w:r>
              <w:rPr>
                <w:rFonts w:ascii="Arial" w:cs="Arial" w:eastAsia="Arial" w:hAnsi="Arial"/>
                <w:sz w:val="16"/>
                <w:szCs w:val="16"/>
                <w:color w:val="auto"/>
              </w:rPr>
              <w:t>Selling Price</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w w:val="89"/>
              </w:rPr>
              <w:t>Shipments</w:t>
            </w:r>
          </w:p>
        </w:tc>
      </w:tr>
      <w:tr>
        <w:trPr>
          <w:trHeight w:val="21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I-Joist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LVL</w:t>
            </w:r>
          </w:p>
        </w:tc>
        <w:tc>
          <w:tcPr>
            <w:tcW w:w="182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19 %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LSL</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200" w:lineRule="exact"/>
        <w:rPr>
          <w:sz w:val="20"/>
          <w:szCs w:val="20"/>
          <w:color w:val="auto"/>
        </w:rPr>
      </w:pP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EWP net sales increased by $79 million (or 99%) and $102 million (or 58%) for the three and six months ended June 30, 2021, respectively, compared to the corresponding periods in 2020. Adjusted EBITDA increased by $15 million and $14 million for the three and six months ended June 30, 2021, respectively, compared to the corresponding periods in 2020. The increases to net sales and Adjusted EBITDA are primarily due to increased pricing to offset increased input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AMERICA</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South America segment manufactures and distributes OSB structural panel and siding products in South America and certain export markets. This segment has manufacturing operations in two countries, Chile and Brazil, and operates sales offices in Chile, Brazil, Peru, Colombia, and Argentina.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Segment sales, Adjusted EBITDA, and Adjusted EBITDA margin for this segment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9" w:name="page30"/>
    <w:bookmarkEnd w:id="29"/>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0" w:type="dxa"/>
            <w:vAlign w:val="bottom"/>
            <w:gridSpan w:val="8"/>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40" w:type="dxa"/>
            <w:vAlign w:val="bottom"/>
            <w:gridSpan w:val="6"/>
          </w:tcPr>
          <w:p>
            <w:pPr>
              <w:jc w:val="center"/>
              <w:ind w:left="579"/>
              <w:spacing w:after="0"/>
              <w:rPr>
                <w:sz w:val="20"/>
                <w:szCs w:val="20"/>
                <w:color w:val="auto"/>
              </w:rPr>
            </w:pPr>
            <w:r>
              <w:rPr>
                <w:rFonts w:ascii="Arial" w:cs="Arial" w:eastAsia="Arial" w:hAnsi="Arial"/>
                <w:sz w:val="16"/>
                <w:szCs w:val="16"/>
                <w:b w:val="1"/>
                <w:bCs w:val="1"/>
                <w:color w:val="auto"/>
                <w:w w:val="91"/>
              </w:rPr>
              <w:t>Six Months Ended June 30,</w:t>
            </w:r>
          </w:p>
        </w:tc>
        <w:tc>
          <w:tcPr>
            <w:tcW w:w="920" w:type="dxa"/>
            <w:vAlign w:val="bottom"/>
          </w:tcPr>
          <w:p>
            <w:pPr>
              <w:spacing w:after="0"/>
              <w:rPr>
                <w:sz w:val="18"/>
                <w:szCs w:val="18"/>
                <w:color w:val="auto"/>
              </w:rPr>
            </w:pPr>
          </w:p>
        </w:tc>
      </w:tr>
      <w:tr>
        <w:trPr>
          <w:trHeight w:val="210"/>
        </w:trPr>
        <w:tc>
          <w:tcPr>
            <w:tcW w:w="35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Change</w:t>
            </w:r>
          </w:p>
        </w:tc>
      </w:tr>
      <w:tr>
        <w:trPr>
          <w:trHeight w:val="212"/>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94 %  $</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76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ind w:left="5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202 %</w:t>
            </w: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46 %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29 %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3"/>
              </w:rPr>
              <w:t>24 %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405"/>
        </w:trPr>
        <w:tc>
          <w:tcPr>
            <w:tcW w:w="4280" w:type="dxa"/>
            <w:vAlign w:val="bottom"/>
            <w:gridSpan w:val="2"/>
          </w:tcPr>
          <w:p>
            <w:pPr>
              <w:spacing w:after="0"/>
              <w:rPr>
                <w:sz w:val="20"/>
                <w:szCs w:val="20"/>
                <w:color w:val="auto"/>
              </w:rPr>
            </w:pPr>
            <w:r>
              <w:rPr>
                <w:rFonts w:ascii="Arial" w:cs="Arial" w:eastAsia="Arial" w:hAnsi="Arial"/>
                <w:sz w:val="18"/>
                <w:szCs w:val="18"/>
                <w:color w:val="auto"/>
                <w:w w:val="99"/>
              </w:rPr>
              <w:t>Sales in this segment by product line were as follows: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519"/>
              <w:spacing w:after="0"/>
              <w:rPr>
                <w:sz w:val="20"/>
                <w:szCs w:val="20"/>
                <w:color w:val="auto"/>
              </w:rPr>
            </w:pPr>
            <w:r>
              <w:rPr>
                <w:rFonts w:ascii="Arial" w:cs="Arial" w:eastAsia="Arial" w:hAnsi="Arial"/>
                <w:sz w:val="16"/>
                <w:szCs w:val="16"/>
                <w:b w:val="1"/>
                <w:bCs w:val="1"/>
                <w:color w:val="auto"/>
                <w:w w:val="93"/>
              </w:rPr>
              <w:t>Three Months Ended June 30,</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ind w:left="160"/>
              <w:spacing w:after="0"/>
              <w:rPr>
                <w:sz w:val="20"/>
                <w:szCs w:val="20"/>
                <w:color w:val="auto"/>
              </w:rPr>
            </w:pPr>
            <w:r>
              <w:rPr>
                <w:rFonts w:ascii="Arial" w:cs="Arial" w:eastAsia="Arial" w:hAnsi="Arial"/>
                <w:sz w:val="16"/>
                <w:szCs w:val="16"/>
                <w:b w:val="1"/>
                <w:bCs w:val="1"/>
                <w:color w:val="auto"/>
                <w:w w:val="90"/>
              </w:rPr>
              <w:t>Six Months Ended June 30,</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10"/>
        </w:trPr>
        <w:tc>
          <w:tcPr>
            <w:tcW w:w="37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Borders>
              <w:bottom w:val="single" w:sz="8" w:color="auto"/>
            </w:tcBorders>
          </w:tcPr>
          <w:p>
            <w:pPr>
              <w:spacing w:after="0"/>
              <w:rPr>
                <w:sz w:val="18"/>
                <w:szCs w:val="18"/>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Siding</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720" w:type="dxa"/>
            <w:vAlign w:val="bottom"/>
          </w:tcPr>
          <w:p>
            <w:pPr>
              <w:ind w:left="360"/>
              <w:spacing w:after="0"/>
              <w:rPr>
                <w:sz w:val="20"/>
                <w:szCs w:val="20"/>
                <w:color w:val="auto"/>
              </w:rPr>
            </w:pPr>
            <w:r>
              <w:rPr>
                <w:rFonts w:ascii="Arial" w:cs="Arial" w:eastAsia="Arial" w:hAnsi="Arial"/>
                <w:sz w:val="16"/>
                <w:szCs w:val="16"/>
                <w:color w:val="auto"/>
              </w:rPr>
              <w:t>Total</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140" w:type="dxa"/>
            <w:vAlign w:val="bottom"/>
          </w:tcPr>
          <w:p>
            <w:pPr>
              <w:spacing w:after="0"/>
              <w:rPr>
                <w:sz w:val="17"/>
                <w:szCs w:val="17"/>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94 %</w:t>
            </w: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126</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1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71 %</w:t>
            </w:r>
          </w:p>
        </w:tc>
      </w:tr>
      <w:tr>
        <w:trPr>
          <w:trHeight w:val="23"/>
        </w:trPr>
        <w:tc>
          <w:tcPr>
            <w:tcW w:w="37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Percent changes in average sales prices and unit shipments for the three and six months ended June 30, 2021, compared to the corresponding periods in 2020,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38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1"/>
              </w:rPr>
              <w:t>Three Months Ended June 30,</w:t>
            </w:r>
          </w:p>
        </w:tc>
        <w:tc>
          <w:tcPr>
            <w:tcW w:w="3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3"/>
        </w:trPr>
        <w:tc>
          <w:tcPr>
            <w:tcW w:w="3620" w:type="dxa"/>
            <w:vAlign w:val="bottom"/>
          </w:tcPr>
          <w:p>
            <w:pPr>
              <w:spacing w:after="0"/>
              <w:rPr>
                <w:sz w:val="18"/>
                <w:szCs w:val="18"/>
                <w:color w:val="auto"/>
              </w:rPr>
            </w:pPr>
          </w:p>
        </w:tc>
        <w:tc>
          <w:tcPr>
            <w:tcW w:w="2480" w:type="dxa"/>
            <w:vAlign w:val="bottom"/>
            <w:tcBorders>
              <w:bottom w:val="single" w:sz="8" w:color="auto"/>
            </w:tcBorders>
            <w:gridSpan w:val="3"/>
          </w:tcPr>
          <w:p>
            <w:pPr>
              <w:jc w:val="center"/>
              <w:ind w:left="1199"/>
              <w:spacing w:after="0"/>
              <w:rPr>
                <w:sz w:val="20"/>
                <w:szCs w:val="20"/>
                <w:color w:val="auto"/>
              </w:rPr>
            </w:pPr>
            <w:r>
              <w:rPr>
                <w:rFonts w:ascii="Arial" w:cs="Arial" w:eastAsia="Arial" w:hAnsi="Arial"/>
                <w:sz w:val="16"/>
                <w:szCs w:val="16"/>
                <w:b w:val="1"/>
                <w:bCs w:val="1"/>
                <w:color w:val="auto"/>
                <w:w w:val="88"/>
              </w:rPr>
              <w:t>2021 versus 2020</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8"/>
              </w:rPr>
              <w:t>2021 versus 2020</w:t>
            </w:r>
          </w:p>
        </w:tc>
        <w:tc>
          <w:tcPr>
            <w:tcW w:w="1260" w:type="dxa"/>
            <w:vAlign w:val="bottom"/>
            <w:tcBorders>
              <w:bottom w:val="single" w:sz="8" w:color="auto"/>
            </w:tcBorders>
          </w:tcPr>
          <w:p>
            <w:pPr>
              <w:spacing w:after="0"/>
              <w:rPr>
                <w:sz w:val="18"/>
                <w:szCs w:val="18"/>
                <w:color w:val="auto"/>
              </w:rPr>
            </w:pPr>
          </w:p>
        </w:tc>
      </w:tr>
      <w:tr>
        <w:trPr>
          <w:trHeight w:val="162"/>
        </w:trPr>
        <w:tc>
          <w:tcPr>
            <w:tcW w:w="3620" w:type="dxa"/>
            <w:vAlign w:val="bottom"/>
          </w:tcPr>
          <w:p>
            <w:pPr>
              <w:spacing w:after="0"/>
              <w:rPr>
                <w:sz w:val="14"/>
                <w:szCs w:val="14"/>
                <w:color w:val="auto"/>
              </w:rPr>
            </w:pPr>
          </w:p>
        </w:tc>
        <w:tc>
          <w:tcPr>
            <w:tcW w:w="2480" w:type="dxa"/>
            <w:vAlign w:val="bottom"/>
            <w:gridSpan w:val="3"/>
          </w:tcPr>
          <w:p>
            <w:pPr>
              <w:ind w:left="500"/>
              <w:spacing w:after="0" w:line="162" w:lineRule="exact"/>
              <w:rPr>
                <w:sz w:val="20"/>
                <w:szCs w:val="20"/>
                <w:color w:val="auto"/>
              </w:rPr>
            </w:pPr>
            <w:r>
              <w:rPr>
                <w:rFonts w:ascii="Arial" w:cs="Arial" w:eastAsia="Arial" w:hAnsi="Arial"/>
                <w:sz w:val="16"/>
                <w:szCs w:val="16"/>
                <w:color w:val="auto"/>
              </w:rPr>
              <w:t>Average Net</w:t>
            </w:r>
          </w:p>
        </w:tc>
        <w:tc>
          <w:tcPr>
            <w:tcW w:w="1380" w:type="dxa"/>
            <w:vAlign w:val="bottom"/>
            <w:gridSpan w:val="2"/>
          </w:tcPr>
          <w:p>
            <w:pPr>
              <w:jc w:val="center"/>
              <w:ind w:right="660"/>
              <w:spacing w:after="0" w:line="162" w:lineRule="exact"/>
              <w:rPr>
                <w:sz w:val="20"/>
                <w:szCs w:val="20"/>
                <w:color w:val="auto"/>
              </w:rPr>
            </w:pPr>
            <w:r>
              <w:rPr>
                <w:rFonts w:ascii="Arial" w:cs="Arial" w:eastAsia="Arial" w:hAnsi="Arial"/>
                <w:sz w:val="16"/>
                <w:szCs w:val="16"/>
                <w:color w:val="auto"/>
                <w:w w:val="98"/>
              </w:rPr>
              <w:t>Unit</w:t>
            </w:r>
          </w:p>
        </w:tc>
        <w:tc>
          <w:tcPr>
            <w:tcW w:w="2500" w:type="dxa"/>
            <w:vAlign w:val="bottom"/>
            <w:gridSpan w:val="3"/>
          </w:tcPr>
          <w:p>
            <w:pPr>
              <w:ind w:left="520"/>
              <w:spacing w:after="0" w:line="162" w:lineRule="exact"/>
              <w:rPr>
                <w:sz w:val="20"/>
                <w:szCs w:val="20"/>
                <w:color w:val="auto"/>
              </w:rPr>
            </w:pPr>
            <w:r>
              <w:rPr>
                <w:rFonts w:ascii="Arial" w:cs="Arial" w:eastAsia="Arial" w:hAnsi="Arial"/>
                <w:sz w:val="16"/>
                <w:szCs w:val="16"/>
                <w:color w:val="auto"/>
              </w:rPr>
              <w:t>Average Net</w:t>
            </w:r>
          </w:p>
        </w:tc>
        <w:tc>
          <w:tcPr>
            <w:tcW w:w="1260" w:type="dxa"/>
            <w:vAlign w:val="bottom"/>
          </w:tcPr>
          <w:p>
            <w:pPr>
              <w:jc w:val="right"/>
              <w:ind w:right="67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620" w:type="dxa"/>
            <w:vAlign w:val="bottom"/>
          </w:tcPr>
          <w:p>
            <w:pPr>
              <w:spacing w:after="0"/>
              <w:rPr>
                <w:sz w:val="18"/>
                <w:szCs w:val="18"/>
                <w:color w:val="auto"/>
              </w:rPr>
            </w:pPr>
          </w:p>
        </w:tc>
        <w:tc>
          <w:tcPr>
            <w:tcW w:w="2480" w:type="dxa"/>
            <w:vAlign w:val="bottom"/>
            <w:gridSpan w:val="3"/>
          </w:tcPr>
          <w:p>
            <w:pPr>
              <w:ind w:left="500"/>
              <w:spacing w:after="0"/>
              <w:rPr>
                <w:sz w:val="20"/>
                <w:szCs w:val="20"/>
                <w:color w:val="auto"/>
              </w:rPr>
            </w:pPr>
            <w:r>
              <w:rPr>
                <w:rFonts w:ascii="Arial" w:cs="Arial" w:eastAsia="Arial" w:hAnsi="Arial"/>
                <w:sz w:val="16"/>
                <w:szCs w:val="16"/>
                <w:color w:val="auto"/>
              </w:rPr>
              <w:t>Selling Price</w:t>
            </w:r>
          </w:p>
        </w:tc>
        <w:tc>
          <w:tcPr>
            <w:tcW w:w="1380" w:type="dxa"/>
            <w:vAlign w:val="bottom"/>
            <w:gridSpan w:val="2"/>
          </w:tcPr>
          <w:p>
            <w:pPr>
              <w:jc w:val="center"/>
              <w:ind w:right="660"/>
              <w:spacing w:after="0"/>
              <w:rPr>
                <w:sz w:val="20"/>
                <w:szCs w:val="20"/>
                <w:color w:val="auto"/>
              </w:rPr>
            </w:pPr>
            <w:r>
              <w:rPr>
                <w:rFonts w:ascii="Arial" w:cs="Arial" w:eastAsia="Arial" w:hAnsi="Arial"/>
                <w:sz w:val="16"/>
                <w:szCs w:val="16"/>
                <w:color w:val="auto"/>
                <w:w w:val="89"/>
              </w:rPr>
              <w:t>Shipments</w:t>
            </w:r>
          </w:p>
        </w:tc>
        <w:tc>
          <w:tcPr>
            <w:tcW w:w="2500" w:type="dxa"/>
            <w:vAlign w:val="bottom"/>
            <w:gridSpan w:val="3"/>
          </w:tcPr>
          <w:p>
            <w:pPr>
              <w:ind w:left="500"/>
              <w:spacing w:after="0"/>
              <w:rPr>
                <w:sz w:val="20"/>
                <w:szCs w:val="20"/>
                <w:color w:val="auto"/>
              </w:rPr>
            </w:pPr>
            <w:r>
              <w:rPr>
                <w:rFonts w:ascii="Arial" w:cs="Arial" w:eastAsia="Arial" w:hAnsi="Arial"/>
                <w:sz w:val="16"/>
                <w:szCs w:val="16"/>
                <w:color w:val="auto"/>
              </w:rPr>
              <w:t>Selling Price</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w w:val="89"/>
              </w:rPr>
              <w:t>Shipments</w:t>
            </w:r>
          </w:p>
        </w:tc>
      </w:tr>
      <w:tr>
        <w:trPr>
          <w:trHeight w:val="21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OSB</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Siding</w:t>
            </w:r>
          </w:p>
        </w:tc>
        <w:tc>
          <w:tcPr>
            <w:tcW w:w="1820" w:type="dxa"/>
            <w:vAlign w:val="bottom"/>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39 %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65 %</w:t>
            </w:r>
          </w:p>
        </w:tc>
      </w:tr>
    </w:tbl>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 America net sales increased by $36 million (or 94%) and $52 million (or 71%) for the three and six months ended June 30, 2021, respectively, compared to the corresponding periods in 2020, primarily due to higher OSB and siding pricing.</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increased by $23 million and $36 million for the three and six months ended June 30, 2021, respectively, compared to the corresponding periods in 2020, primarily due to the increased pricing, partially offset by higher imported raw material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products segment includes off-site framing operation Entekra Holdings, LLC, ("Entekra") remaining timber and timberlands, and other minor products, services, and closed operations, which do not qualify as discontinued operations. Other net sales were $26 million and $43 million for three and six months ended June 30, 2021, respectively, as compared to $7 million and $25 million for the corresponding periods in 2020. These increases are primarily due to increases in Entekra sales volume.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was $(4) million and (8) million for the three and six months ended June 30, 2021, respectively, as compared to $(5) million and $(8) million for the corresponding periods in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were $57 million and $105 million for the three and six months ended June 30, 2021, respectively, compared to $50 million and $105 million for the corresponding periods in 2020. The increase in 2021 is primarily due to increased travel, sales-related initiatives, and corporate overhead primarily driven by restrictions on such activities in 2020 in response to the onset of the COVID-19 pandemic.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an estimated tax provision of $147 million and $244 million for the three and six months ended June 30, 2021, respectively, compared to $19 million and $28 million for the corresponding periods of 2020. Each quarter the income tax accrual is adjusted to the latest estimate, and the difference from the previously accrued year-to-date balance is recorded in the current quarter. For 2021, the primary differences between the U.S. statutory rate of 21% and the effective rate relate to state income tax. For 2020, the primary differences between the U.S. statutory rate of 21% and the effective rate related to state income tax, foreign tax rates, tax credits, stock-based compensation, the sale of our ARS and the redemption of our company-owned life insurance cash surrender value.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Environmental Matters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discussion of legal and environmental matters involving us and the potential impact thereof on our financial position, results of operations and cash flows, see Items 3, 7 and 8 in our 2020 Annual Report on Form 10-K and Note 11 of the Notes to the Condensed Consolidated Financial Statements included in Item 1 of this quarterly report on Form 10-Q.</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sources of liquidity are existing cash and investment balances, cash generated by our operations, and our ability to borrow under such credit facilities as we may have in effect from time to time. We may also, from time to time, issue and sell equity, debt or hybrid securities, or engage in other capital market transactions.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affecting any such repurchases may be changed at any time, or from time to time, without prior notice.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June 30, 2021, and 2020, cash provided by operations was $457 million and $129 million, respectively. During the six months ended June 30, 2021, and 2020, cash provided by operations was $772 million and $120 million, respectively. The improvement in cash provided by operations for the period ended June 30, 2021, was primarily related to increases in OSB commodity pricing and revenue growth in Siding Solutions.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June 30, 2021, and 2020, cash used in investing activities was $31 million and cash provided by investing activities was $12 million, respectively. During the six months ended June 30, 2021, and 2020, cash used in investing activities was $63 million and $12 million, respectively.</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Capital expenditures for the three months ended June 30, 2021, and 2020, were $32 million and $15 million, respectively. Capital expenditures for the six months ended June 30, 2021, and 2020, were $65 million and $39 million, respectively, primarily related to siding conversion expenditures and growth and maintenance capital. We expect to fund our capital expenditures through cash on hand and cash generated from operations.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2020, we received $14 million in cash related to the divestiture of our East River facility and assets and brand rights of CanExel®, $10 million related to the cash surrender value of the company-owned life insurance policy, and $3 million related to the sale of our 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and six months ended June 30, 2021, cash used in financing activities was $484 million and $642 million, respectively. During the three and six months ended June 30, 2021, we used $178 million and $300 million, respectively, to repurchase shares of LP common stock under the 2020 Share Repurchase Program. During the three months ended June 30, 2021, we used $288 million to repurchase shares of LP common stock under the 2021 Share Repurchase Program. We paid cash dividends of $16 million and $33 million in the three and six months ended June 30, 2021, respectively.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in March 2021, we issued $350 million aggregate principal amount of the 2029 Senior Notes. In February 2021, LP delivered to holders of the 2024 Senior Notes a conditional notice of redemption to redeem on March 27, 2021 all of the 2024 Senior Notes outstanding at a redemption price of 102.438% of the principal amount thereof plus accrued and unpaid interest to, but not including, the redemption date. The redemption notice became irrevocable on March 11, 2021, and the 2024 Senior Notes were fully redeemed on March 27, 2021. In connection with financing activities, we paid $2 million in debt issuance costs related to the Third Amendment during the three months ended June 30, 2021, and $13 million in redemption premiums and debt issuance costs related to the 2024 Senior Notes during the six months ended June 30, 2021. The remaining financing activities relate to the repurchase of stock from employees in connection with income tax withholding requirements associated with our employee stock-based compensation plans.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six months ended June 30, 2020, cash used in financing activities was $368 million and $39 million, respectively. In March 2020, we borrowed $350 million under our Amended Credit Facility as a precautionary measure due to the COVID-19 pandemic, and we repaid the outstanding balance in June 2020. We also paid $1 million of financing costs associated with our Amended Credit Facility and the Third Amendment during the three and six months ended June 30, 2020. During the three and six months ended June 30, 2020, we paid cash dividends of $17 million and $33 million, respectively. Additionally, we used $5 million to repurchase stock from employees in connection with income tax withholding requirements associated with our employee stock-based compensation plans.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LETTER OF CREDIT FACILITY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Amended Credit Facility provides for a revolving credit facility in the principal amount of up to $550 million, with a $60 million sub-limit for letters of credit. The Amended Credit Facility, and all loans thereunder become due, on June 8, 2027. As of June 30, 2021, we had no amounts outstanding under the Amended Credit Facility.</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Amended Credit Facility contains various restrictive covenants and customary events of default, the occurrence of which could result in the acceleration of our obligation to repay the indebtedness outstanding thereunder. The Amended Credit Facility also contains financial covenants that requires us and our consolidated subsidiaries to have, as of the end of each quarter, (i) a capitalization ratio (i.e., funded debt less unrestricted cash to total capitalization) of no more than 57.5% and (ii) a minimum consolidated net worth of at least $475 million plus 70% of consolidated net income after December 31, 2019, without deduction for net losses. As of June 30, 2021, we were in compliance with all financial covenants under the Amended Credit Facility.</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2020, LP entered into the Letter of Credit Facility, which provides for the funding of letters of credit up to an aggregate outstanding amount of $20 million, which may be secured by certain cash collateral of LP. The Letter of Credit Facility includes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Amended Credit Facility, including capitalization ratio and minimum net worth covenants. As of June 30, 2021, we were in compliance with all covenants under the Letter of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LIQUIDITY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Off-Balance Sheet Arrangements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had standby letters of credit of $12 million outstanding related to collateral for environmental impact on owned properties, deposit for forestry license, and insurance collateral, including workers' compensation.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Impairments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review our mill and investment assets for potential impairments at least annually and believe we have adequate support for the carrying value of our assets as of June 30, 2021.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demand and pricing for our products are significantly below cycle average demand and pricing, or should we decide to invest capital in alternative projects, or should changes occur related to our wood supply for these locations, or should demand and pricing of our products fall as a result of the long-term effects of the COVID-19 pandemic, it is possible that future impairment charges will be required. As of June 30, 2021, there were no indications of impairment.</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review from time to time possible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3" w:name="page34"/>
    <w:bookmarkEnd w:id="33"/>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 Canadian dollar, Brazilian real and the Chilean peso.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material currency rate hedges with respect to our exposure from operations, although we may do so in the future.</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Some of our products are sold as commodities, and therefore sales prices fluctuate daily based on market factors over which we have little or no control. The most significant commodity product we sell is OSB. Based upon an assumed North America annual production capacity in the OSB segment of 4.5 billion square feet (3/8" basis) or 3.9 billion square feet (7/16" basis), a $1 change in the annual average price per thousand square feet on a 7/16" basis would change annual pre-tax profits by approximately $4 million. Excluding the Peace Valley facility, which was curtailed in 2019, a $1 change in the annual average price per thousand square feet on a 7/16" basis would change annual pre-tax profits by approximately $3 million.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associated with changes in interest rates on our variable rate long-term debt. As of June 30, 2021, we had no outstanding amounts borrowed under our Amended Credit Facility. We do not currently have any derivative or hedging arrangements, or other known exposures, to changes in interest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historically have not entered into material commodity futures and swaps, although we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our Chief Executive Officer and Chief Financial Officer carried out, with the participation of the Company's Disclosure Practices Committee and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June 30, 2021, LP’s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LOUISIANA-PACIFIC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set forth: (1) our sales volumes, (2) housing starts and (3) OEE. We consider the following items to be key performance indicators because LP’s management uses these metrics to evaluate our business and trends, measure our performance, and make strategic decisions and believes that the key performance indicators presented provide additional perspective and insights when analyzing the core operating performance of LP. These key performance indicators should not be considered superior to, as a substitute for or as an alternative to, and should be considered in conjunction with, the U.S. GAAP financial measures presented herein. These measures may not be comparable to similarly-titled performance indicators used by other companies.</w:t>
      </w:r>
    </w:p>
    <w:p>
      <w:pPr>
        <w:spacing w:after="0" w:line="21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similarly-titled indicators reported by other companies.</w:t>
      </w:r>
    </w:p>
    <w:tbl>
      <w:tblPr>
        <w:tblLayout w:type="fixed"/>
        <w:tblInd w:w="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3280" w:type="dxa"/>
            <w:vAlign w:val="bottom"/>
            <w:gridSpan w:val="4"/>
          </w:tcPr>
          <w:p>
            <w:pPr>
              <w:ind w:left="540"/>
              <w:spacing w:after="0"/>
              <w:rPr>
                <w:sz w:val="20"/>
                <w:szCs w:val="20"/>
                <w:color w:val="auto"/>
              </w:rPr>
            </w:pPr>
            <w:r>
              <w:rPr>
                <w:rFonts w:ascii="Arial" w:cs="Arial" w:eastAsia="Arial" w:hAnsi="Arial"/>
                <w:sz w:val="16"/>
                <w:szCs w:val="16"/>
                <w:b w:val="1"/>
                <w:bCs w:val="1"/>
                <w:color w:val="auto"/>
              </w:rPr>
              <w:t>Three Months Ended June 30,</w:t>
            </w:r>
          </w:p>
        </w:tc>
        <w:tc>
          <w:tcPr>
            <w:tcW w:w="320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7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199"/>
        </w:trPr>
        <w:tc>
          <w:tcPr>
            <w:tcW w:w="4720" w:type="dxa"/>
            <w:vAlign w:val="bottom"/>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Housing starts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Single-Family</w:t>
            </w:r>
          </w:p>
        </w:tc>
        <w:tc>
          <w:tcPr>
            <w:tcW w:w="1500" w:type="dxa"/>
            <w:vAlign w:val="bottom"/>
          </w:tcPr>
          <w:p>
            <w:pPr>
              <w:jc w:val="right"/>
              <w:spacing w:after="0"/>
              <w:rPr>
                <w:sz w:val="20"/>
                <w:szCs w:val="20"/>
                <w:color w:val="auto"/>
              </w:rPr>
            </w:pPr>
            <w:r>
              <w:rPr>
                <w:rFonts w:ascii="Arial" w:cs="Arial" w:eastAsia="Arial" w:hAnsi="Arial"/>
                <w:sz w:val="16"/>
                <w:szCs w:val="16"/>
                <w:color w:val="auto"/>
              </w:rPr>
              <w:t>308</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563</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Multi-Family</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09"/>
        </w:trPr>
        <w:tc>
          <w:tcPr>
            <w:tcW w:w="47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r>
      <w:tr>
        <w:trPr>
          <w:trHeight w:val="23"/>
        </w:trPr>
        <w:tc>
          <w:tcPr>
            <w:tcW w:w="47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ind w:left="100" w:hanging="74"/>
        <w:spacing w:after="0"/>
        <w:tabs>
          <w:tab w:leader="none" w:pos="10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Actual U.S. Housing starts data reported by U.S. Census Bureau as published through July 20, 2021.</w:t>
      </w: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monitor sales volumes for our products in our Siding, OSB and EWP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volumes differently and, therefore, as presented by us, sales volumes may not be comparable to similarly-titled measures reported by other companies. We believe that sales volumes can be a useful measure for evaluating and understanding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North American sales volumes for the three and six months ended June 30, 2021, and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11"/>
          </w:tcPr>
          <w:p>
            <w:pPr>
              <w:ind w:left="340"/>
              <w:spacing w:after="0"/>
              <w:rPr>
                <w:sz w:val="20"/>
                <w:szCs w:val="20"/>
                <w:color w:val="auto"/>
              </w:rPr>
            </w:pPr>
            <w:r>
              <w:rPr>
                <w:rFonts w:ascii="Arial" w:cs="Arial" w:eastAsia="Arial" w:hAnsi="Arial"/>
                <w:sz w:val="16"/>
                <w:szCs w:val="16"/>
                <w:b w:val="1"/>
                <w:bCs w:val="1"/>
                <w:color w:val="auto"/>
              </w:rPr>
              <w:t>Three Months Ended June 30, 2021</w:t>
            </w:r>
          </w:p>
        </w:tc>
        <w:tc>
          <w:tcPr>
            <w:tcW w:w="280" w:type="dxa"/>
            <w:vAlign w:val="bottom"/>
          </w:tcPr>
          <w:p>
            <w:pPr>
              <w:spacing w:after="0"/>
              <w:rPr>
                <w:sz w:val="18"/>
                <w:szCs w:val="18"/>
                <w:color w:val="auto"/>
              </w:rPr>
            </w:pPr>
          </w:p>
        </w:tc>
        <w:tc>
          <w:tcPr>
            <w:tcW w:w="3500" w:type="dxa"/>
            <w:vAlign w:val="bottom"/>
            <w:gridSpan w:val="9"/>
          </w:tcPr>
          <w:p>
            <w:pPr>
              <w:jc w:val="right"/>
              <w:ind w:right="660"/>
              <w:spacing w:after="0"/>
              <w:rPr>
                <w:sz w:val="20"/>
                <w:szCs w:val="20"/>
                <w:color w:val="auto"/>
              </w:rPr>
            </w:pPr>
            <w:r>
              <w:rPr>
                <w:rFonts w:ascii="Arial" w:cs="Arial" w:eastAsia="Arial" w:hAnsi="Arial"/>
                <w:sz w:val="16"/>
                <w:szCs w:val="16"/>
                <w:b w:val="1"/>
                <w:bCs w:val="1"/>
                <w:color w:val="auto"/>
              </w:rPr>
              <w:t>Three Months Ended June 30, 2020</w:t>
            </w:r>
          </w:p>
        </w:tc>
      </w:tr>
      <w:tr>
        <w:trPr>
          <w:trHeight w:val="175"/>
        </w:trPr>
        <w:tc>
          <w:tcPr>
            <w:tcW w:w="356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Sales Volume</w:t>
            </w: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319"/>
              <w:spacing w:after="0" w:line="175" w:lineRule="exact"/>
              <w:rPr>
                <w:sz w:val="20"/>
                <w:szCs w:val="20"/>
                <w:color w:val="auto"/>
              </w:rPr>
            </w:pPr>
            <w:r>
              <w:rPr>
                <w:rFonts w:ascii="Arial" w:cs="Arial" w:eastAsia="Arial" w:hAnsi="Arial"/>
                <w:sz w:val="16"/>
                <w:szCs w:val="16"/>
                <w:b w:val="1"/>
                <w:bCs w:val="1"/>
                <w:color w:val="auto"/>
                <w:w w:val="85"/>
              </w:rPr>
              <w:t>Siding</w:t>
            </w:r>
          </w:p>
        </w:tc>
        <w:tc>
          <w:tcPr>
            <w:tcW w:w="980" w:type="dxa"/>
            <w:vAlign w:val="bottom"/>
            <w:tcBorders>
              <w:top w:val="single" w:sz="8" w:color="auto"/>
            </w:tcBorders>
            <w:gridSpan w:val="3"/>
          </w:tcPr>
          <w:p>
            <w:pPr>
              <w:ind w:left="160"/>
              <w:spacing w:after="0" w:line="175" w:lineRule="exact"/>
              <w:rPr>
                <w:sz w:val="20"/>
                <w:szCs w:val="20"/>
                <w:color w:val="auto"/>
              </w:rPr>
            </w:pPr>
            <w:r>
              <w:rPr>
                <w:rFonts w:ascii="Arial" w:cs="Arial" w:eastAsia="Arial" w:hAnsi="Arial"/>
                <w:sz w:val="16"/>
                <w:szCs w:val="16"/>
                <w:b w:val="1"/>
                <w:bCs w:val="1"/>
                <w:color w:val="auto"/>
              </w:rPr>
              <w:t>OSB</w:t>
            </w:r>
          </w:p>
        </w:tc>
        <w:tc>
          <w:tcPr>
            <w:tcW w:w="720" w:type="dxa"/>
            <w:vAlign w:val="bottom"/>
            <w:tcBorders>
              <w:top w:val="single" w:sz="8" w:color="auto"/>
            </w:tcBorders>
            <w:gridSpan w:val="2"/>
          </w:tcPr>
          <w:p>
            <w:pPr>
              <w:jc w:val="right"/>
              <w:ind w:right="360"/>
              <w:spacing w:after="0" w:line="175" w:lineRule="exact"/>
              <w:rPr>
                <w:sz w:val="20"/>
                <w:szCs w:val="20"/>
                <w:color w:val="auto"/>
              </w:rPr>
            </w:pPr>
            <w:r>
              <w:rPr>
                <w:rFonts w:ascii="Arial" w:cs="Arial" w:eastAsia="Arial" w:hAnsi="Arial"/>
                <w:sz w:val="16"/>
                <w:szCs w:val="16"/>
                <w:b w:val="1"/>
                <w:bCs w:val="1"/>
                <w:color w:val="auto"/>
                <w:w w:val="93"/>
              </w:rPr>
              <w:t>EWP</w:t>
            </w:r>
          </w:p>
        </w:tc>
        <w:tc>
          <w:tcPr>
            <w:tcW w:w="920" w:type="dxa"/>
            <w:vAlign w:val="bottom"/>
            <w:tcBorders>
              <w:top w:val="single" w:sz="8" w:color="auto"/>
            </w:tcBorders>
            <w:gridSpan w:val="3"/>
          </w:tcPr>
          <w:p>
            <w:pPr>
              <w:jc w:val="right"/>
              <w:ind w:right="360"/>
              <w:spacing w:after="0" w:line="175"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c>
          <w:tcPr>
            <w:tcW w:w="1120" w:type="dxa"/>
            <w:vAlign w:val="bottom"/>
            <w:tcBorders>
              <w:top w:val="single" w:sz="8" w:color="auto"/>
            </w:tcBorders>
            <w:gridSpan w:val="3"/>
          </w:tcPr>
          <w:p>
            <w:pPr>
              <w:jc w:val="right"/>
              <w:ind w:right="319"/>
              <w:spacing w:after="0" w:line="175" w:lineRule="exact"/>
              <w:rPr>
                <w:sz w:val="20"/>
                <w:szCs w:val="20"/>
                <w:color w:val="auto"/>
              </w:rPr>
            </w:pPr>
            <w:r>
              <w:rPr>
                <w:rFonts w:ascii="Arial" w:cs="Arial" w:eastAsia="Arial" w:hAnsi="Arial"/>
                <w:sz w:val="16"/>
                <w:szCs w:val="16"/>
                <w:b w:val="1"/>
                <w:bCs w:val="1"/>
                <w:color w:val="auto"/>
              </w:rPr>
              <w:t>Siding</w:t>
            </w:r>
          </w:p>
        </w:tc>
        <w:tc>
          <w:tcPr>
            <w:tcW w:w="1000" w:type="dxa"/>
            <w:vAlign w:val="bottom"/>
            <w:tcBorders>
              <w:top w:val="single" w:sz="8" w:color="auto"/>
            </w:tcBorders>
            <w:gridSpan w:val="3"/>
          </w:tcPr>
          <w:p>
            <w:pPr>
              <w:jc w:val="right"/>
              <w:ind w:right="439"/>
              <w:spacing w:after="0" w:line="175" w:lineRule="exact"/>
              <w:rPr>
                <w:sz w:val="20"/>
                <w:szCs w:val="20"/>
                <w:color w:val="auto"/>
              </w:rPr>
            </w:pPr>
            <w:r>
              <w:rPr>
                <w:rFonts w:ascii="Arial" w:cs="Arial" w:eastAsia="Arial" w:hAnsi="Arial"/>
                <w:sz w:val="16"/>
                <w:szCs w:val="16"/>
                <w:b w:val="1"/>
                <w:bCs w:val="1"/>
                <w:color w:val="auto"/>
              </w:rPr>
              <w:t>OSB</w:t>
            </w:r>
          </w:p>
        </w:tc>
        <w:tc>
          <w:tcPr>
            <w:tcW w:w="960" w:type="dxa"/>
            <w:vAlign w:val="bottom"/>
            <w:tcBorders>
              <w:top w:val="single" w:sz="8" w:color="auto"/>
            </w:tcBorders>
            <w:gridSpan w:val="2"/>
          </w:tcPr>
          <w:p>
            <w:pPr>
              <w:jc w:val="right"/>
              <w:ind w:right="519"/>
              <w:spacing w:after="0" w:line="175" w:lineRule="exact"/>
              <w:rPr>
                <w:sz w:val="20"/>
                <w:szCs w:val="20"/>
                <w:color w:val="auto"/>
              </w:rPr>
            </w:pPr>
            <w:r>
              <w:rPr>
                <w:rFonts w:ascii="Arial" w:cs="Arial" w:eastAsia="Arial" w:hAnsi="Arial"/>
                <w:sz w:val="16"/>
                <w:szCs w:val="16"/>
                <w:b w:val="1"/>
                <w:bCs w:val="1"/>
                <w:color w:val="auto"/>
                <w:w w:val="93"/>
              </w:rPr>
              <w:t>EWP</w:t>
            </w:r>
          </w:p>
        </w:tc>
        <w:tc>
          <w:tcPr>
            <w:tcW w:w="700" w:type="dxa"/>
            <w:vAlign w:val="bottom"/>
            <w:tcBorders>
              <w:top w:val="single" w:sz="8" w:color="auto"/>
            </w:tcBorders>
            <w:gridSpan w:val="2"/>
          </w:tcPr>
          <w:p>
            <w:pPr>
              <w:jc w:val="right"/>
              <w:ind w:right="340"/>
              <w:spacing w:after="0" w:line="175" w:lineRule="exact"/>
              <w:rPr>
                <w:sz w:val="20"/>
                <w:szCs w:val="20"/>
                <w:color w:val="auto"/>
              </w:rPr>
            </w:pPr>
            <w:r>
              <w:rPr>
                <w:rFonts w:ascii="Arial" w:cs="Arial" w:eastAsia="Arial" w:hAnsi="Arial"/>
                <w:sz w:val="16"/>
                <w:szCs w:val="16"/>
                <w:b w:val="1"/>
                <w:bCs w:val="1"/>
                <w:color w:val="auto"/>
                <w:w w:val="88"/>
              </w:rPr>
              <w:t>Total</w:t>
            </w:r>
          </w:p>
        </w:tc>
      </w:tr>
      <w:tr>
        <w:trPr>
          <w:trHeight w:val="20"/>
        </w:trPr>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 (MMSF)</w:t>
            </w:r>
          </w:p>
        </w:tc>
        <w:tc>
          <w:tcPr>
            <w:tcW w:w="116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406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319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319</w:t>
            </w: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OSB - commodity (MMSF)</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center"/>
              <w:ind w:left="179"/>
              <w:spacing w:after="0"/>
              <w:rPr>
                <w:sz w:val="20"/>
                <w:szCs w:val="20"/>
                <w:color w:val="auto"/>
              </w:rPr>
            </w:pPr>
            <w:r>
              <w:rPr>
                <w:rFonts w:ascii="Arial" w:cs="Arial" w:eastAsia="Arial" w:hAnsi="Arial"/>
                <w:sz w:val="16"/>
                <w:szCs w:val="16"/>
                <w:color w:val="auto"/>
                <w:w w:val="89"/>
              </w:rPr>
              <w:t>481</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239"/>
              <w:spacing w:after="0"/>
              <w:rPr>
                <w:sz w:val="20"/>
                <w:szCs w:val="20"/>
                <w:color w:val="auto"/>
              </w:rPr>
            </w:pPr>
            <w:r>
              <w:rPr>
                <w:rFonts w:ascii="Arial" w:cs="Arial" w:eastAsia="Arial" w:hAnsi="Arial"/>
                <w:sz w:val="16"/>
                <w:szCs w:val="16"/>
                <w:color w:val="auto"/>
              </w:rPr>
              <w:t>480</w:t>
            </w:r>
          </w:p>
        </w:tc>
        <w:tc>
          <w:tcPr>
            <w:tcW w:w="360" w:type="dxa"/>
            <w:vAlign w:val="bottom"/>
          </w:tcPr>
          <w:p>
            <w:pPr>
              <w:spacing w:after="0"/>
              <w:rPr>
                <w:sz w:val="18"/>
                <w:szCs w:val="18"/>
                <w:color w:val="auto"/>
              </w:rPr>
            </w:pPr>
          </w:p>
        </w:tc>
        <w:tc>
          <w:tcPr>
            <w:tcW w:w="600" w:type="dxa"/>
            <w:vAlign w:val="bottom"/>
          </w:tcPr>
          <w:p>
            <w:pPr>
              <w:jc w:val="right"/>
              <w:ind w:right="339"/>
              <w:spacing w:after="0"/>
              <w:rPr>
                <w:sz w:val="20"/>
                <w:szCs w:val="20"/>
                <w:color w:val="auto"/>
              </w:rPr>
            </w:pPr>
            <w:r>
              <w:rPr>
                <w:rFonts w:ascii="Arial" w:cs="Arial" w:eastAsia="Arial" w:hAnsi="Arial"/>
                <w:sz w:val="16"/>
                <w:szCs w:val="16"/>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480</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 (MMSF)</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89"/>
              </w:rPr>
              <w:t>403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339</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339</w:t>
            </w: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I-Joist (MMLF)</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center"/>
              <w:ind w:right="199"/>
              <w:spacing w:after="0"/>
              <w:rPr>
                <w:sz w:val="20"/>
                <w:szCs w:val="20"/>
                <w:color w:val="auto"/>
              </w:rPr>
            </w:pPr>
            <w:r>
              <w:rPr>
                <w:rFonts w:ascii="Arial" w:cs="Arial" w:eastAsia="Arial" w:hAnsi="Arial"/>
                <w:sz w:val="16"/>
                <w:szCs w:val="16"/>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33</w:t>
            </w: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24</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LVL (MCF)</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1,809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1,534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1,534</w:t>
            </w:r>
          </w:p>
        </w:tc>
      </w:tr>
      <w:tr>
        <w:trPr>
          <w:trHeight w:val="210"/>
        </w:trPr>
        <w:tc>
          <w:tcPr>
            <w:tcW w:w="3560" w:type="dxa"/>
            <w:vAlign w:val="bottom"/>
          </w:tcPr>
          <w:p>
            <w:pPr>
              <w:ind w:left="20"/>
              <w:spacing w:after="0"/>
              <w:rPr>
                <w:sz w:val="20"/>
                <w:szCs w:val="20"/>
                <w:color w:val="auto"/>
              </w:rPr>
            </w:pPr>
            <w:r>
              <w:rPr>
                <w:rFonts w:ascii="Arial" w:cs="Arial" w:eastAsia="Arial" w:hAnsi="Arial"/>
                <w:sz w:val="16"/>
                <w:szCs w:val="16"/>
                <w:color w:val="auto"/>
              </w:rPr>
              <w:t>LSL (MCF)</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center"/>
              <w:ind w:right="199"/>
              <w:spacing w:after="0"/>
              <w:rPr>
                <w:sz w:val="20"/>
                <w:szCs w:val="20"/>
                <w:color w:val="auto"/>
              </w:rPr>
            </w:pPr>
            <w:r>
              <w:rPr>
                <w:rFonts w:ascii="Arial" w:cs="Arial" w:eastAsia="Arial" w:hAnsi="Arial"/>
                <w:sz w:val="16"/>
                <w:szCs w:val="16"/>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536</w:t>
            </w: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573</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w w:val="90"/>
              </w:rPr>
              <w:t>Six Months Ended June 30, 2021</w:t>
            </w: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2"/>
              </w:rPr>
              <w:t>Six Months Ended June 30, 2020</w:t>
            </w: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175"/>
        </w:trPr>
        <w:tc>
          <w:tcPr>
            <w:tcW w:w="356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Sales Volume</w:t>
            </w:r>
          </w:p>
        </w:tc>
        <w:tc>
          <w:tcPr>
            <w:tcW w:w="320" w:type="dxa"/>
            <w:vAlign w:val="bottom"/>
          </w:tcPr>
          <w:p>
            <w:pPr>
              <w:spacing w:after="0"/>
              <w:rPr>
                <w:sz w:val="15"/>
                <w:szCs w:val="15"/>
                <w:color w:val="auto"/>
              </w:rPr>
            </w:pPr>
          </w:p>
        </w:tc>
        <w:tc>
          <w:tcPr>
            <w:tcW w:w="840" w:type="dxa"/>
            <w:vAlign w:val="bottom"/>
            <w:gridSpan w:val="2"/>
          </w:tcPr>
          <w:p>
            <w:pPr>
              <w:jc w:val="right"/>
              <w:ind w:right="319"/>
              <w:spacing w:after="0" w:line="175" w:lineRule="exact"/>
              <w:rPr>
                <w:sz w:val="20"/>
                <w:szCs w:val="20"/>
                <w:color w:val="auto"/>
              </w:rPr>
            </w:pPr>
            <w:r>
              <w:rPr>
                <w:rFonts w:ascii="Arial" w:cs="Arial" w:eastAsia="Arial" w:hAnsi="Arial"/>
                <w:sz w:val="16"/>
                <w:szCs w:val="16"/>
                <w:b w:val="1"/>
                <w:bCs w:val="1"/>
                <w:color w:val="auto"/>
                <w:w w:val="85"/>
              </w:rPr>
              <w:t>Siding</w:t>
            </w:r>
          </w:p>
        </w:tc>
        <w:tc>
          <w:tcPr>
            <w:tcW w:w="980" w:type="dxa"/>
            <w:vAlign w:val="bottom"/>
            <w:gridSpan w:val="3"/>
          </w:tcPr>
          <w:p>
            <w:pPr>
              <w:ind w:left="160"/>
              <w:spacing w:after="0" w:line="175" w:lineRule="exact"/>
              <w:rPr>
                <w:sz w:val="20"/>
                <w:szCs w:val="20"/>
                <w:color w:val="auto"/>
              </w:rPr>
            </w:pPr>
            <w:r>
              <w:rPr>
                <w:rFonts w:ascii="Arial" w:cs="Arial" w:eastAsia="Arial" w:hAnsi="Arial"/>
                <w:sz w:val="16"/>
                <w:szCs w:val="16"/>
                <w:b w:val="1"/>
                <w:bCs w:val="1"/>
                <w:color w:val="auto"/>
              </w:rPr>
              <w:t>OSB</w:t>
            </w:r>
          </w:p>
        </w:tc>
        <w:tc>
          <w:tcPr>
            <w:tcW w:w="900" w:type="dxa"/>
            <w:vAlign w:val="bottom"/>
            <w:gridSpan w:val="2"/>
          </w:tcPr>
          <w:p>
            <w:pPr>
              <w:jc w:val="right"/>
              <w:ind w:right="540"/>
              <w:spacing w:after="0" w:line="175" w:lineRule="exact"/>
              <w:rPr>
                <w:sz w:val="20"/>
                <w:szCs w:val="20"/>
                <w:color w:val="auto"/>
              </w:rPr>
            </w:pPr>
            <w:r>
              <w:rPr>
                <w:rFonts w:ascii="Arial" w:cs="Arial" w:eastAsia="Arial" w:hAnsi="Arial"/>
                <w:sz w:val="16"/>
                <w:szCs w:val="16"/>
                <w:b w:val="1"/>
                <w:bCs w:val="1"/>
                <w:color w:val="auto"/>
                <w:w w:val="93"/>
              </w:rPr>
              <w:t>EWP</w:t>
            </w:r>
          </w:p>
        </w:tc>
        <w:tc>
          <w:tcPr>
            <w:tcW w:w="740" w:type="dxa"/>
            <w:vAlign w:val="bottom"/>
            <w:gridSpan w:val="3"/>
          </w:tcPr>
          <w:p>
            <w:pPr>
              <w:jc w:val="right"/>
              <w:ind w:right="360"/>
              <w:spacing w:after="0" w:line="175" w:lineRule="exact"/>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5"/>
                <w:szCs w:val="15"/>
                <w:color w:val="auto"/>
              </w:rPr>
            </w:pPr>
          </w:p>
        </w:tc>
        <w:tc>
          <w:tcPr>
            <w:tcW w:w="1120" w:type="dxa"/>
            <w:vAlign w:val="bottom"/>
            <w:gridSpan w:val="3"/>
          </w:tcPr>
          <w:p>
            <w:pPr>
              <w:jc w:val="right"/>
              <w:ind w:right="319"/>
              <w:spacing w:after="0" w:line="175" w:lineRule="exact"/>
              <w:rPr>
                <w:sz w:val="20"/>
                <w:szCs w:val="20"/>
                <w:color w:val="auto"/>
              </w:rPr>
            </w:pPr>
            <w:r>
              <w:rPr>
                <w:rFonts w:ascii="Arial" w:cs="Arial" w:eastAsia="Arial" w:hAnsi="Arial"/>
                <w:sz w:val="16"/>
                <w:szCs w:val="16"/>
                <w:b w:val="1"/>
                <w:bCs w:val="1"/>
                <w:color w:val="auto"/>
              </w:rPr>
              <w:t>Siding</w:t>
            </w:r>
          </w:p>
        </w:tc>
        <w:tc>
          <w:tcPr>
            <w:tcW w:w="1000" w:type="dxa"/>
            <w:vAlign w:val="bottom"/>
            <w:gridSpan w:val="3"/>
          </w:tcPr>
          <w:p>
            <w:pPr>
              <w:jc w:val="right"/>
              <w:ind w:right="439"/>
              <w:spacing w:after="0" w:line="175" w:lineRule="exact"/>
              <w:rPr>
                <w:sz w:val="20"/>
                <w:szCs w:val="20"/>
                <w:color w:val="auto"/>
              </w:rPr>
            </w:pPr>
            <w:r>
              <w:rPr>
                <w:rFonts w:ascii="Arial" w:cs="Arial" w:eastAsia="Arial" w:hAnsi="Arial"/>
                <w:sz w:val="16"/>
                <w:szCs w:val="16"/>
                <w:b w:val="1"/>
                <w:bCs w:val="1"/>
                <w:color w:val="auto"/>
              </w:rPr>
              <w:t>OSB</w:t>
            </w:r>
          </w:p>
        </w:tc>
        <w:tc>
          <w:tcPr>
            <w:tcW w:w="960" w:type="dxa"/>
            <w:vAlign w:val="bottom"/>
            <w:gridSpan w:val="2"/>
          </w:tcPr>
          <w:p>
            <w:pPr>
              <w:jc w:val="right"/>
              <w:ind w:right="519"/>
              <w:spacing w:after="0" w:line="175" w:lineRule="exact"/>
              <w:rPr>
                <w:sz w:val="20"/>
                <w:szCs w:val="20"/>
                <w:color w:val="auto"/>
              </w:rPr>
            </w:pPr>
            <w:r>
              <w:rPr>
                <w:rFonts w:ascii="Arial" w:cs="Arial" w:eastAsia="Arial" w:hAnsi="Arial"/>
                <w:sz w:val="16"/>
                <w:szCs w:val="16"/>
                <w:b w:val="1"/>
                <w:bCs w:val="1"/>
                <w:color w:val="auto"/>
                <w:w w:val="93"/>
              </w:rPr>
              <w:t>EWP</w:t>
            </w:r>
          </w:p>
        </w:tc>
        <w:tc>
          <w:tcPr>
            <w:tcW w:w="700" w:type="dxa"/>
            <w:vAlign w:val="bottom"/>
            <w:gridSpan w:val="2"/>
          </w:tcPr>
          <w:p>
            <w:pPr>
              <w:jc w:val="right"/>
              <w:ind w:right="340"/>
              <w:spacing w:after="0" w:line="175" w:lineRule="exact"/>
              <w:rPr>
                <w:sz w:val="20"/>
                <w:szCs w:val="20"/>
                <w:color w:val="auto"/>
              </w:rPr>
            </w:pPr>
            <w:r>
              <w:rPr>
                <w:rFonts w:ascii="Arial" w:cs="Arial" w:eastAsia="Arial" w:hAnsi="Arial"/>
                <w:sz w:val="16"/>
                <w:szCs w:val="16"/>
                <w:b w:val="1"/>
                <w:bCs w:val="1"/>
                <w:color w:val="auto"/>
                <w:w w:val="88"/>
              </w:rPr>
              <w:t>Total</w:t>
            </w:r>
          </w:p>
        </w:tc>
      </w:tr>
      <w:tr>
        <w:trPr>
          <w:trHeight w:val="21"/>
        </w:trPr>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 (MMSF)</w:t>
            </w:r>
          </w:p>
        </w:tc>
        <w:tc>
          <w:tcPr>
            <w:tcW w:w="116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810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610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610</w:t>
            </w: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OSB - commodity (MMSF)</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center"/>
              <w:ind w:left="179"/>
              <w:spacing w:after="0"/>
              <w:rPr>
                <w:sz w:val="20"/>
                <w:szCs w:val="20"/>
                <w:color w:val="auto"/>
              </w:rPr>
            </w:pPr>
            <w:r>
              <w:rPr>
                <w:rFonts w:ascii="Arial" w:cs="Arial" w:eastAsia="Arial" w:hAnsi="Arial"/>
                <w:sz w:val="16"/>
                <w:szCs w:val="16"/>
                <w:color w:val="auto"/>
                <w:w w:val="89"/>
              </w:rPr>
              <w:t>936</w:t>
            </w:r>
          </w:p>
        </w:tc>
        <w:tc>
          <w:tcPr>
            <w:tcW w:w="9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239"/>
              <w:spacing w:after="0"/>
              <w:rPr>
                <w:sz w:val="20"/>
                <w:szCs w:val="20"/>
                <w:color w:val="auto"/>
              </w:rPr>
            </w:pPr>
            <w:r>
              <w:rPr>
                <w:rFonts w:ascii="Arial" w:cs="Arial" w:eastAsia="Arial" w:hAnsi="Arial"/>
                <w:sz w:val="16"/>
                <w:szCs w:val="16"/>
                <w:color w:val="auto"/>
              </w:rPr>
              <w:t>1,002</w:t>
            </w:r>
          </w:p>
        </w:tc>
        <w:tc>
          <w:tcPr>
            <w:tcW w:w="360" w:type="dxa"/>
            <w:vAlign w:val="bottom"/>
          </w:tcPr>
          <w:p>
            <w:pPr>
              <w:spacing w:after="0"/>
              <w:rPr>
                <w:sz w:val="18"/>
                <w:szCs w:val="18"/>
                <w:color w:val="auto"/>
              </w:rPr>
            </w:pPr>
          </w:p>
        </w:tc>
        <w:tc>
          <w:tcPr>
            <w:tcW w:w="600" w:type="dxa"/>
            <w:vAlign w:val="bottom"/>
          </w:tcPr>
          <w:p>
            <w:pPr>
              <w:jc w:val="right"/>
              <w:ind w:right="339"/>
              <w:spacing w:after="0"/>
              <w:rPr>
                <w:sz w:val="20"/>
                <w:szCs w:val="20"/>
                <w:color w:val="auto"/>
              </w:rPr>
            </w:pPr>
            <w:r>
              <w:rPr>
                <w:rFonts w:ascii="Arial" w:cs="Arial" w:eastAsia="Arial" w:hAnsi="Arial"/>
                <w:sz w:val="16"/>
                <w:szCs w:val="16"/>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1,002</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 (MMSF)</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89"/>
              </w:rPr>
              <w:t>804</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737</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737</w:t>
            </w: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I-Joist (MMLF)</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center"/>
              <w:ind w:right="199"/>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6"/>
                <w:szCs w:val="16"/>
                <w:color w:val="auto"/>
              </w:rPr>
              <w:t>64</w:t>
            </w: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50</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50</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LVL (MCF)</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3,720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3,720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3,292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3,292</w:t>
            </w:r>
          </w:p>
        </w:tc>
      </w:tr>
      <w:tr>
        <w:trPr>
          <w:trHeight w:val="210"/>
        </w:trPr>
        <w:tc>
          <w:tcPr>
            <w:tcW w:w="3560" w:type="dxa"/>
            <w:vAlign w:val="bottom"/>
          </w:tcPr>
          <w:p>
            <w:pPr>
              <w:ind w:left="20"/>
              <w:spacing w:after="0"/>
              <w:rPr>
                <w:sz w:val="20"/>
                <w:szCs w:val="20"/>
                <w:color w:val="auto"/>
              </w:rPr>
            </w:pPr>
            <w:r>
              <w:rPr>
                <w:rFonts w:ascii="Arial" w:cs="Arial" w:eastAsia="Arial" w:hAnsi="Arial"/>
                <w:sz w:val="16"/>
                <w:szCs w:val="16"/>
                <w:color w:val="auto"/>
              </w:rPr>
              <w:t>LSL (MCF)</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center"/>
              <w:ind w:right="199"/>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6"/>
                <w:szCs w:val="16"/>
                <w:color w:val="auto"/>
              </w:rPr>
              <w:t>977</w:t>
            </w: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39"/>
              <w:spacing w:after="0"/>
              <w:rPr>
                <w:sz w:val="20"/>
                <w:szCs w:val="20"/>
                <w:color w:val="auto"/>
              </w:rPr>
            </w:pPr>
            <w:r>
              <w:rPr>
                <w:rFonts w:ascii="Arial" w:cs="Arial" w:eastAsia="Arial" w:hAnsi="Arial"/>
                <w:sz w:val="16"/>
                <w:szCs w:val="16"/>
                <w:color w:val="auto"/>
              </w:rPr>
              <w:t>1,272</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1,272</w:t>
            </w:r>
          </w:p>
        </w:tc>
      </w:tr>
    </w:tbl>
    <w:p>
      <w:pPr>
        <w:spacing w:after="0" w:line="2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It should be noted that other companies may present OEE differently and, therefore, as presented by us, OEE may not be comparable to similarly-titled measures reported by other companies. We believe that when used in conjunction with other metrics, OEE can be a useful measure for evaluating our ability to generate profits, and that providing this measure should allow interested persons to more readily monitor operational improvements. OEE for the three and six months ended June 30, 2021, and 2020 for each of our segments is listed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9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6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2"/>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Siding</w:t>
            </w: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13"/>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OSB</w:t>
            </w:r>
          </w:p>
        </w:tc>
        <w:tc>
          <w:tcPr>
            <w:tcW w:w="480" w:type="dxa"/>
            <w:vAlign w:val="bottom"/>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89 %</w:t>
            </w:r>
          </w:p>
        </w:tc>
      </w:tr>
      <w:tr>
        <w:trPr>
          <w:trHeight w:val="21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EWP</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0"/>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South America</w:t>
            </w:r>
          </w:p>
        </w:tc>
        <w:tc>
          <w:tcPr>
            <w:tcW w:w="480" w:type="dxa"/>
            <w:vAlign w:val="bottom"/>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description of certain legal and environmental matters involving LP set forth in Item 1 of this quarterly report on Form 10-Q under Note 11 to the Notes to the Condensed Consolidated Financial Statements contained herein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other information set forth in this quarterly report on Form 10-Q, an investor should carefully consider the factors discussed in Part I, “Item 1A. Risk Factors” in the Company’s Annual Report on Form 10-K for the year ended December 31, 2020, as filed on February 18, 2021 ("2020 Annual Report on Form 10-K"). There have been no material changes to the risk factors previously disclosed under caption "Risk Factors" in our 2020 Annual Report on Form 10-K. The risks, as described in our 2020 Annual Report on Form 10-K, are not the only risks facing the Company. Additional risks and uncertainties not currently known to us or that we currently deem immaterial also may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spacing w:after="0" w:line="200" w:lineRule="exact"/>
        <w:rPr>
          <w:sz w:val="20"/>
          <w:szCs w:val="20"/>
          <w:color w:val="auto"/>
        </w:rPr>
      </w:pPr>
    </w:p>
    <w:p>
      <w:pPr>
        <w:spacing w:after="0" w:line="26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2020, LP’s Board of Directors authorized the 2020 Share Repurchase Program under which LP may repurchase up to $200 million of shares of LP’s common stock. In November 2020, LP’s Board of Directors authorized the expansion of the 2020 Share Repurchase Program under which LP may repurchase up to an additional $300 million of shares of LP’s common stock. On May 4, 2021, our Board of Directors authorized the 2021 Share Repurchase Program under which LP may repurchase up to $1 billion of shares of LP's common stock. LP may initiate, discontinue or resume purchases of its common stock under these authorizations in the open market, in privately negotiated transactions, including under SEC Rule 10b5-1 plans, or otherwise at any time or from time to time without prior notice.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our common stock were repurchased under these authorizations during the quarter ended June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Total Number of Shares</w:t>
            </w:r>
          </w:p>
        </w:tc>
        <w:tc>
          <w:tcPr>
            <w:tcW w:w="80" w:type="dxa"/>
            <w:vAlign w:val="bottom"/>
          </w:tcPr>
          <w:p>
            <w:pPr>
              <w:spacing w:after="0"/>
              <w:rPr>
                <w:sz w:val="14"/>
                <w:szCs w:val="14"/>
                <w:color w:val="auto"/>
              </w:rPr>
            </w:pPr>
          </w:p>
        </w:tc>
        <w:tc>
          <w:tcPr>
            <w:tcW w:w="194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 Shares</w:t>
            </w: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 Paid Per</w:t>
            </w:r>
          </w:p>
        </w:tc>
        <w:tc>
          <w:tcPr>
            <w:tcW w:w="20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80" w:type="dxa"/>
            <w:vAlign w:val="bottom"/>
          </w:tcPr>
          <w:p>
            <w:pPr>
              <w:spacing w:after="0"/>
              <w:rPr>
                <w:sz w:val="11"/>
                <w:szCs w:val="11"/>
                <w:color w:val="auto"/>
              </w:rPr>
            </w:pPr>
          </w:p>
        </w:tc>
        <w:tc>
          <w:tcPr>
            <w:tcW w:w="19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35"/>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40" w:type="dxa"/>
            <w:vAlign w:val="bottom"/>
            <w:gridSpan w:val="2"/>
            <w:vMerge w:val="continue"/>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Announced Purchase Plans or</w:t>
            </w:r>
          </w:p>
        </w:tc>
        <w:tc>
          <w:tcPr>
            <w:tcW w:w="80" w:type="dxa"/>
            <w:vAlign w:val="bottom"/>
          </w:tcPr>
          <w:p>
            <w:pPr>
              <w:spacing w:after="0"/>
              <w:rPr>
                <w:sz w:val="11"/>
                <w:szCs w:val="11"/>
                <w:color w:val="auto"/>
              </w:rPr>
            </w:pPr>
          </w:p>
        </w:tc>
        <w:tc>
          <w:tcPr>
            <w:tcW w:w="19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89"/>
        </w:trPr>
        <w:tc>
          <w:tcPr>
            <w:tcW w:w="3920" w:type="dxa"/>
            <w:vAlign w:val="bottom"/>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2040" w:type="dxa"/>
            <w:vAlign w:val="bottom"/>
            <w:gridSpan w:val="2"/>
          </w:tcPr>
          <w:p>
            <w:pPr>
              <w:jc w:val="center"/>
              <w:ind w:right="140"/>
              <w:spacing w:after="0" w:line="189" w:lineRule="exact"/>
              <w:rPr>
                <w:sz w:val="20"/>
                <w:szCs w:val="20"/>
                <w:color w:val="auto"/>
              </w:rPr>
            </w:pPr>
            <w:r>
              <w:rPr>
                <w:rFonts w:ascii="Arial" w:cs="Arial" w:eastAsia="Arial" w:hAnsi="Arial"/>
                <w:sz w:val="14"/>
                <w:szCs w:val="14"/>
                <w:b w:val="1"/>
                <w:bCs w:val="1"/>
                <w:color w:val="auto"/>
                <w:w w:val="91"/>
              </w:rPr>
              <w:t>Programs</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4"/>
                <w:szCs w:val="14"/>
                <w:b w:val="1"/>
                <w:bCs w:val="1"/>
                <w:i w:val="1"/>
                <w:iCs w:val="1"/>
                <w:color w:val="auto"/>
                <w:w w:val="94"/>
              </w:rPr>
              <w:t>In millions</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April 1, 2021 - April 30,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1,987,821</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63.12</w:t>
            </w:r>
          </w:p>
        </w:tc>
        <w:tc>
          <w:tcPr>
            <w:tcW w:w="12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1,987,821</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May 1, 2021 - May 31, 2021</w:t>
            </w:r>
          </w:p>
        </w:tc>
        <w:tc>
          <w:tcPr>
            <w:tcW w:w="1520" w:type="dxa"/>
            <w:vAlign w:val="bottom"/>
          </w:tcPr>
          <w:p>
            <w:pPr>
              <w:jc w:val="right"/>
              <w:spacing w:after="0"/>
              <w:rPr>
                <w:sz w:val="20"/>
                <w:szCs w:val="20"/>
                <w:color w:val="auto"/>
              </w:rPr>
            </w:pPr>
            <w:r>
              <w:rPr>
                <w:rFonts w:ascii="Arial" w:cs="Arial" w:eastAsia="Arial" w:hAnsi="Arial"/>
                <w:sz w:val="14"/>
                <w:szCs w:val="14"/>
                <w:color w:val="auto"/>
              </w:rPr>
              <w:t>2,420,748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66.65</w:t>
            </w:r>
          </w:p>
        </w:tc>
        <w:tc>
          <w:tcPr>
            <w:tcW w:w="1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2,420,748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1, 2021 - June 30, 2021</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2,909,843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61.38</w:t>
            </w:r>
          </w:p>
        </w:tc>
        <w:tc>
          <w:tcPr>
            <w:tcW w:w="120" w:type="dxa"/>
            <w:vAlign w:val="bottom"/>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2,909,843</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Total for Second Quarter 2021</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7,318,412</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firstLine="8"/>
        <w:spacing w:after="0" w:line="273" w:lineRule="auto"/>
        <w:tabs>
          <w:tab w:leader="none" w:pos="70" w:val="left"/>
        </w:tabs>
        <w:numPr>
          <w:ilvl w:val="0"/>
          <w:numId w:val="8"/>
        </w:numPr>
        <w:rPr>
          <w:rFonts w:ascii="Arial" w:cs="Arial" w:eastAsia="Arial" w:hAnsi="Arial"/>
          <w:sz w:val="9"/>
          <w:szCs w:val="9"/>
          <w:color w:val="auto"/>
        </w:rPr>
      </w:pPr>
      <w:r>
        <w:rPr>
          <w:rFonts w:ascii="Arial" w:cs="Arial" w:eastAsia="Arial" w:hAnsi="Arial"/>
          <w:sz w:val="13"/>
          <w:szCs w:val="13"/>
          <w:color w:val="auto"/>
        </w:rPr>
        <w:t>On February 6, 2020, we announced that our Board of Directors authorized the 2020 Share Repurchase Program under which LP may repurchase up to $200 million of shares of LP’s common stock, and on November 4, 2020, we announced that our Board of Directors expanded the 2020 Share Repurchase Program by authorizing repurchases of an additional $300 million of our common stock. On May 4, 2021, our Board of Directors authorized the 2021 Share Repurchase Program under which we may repurchase up to $1 billion of shares of our common stock. As of June 30, 2021, (i) LP has repurchased all shares of common stock authorized for repurchase under the 2020 Share Repurchase Program, totaling $500 million, and therefore will make no further repurchases under the 2020 Share Repurchase Program, and (ii) LP has used $288 million to repurchase common stock under 2021 Share Repurchase Program.</w:t>
      </w:r>
    </w:p>
    <w:p>
      <w:pPr>
        <w:spacing w:after="0" w:line="20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Additional repurchases of common stock may be made through open market, block and privately-negotiated transactions, including Rule 10b5-1 plans, at times and in such amounts as management deems appropriate, subject to market and business conditions, regulatory requirements and other factors.</w:t>
      </w:r>
    </w:p>
    <w:p>
      <w:pPr>
        <w:spacing w:after="0" w:line="3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48" w:lineRule="exact"/>
        <w:rPr>
          <w:sz w:val="20"/>
          <w:szCs w:val="20"/>
          <w:color w:val="auto"/>
        </w:rPr>
      </w:pPr>
    </w:p>
    <w:p>
      <w:pPr>
        <w:jc w:val="both"/>
        <w:ind w:left="1120" w:hanging="721"/>
        <w:spacing w:after="0" w:line="224"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56">
        <w:r>
          <w:rPr>
            <w:rFonts w:ascii="Arial" w:cs="Arial" w:eastAsia="Arial" w:hAnsi="Arial"/>
            <w:sz w:val="18"/>
            <w:szCs w:val="18"/>
            <w:u w:val="single" w:color="auto"/>
            <w:color w:val="0000FF"/>
          </w:rPr>
          <w:t>Third Amendment to Amended and Restated Credit Agreement, dated June 8, 2021, among the Company, as borrower, American AgCredit</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PCA, as administrative agent, CoBank, ACB, as letter of credit issuer and voting participants party thereto, incorporated herein by reference</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to the Company's Current Report on Form 8-K, filed on June 8, 2021.</w:t>
        </w:r>
      </w:hyperlink>
    </w:p>
    <w:p>
      <w:pPr>
        <w:spacing w:after="0" w:line="55" w:lineRule="exact"/>
        <w:rPr>
          <w:rFonts w:ascii="Arial" w:cs="Arial" w:eastAsia="Arial" w:hAnsi="Arial"/>
          <w:sz w:val="18"/>
          <w:szCs w:val="18"/>
          <w:u w:val="single" w:color="auto"/>
          <w:color w:val="0000FF"/>
        </w:rPr>
      </w:pPr>
    </w:p>
    <w:p>
      <w:pPr>
        <w:ind w:left="40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2">
        <w:r>
          <w:rPr>
            <w:rFonts w:ascii="Arial" w:cs="Arial" w:eastAsia="Arial" w:hAnsi="Arial"/>
            <w:sz w:val="16"/>
            <w:szCs w:val="16"/>
            <w:u w:val="single" w:color="auto"/>
            <w:color w:val="0000FF"/>
          </w:rPr>
          <w:t xml:space="preserve">Certifications of Chief Executive Officer Pursuant to Rule 13a-14(a) under the Securities Exchange Act of 1934. </w:t>
        </w:r>
      </w:hyperlink>
      <w:r>
        <w:rPr>
          <w:rFonts w:ascii="Arial" w:cs="Arial" w:eastAsia="Arial" w:hAnsi="Arial"/>
          <w:sz w:val="16"/>
          <w:szCs w:val="16"/>
          <w:color w:val="000000"/>
        </w:rPr>
        <w:t>*</w:t>
      </w:r>
    </w:p>
    <w:p>
      <w:pPr>
        <w:spacing w:after="0" w:line="77" w:lineRule="exact"/>
        <w:rPr>
          <w:rFonts w:ascii="Arial" w:cs="Arial" w:eastAsia="Arial" w:hAnsi="Arial"/>
          <w:sz w:val="18"/>
          <w:szCs w:val="18"/>
          <w:u w:val="single" w:color="auto"/>
          <w:color w:val="0000FF"/>
        </w:rPr>
      </w:pPr>
    </w:p>
    <w:p>
      <w:pPr>
        <w:ind w:left="40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3">
        <w:r>
          <w:rPr>
            <w:rFonts w:ascii="Arial" w:cs="Arial" w:eastAsia="Arial" w:hAnsi="Arial"/>
            <w:sz w:val="16"/>
            <w:szCs w:val="16"/>
            <w:u w:val="single" w:color="auto"/>
            <w:color w:val="0000FF"/>
          </w:rPr>
          <w:t xml:space="preserve">Certifications of Chief Financial Officer Pursuant to Rule 13a-14(a) under the Securities Exchange Act of 1934. </w:t>
        </w:r>
      </w:hyperlink>
      <w:r>
        <w:rPr>
          <w:rFonts w:ascii="Arial" w:cs="Arial" w:eastAsia="Arial" w:hAnsi="Arial"/>
          <w:sz w:val="16"/>
          <w:szCs w:val="16"/>
          <w:color w:val="000000"/>
        </w:rPr>
        <w:t>*</w:t>
      </w:r>
    </w:p>
    <w:p>
      <w:pPr>
        <w:spacing w:after="0" w:line="77" w:lineRule="exact"/>
        <w:rPr>
          <w:rFonts w:ascii="Arial" w:cs="Arial" w:eastAsia="Arial" w:hAnsi="Arial"/>
          <w:sz w:val="18"/>
          <w:szCs w:val="18"/>
          <w:u w:val="single" w:color="auto"/>
          <w:color w:val="0000FF"/>
        </w:rPr>
      </w:pPr>
    </w:p>
    <w:p>
      <w:pPr>
        <w:ind w:left="1120" w:hanging="655"/>
        <w:spacing w:after="0"/>
        <w:tabs>
          <w:tab w:leader="none" w:pos="1120" w:val="left"/>
        </w:tabs>
        <w:numPr>
          <w:ilvl w:val="0"/>
          <w:numId w:val="9"/>
        </w:numPr>
        <w:rPr>
          <w:rFonts w:ascii="Arial" w:cs="Arial" w:eastAsia="Arial" w:hAnsi="Arial"/>
          <w:sz w:val="18"/>
          <w:szCs w:val="18"/>
          <w:color w:val="0000FF"/>
        </w:rPr>
      </w:pPr>
      <w:hyperlink w:anchor="page44">
        <w:r>
          <w:rPr>
            <w:rFonts w:ascii="Arial" w:cs="Arial" w:eastAsia="Arial" w:hAnsi="Arial"/>
            <w:sz w:val="18"/>
            <w:szCs w:val="18"/>
            <w:u w:val="single" w:color="auto"/>
            <w:color w:val="0000FF"/>
          </w:rPr>
          <w:t>Certifications pursuant to § 906 of the Sarbanes-Oxley Act of 2002.</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46" w:lineRule="exact"/>
        <w:rPr>
          <w:rFonts w:ascii="Arial" w:cs="Arial" w:eastAsia="Arial" w:hAnsi="Arial"/>
          <w:sz w:val="18"/>
          <w:szCs w:val="18"/>
          <w:u w:val="single" w:color="auto"/>
          <w:color w:val="0000FF"/>
        </w:rPr>
      </w:pPr>
    </w:p>
    <w:tbl>
      <w:tblPr>
        <w:tblLayout w:type="fixed"/>
        <w:tblInd w:w="220" w:type="dxa"/>
        <w:tblCellMar>
          <w:top w:w="0" w:type="dxa"/>
          <w:left w:w="0" w:type="dxa"/>
          <w:bottom w:w="0" w:type="dxa"/>
          <w:right w:w="0" w:type="dxa"/>
        </w:tblCellMar>
      </w:tblPr>
      <w:tr>
        <w:trPr>
          <w:trHeight w:val="207"/>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2"/>
              </w:rPr>
              <w:t>101.INS</w:t>
            </w:r>
          </w:p>
        </w:tc>
        <w:tc>
          <w:tcPr>
            <w:tcW w:w="10160" w:type="dxa"/>
            <w:vAlign w:val="bottom"/>
          </w:tcPr>
          <w:p>
            <w:pPr>
              <w:ind w:left="1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780" w:type="dxa"/>
            <w:vAlign w:val="bottom"/>
          </w:tcPr>
          <w:p>
            <w:pPr>
              <w:spacing w:after="0"/>
              <w:rPr>
                <w:sz w:val="20"/>
                <w:szCs w:val="20"/>
                <w:color w:val="auto"/>
              </w:rPr>
            </w:pPr>
          </w:p>
        </w:tc>
        <w:tc>
          <w:tcPr>
            <w:tcW w:w="10160" w:type="dxa"/>
            <w:vAlign w:val="bottom"/>
          </w:tcPr>
          <w:p>
            <w:pPr>
              <w:ind w:left="120"/>
              <w:spacing w:after="0"/>
              <w:rPr>
                <w:sz w:val="20"/>
                <w:szCs w:val="20"/>
                <w:color w:val="auto"/>
              </w:rPr>
            </w:pPr>
            <w:r>
              <w:rPr>
                <w:rFonts w:ascii="Arial" w:cs="Arial" w:eastAsia="Arial" w:hAnsi="Arial"/>
                <w:sz w:val="18"/>
                <w:szCs w:val="18"/>
                <w:color w:val="auto"/>
              </w:rPr>
              <w:t>the Inline XBRL document.*</w:t>
            </w:r>
          </w:p>
        </w:tc>
      </w:tr>
      <w:tr>
        <w:trPr>
          <w:trHeight w:val="283"/>
        </w:trPr>
        <w:tc>
          <w:tcPr>
            <w:tcW w:w="780" w:type="dxa"/>
            <w:vAlign w:val="bottom"/>
          </w:tcPr>
          <w:p>
            <w:pPr>
              <w:jc w:val="center"/>
              <w:ind w:right="30"/>
              <w:spacing w:after="0"/>
              <w:rPr>
                <w:sz w:val="20"/>
                <w:szCs w:val="20"/>
                <w:color w:val="auto"/>
              </w:rPr>
            </w:pPr>
            <w:r>
              <w:rPr>
                <w:rFonts w:ascii="Arial" w:cs="Arial" w:eastAsia="Arial" w:hAnsi="Arial"/>
                <w:sz w:val="18"/>
                <w:szCs w:val="18"/>
                <w:color w:val="auto"/>
                <w:w w:val="90"/>
              </w:rPr>
              <w:t>101.SCH</w:t>
            </w:r>
          </w:p>
        </w:tc>
        <w:tc>
          <w:tcPr>
            <w:tcW w:w="1016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7"/>
              </w:rPr>
              <w:t>101.CAL</w:t>
            </w:r>
          </w:p>
        </w:tc>
        <w:tc>
          <w:tcPr>
            <w:tcW w:w="1016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8"/>
              </w:rPr>
              <w:t>101.LAB</w:t>
            </w:r>
          </w:p>
        </w:tc>
        <w:tc>
          <w:tcPr>
            <w:tcW w:w="1016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88"/>
              </w:rPr>
              <w:t>101.PRE</w:t>
            </w:r>
          </w:p>
        </w:tc>
        <w:tc>
          <w:tcPr>
            <w:tcW w:w="1016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780" w:type="dxa"/>
            <w:vAlign w:val="bottom"/>
          </w:tcPr>
          <w:p>
            <w:pPr>
              <w:jc w:val="center"/>
              <w:ind w:right="30"/>
              <w:spacing w:after="0"/>
              <w:rPr>
                <w:sz w:val="20"/>
                <w:szCs w:val="20"/>
                <w:color w:val="auto"/>
              </w:rPr>
            </w:pPr>
            <w:r>
              <w:rPr>
                <w:rFonts w:ascii="Arial" w:cs="Arial" w:eastAsia="Arial" w:hAnsi="Arial"/>
                <w:sz w:val="18"/>
                <w:szCs w:val="18"/>
                <w:color w:val="auto"/>
                <w:w w:val="92"/>
              </w:rPr>
              <w:t>101.DEF</w:t>
            </w:r>
          </w:p>
        </w:tc>
        <w:tc>
          <w:tcPr>
            <w:tcW w:w="1016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780" w:type="dxa"/>
            <w:vAlign w:val="bottom"/>
          </w:tcPr>
          <w:p>
            <w:pPr>
              <w:jc w:val="center"/>
              <w:ind w:right="30"/>
              <w:spacing w:after="0"/>
              <w:rPr>
                <w:sz w:val="20"/>
                <w:szCs w:val="20"/>
                <w:color w:val="auto"/>
              </w:rPr>
            </w:pPr>
            <w:r>
              <w:rPr>
                <w:rFonts w:ascii="Arial" w:cs="Arial" w:eastAsia="Arial" w:hAnsi="Arial"/>
                <w:sz w:val="18"/>
                <w:szCs w:val="18"/>
                <w:color w:val="auto"/>
                <w:w w:val="86"/>
              </w:rPr>
              <w:t>104</w:t>
            </w:r>
          </w:p>
        </w:tc>
        <w:tc>
          <w:tcPr>
            <w:tcW w:w="10160" w:type="dxa"/>
            <w:vAlign w:val="bottom"/>
          </w:tcPr>
          <w:p>
            <w:pPr>
              <w:ind w:left="120"/>
              <w:spacing w:after="0"/>
              <w:rPr>
                <w:sz w:val="20"/>
                <w:szCs w:val="20"/>
                <w:color w:val="auto"/>
              </w:rPr>
            </w:pPr>
            <w:r>
              <w:rPr>
                <w:rFonts w:ascii="Arial" w:cs="Arial" w:eastAsia="Arial" w:hAnsi="Arial"/>
                <w:sz w:val="18"/>
                <w:szCs w:val="18"/>
                <w:color w:val="auto"/>
              </w:rPr>
              <w:t>Cover Page Interactive Data File (embedded with Inline XBRL document and contained in Exhibit 101)*</w:t>
            </w:r>
          </w:p>
        </w:tc>
      </w:tr>
    </w:tbl>
    <w:p>
      <w:pPr>
        <w:spacing w:after="0" w:line="22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17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9"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SIGNATURES</w:t>
      </w:r>
    </w:p>
    <w:p>
      <w:pPr>
        <w:spacing w:after="0" w:line="104"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500" w:type="dxa"/>
            <w:vAlign w:val="bottom"/>
            <w:gridSpan w:val="2"/>
          </w:tcPr>
          <w:p>
            <w:pPr>
              <w:ind w:left="1720"/>
              <w:spacing w:after="0"/>
              <w:rPr>
                <w:sz w:val="20"/>
                <w:szCs w:val="20"/>
                <w:color w:val="auto"/>
              </w:rPr>
            </w:pPr>
            <w:r>
              <w:rPr>
                <w:rFonts w:ascii="Arial" w:cs="Arial" w:eastAsia="Arial" w:hAnsi="Arial"/>
                <w:sz w:val="18"/>
                <w:szCs w:val="18"/>
                <w:color w:val="auto"/>
              </w:rPr>
              <w:t>LOUISIANA-PACIFIC CORPORATION</w:t>
            </w:r>
          </w:p>
        </w:tc>
      </w:tr>
      <w:tr>
        <w:trPr>
          <w:trHeight w:val="499"/>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260"/>
              <w:spacing w:after="0"/>
              <w:rPr>
                <w:sz w:val="20"/>
                <w:szCs w:val="20"/>
                <w:color w:val="auto"/>
              </w:rPr>
            </w:pPr>
            <w:r>
              <w:rPr>
                <w:rFonts w:ascii="Arial" w:cs="Arial" w:eastAsia="Arial" w:hAnsi="Arial"/>
                <w:sz w:val="18"/>
                <w:szCs w:val="18"/>
                <w:color w:val="auto"/>
              </w:rPr>
              <w:t>August 4, 2021</w:t>
            </w:r>
          </w:p>
        </w:tc>
        <w:tc>
          <w:tcPr>
            <w:tcW w:w="2220" w:type="dxa"/>
            <w:vAlign w:val="bottom"/>
          </w:tcPr>
          <w:p>
            <w:pPr>
              <w:ind w:left="17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 BRADLEY SOUTHERN</w:t>
            </w:r>
          </w:p>
        </w:tc>
      </w:tr>
      <w:tr>
        <w:trPr>
          <w:trHeight w:val="173"/>
        </w:trPr>
        <w:tc>
          <w:tcPr>
            <w:tcW w:w="6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2"/>
              </w:rPr>
              <w:t>W. Bradley Southern</w:t>
            </w:r>
          </w:p>
        </w:tc>
      </w:tr>
      <w:tr>
        <w:trPr>
          <w:trHeight w:val="186"/>
        </w:trPr>
        <w:tc>
          <w:tcPr>
            <w:tcW w:w="6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3"/>
              </w:rPr>
              <w:t>Chief Executive Officer</w:t>
            </w:r>
          </w:p>
        </w:tc>
      </w:tr>
      <w:tr>
        <w:trPr>
          <w:trHeight w:val="512"/>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260"/>
              <w:spacing w:after="0"/>
              <w:rPr>
                <w:sz w:val="20"/>
                <w:szCs w:val="20"/>
                <w:color w:val="auto"/>
              </w:rPr>
            </w:pPr>
            <w:r>
              <w:rPr>
                <w:rFonts w:ascii="Arial" w:cs="Arial" w:eastAsia="Arial" w:hAnsi="Arial"/>
                <w:sz w:val="18"/>
                <w:szCs w:val="18"/>
                <w:color w:val="auto"/>
              </w:rPr>
              <w:t>August 4, 2021</w:t>
            </w:r>
          </w:p>
        </w:tc>
        <w:tc>
          <w:tcPr>
            <w:tcW w:w="2220" w:type="dxa"/>
            <w:vAlign w:val="bottom"/>
          </w:tcPr>
          <w:p>
            <w:pPr>
              <w:ind w:left="17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ALAN J.M. HAUGHIE</w:t>
            </w:r>
          </w:p>
        </w:tc>
      </w:tr>
      <w:tr>
        <w:trPr>
          <w:trHeight w:val="180"/>
        </w:trPr>
        <w:tc>
          <w:tcPr>
            <w:tcW w:w="6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6"/>
              </w:rPr>
              <w:t>Alan J.M. Haughie</w:t>
            </w:r>
          </w:p>
        </w:tc>
      </w:tr>
    </w:tbl>
    <w:p>
      <w:pPr>
        <w:jc w:val="center"/>
        <w:ind w:left="5940"/>
        <w:spacing w:after="0"/>
        <w:rPr>
          <w:sz w:val="20"/>
          <w:szCs w:val="20"/>
          <w:color w:val="auto"/>
        </w:rPr>
      </w:pPr>
      <w:r>
        <w:rPr>
          <w:rFonts w:ascii="Arial" w:cs="Arial" w:eastAsia="Arial" w:hAnsi="Arial"/>
          <w:sz w:val="14"/>
          <w:szCs w:val="14"/>
          <w:b w:val="1"/>
          <w:bCs w:val="1"/>
          <w:color w:val="auto"/>
        </w:rPr>
        <w:t>Executive Vice President and</w:t>
      </w:r>
    </w:p>
    <w:p>
      <w:pPr>
        <w:spacing w:after="0" w:line="2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 Bradley Southern,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Louisiana-Pacific Corporation;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jc w:val="both"/>
        <w:ind w:left="980" w:hanging="648"/>
        <w:spacing w:after="0" w:line="263" w:lineRule="auto"/>
        <w:tabs>
          <w:tab w:leader="none" w:pos="9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648"/>
        <w:spacing w:after="0" w:line="263" w:lineRule="auto"/>
        <w:tabs>
          <w:tab w:leader="none" w:pos="9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648"/>
        <w:spacing w:after="0" w:line="308" w:lineRule="auto"/>
        <w:tabs>
          <w:tab w:leader="none" w:pos="9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648"/>
        <w:spacing w:after="0" w:line="263" w:lineRule="auto"/>
        <w:tabs>
          <w:tab w:leader="none" w:pos="9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sz w:val="20"/>
          <w:szCs w:val="20"/>
          <w:color w:val="auto"/>
        </w:rPr>
      </w:pPr>
    </w:p>
    <w:p>
      <w:pPr>
        <w:ind w:left="980" w:right="20" w:hanging="648"/>
        <w:spacing w:after="0" w:line="308" w:lineRule="auto"/>
        <w:tabs>
          <w:tab w:leader="none" w:pos="97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648"/>
        <w:spacing w:after="0" w:line="277" w:lineRule="auto"/>
        <w:tabs>
          <w:tab w:leader="none" w:pos="9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 August 4, 2021</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 BRADLEY SOUTHERN</w:t>
            </w:r>
          </w:p>
        </w:tc>
      </w:tr>
      <w:tr>
        <w:trPr>
          <w:trHeight w:val="222"/>
        </w:trPr>
        <w:tc>
          <w:tcPr>
            <w:tcW w:w="57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5"/>
              </w:rPr>
              <w:t>W. BRADLEY SOUTHERN</w:t>
            </w:r>
          </w:p>
        </w:tc>
      </w:tr>
      <w:tr>
        <w:trPr>
          <w:trHeight w:val="230"/>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89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Alan Haughie,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Louisiana-Pacific Corporation;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jc w:val="both"/>
        <w:ind w:left="980" w:hanging="648"/>
        <w:spacing w:after="0" w:line="263" w:lineRule="auto"/>
        <w:tabs>
          <w:tab w:leader="none" w:pos="9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648"/>
        <w:spacing w:after="0" w:line="263" w:lineRule="auto"/>
        <w:tabs>
          <w:tab w:leader="none" w:pos="9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648"/>
        <w:spacing w:after="0" w:line="308" w:lineRule="auto"/>
        <w:tabs>
          <w:tab w:leader="none" w:pos="971"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648"/>
        <w:spacing w:after="0" w:line="263" w:lineRule="auto"/>
        <w:tabs>
          <w:tab w:leader="none" w:pos="9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sz w:val="20"/>
          <w:szCs w:val="20"/>
          <w:color w:val="auto"/>
        </w:rPr>
      </w:pPr>
    </w:p>
    <w:p>
      <w:pPr>
        <w:ind w:left="980" w:right="20" w:hanging="648"/>
        <w:spacing w:after="0" w:line="308" w:lineRule="auto"/>
        <w:tabs>
          <w:tab w:leader="none" w:pos="9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648"/>
        <w:spacing w:after="0" w:line="277" w:lineRule="auto"/>
        <w:tabs>
          <w:tab w:leader="none" w:pos="9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 August 4, 2021</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ALAN J.M. HAUGHIE</w:t>
            </w:r>
          </w:p>
        </w:tc>
      </w:tr>
      <w:tr>
        <w:trPr>
          <w:trHeight w:val="222"/>
        </w:trPr>
        <w:tc>
          <w:tcPr>
            <w:tcW w:w="57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9"/>
              </w:rPr>
              <w:t>ALAN J.M. HAUGHIE</w:t>
            </w:r>
          </w:p>
        </w:tc>
      </w:tr>
      <w:tr>
        <w:trPr>
          <w:trHeight w:val="230"/>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ectPr>
          <w:pgSz w:w="11900" w:h="16838" w:orient="portrait"/>
          <w:cols w:equalWidth="0" w:num="1">
            <w:col w:w="11240"/>
          </w:cols>
          <w:pgMar w:left="320" w:top="113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Certifications of Chief Executive Officer and Chief Financial Officer Pursuant to 18 U.S.C. § 1350 as Adopted Pursuant to Section 906 of the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Pursuant to 18 U.S.C. § 1350, as adopted pursuant to § 906 of the Sarbanes-Oxley Act of 2002, in connection with the filing of the Quarterly Report on Form 10-Q of Louisiana-Pacific Corporation (the “Company”) for the six months ended June 30, 2021, as filed with the Securities and Exchange Commission on the date hereof (the “Report”), each of the undersigned officers of the Company certifies, that, to such officer’s knowledge:</w:t>
      </w:r>
    </w:p>
    <w:p>
      <w:pPr>
        <w:spacing w:after="0" w:line="3" w:lineRule="exact"/>
        <w:rPr>
          <w:sz w:val="20"/>
          <w:szCs w:val="20"/>
          <w:color w:val="auto"/>
        </w:rPr>
      </w:pPr>
    </w:p>
    <w:p>
      <w:pPr>
        <w:ind w:left="980" w:hanging="567"/>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74" w:lineRule="exact"/>
        <w:rPr>
          <w:rFonts w:ascii="Arial" w:cs="Arial" w:eastAsia="Arial" w:hAnsi="Arial"/>
          <w:sz w:val="17"/>
          <w:szCs w:val="17"/>
          <w:color w:val="auto"/>
        </w:rPr>
      </w:pPr>
    </w:p>
    <w:p>
      <w:pPr>
        <w:ind w:left="980" w:hanging="567"/>
        <w:spacing w:after="0" w:line="277" w:lineRule="auto"/>
        <w:tabs>
          <w:tab w:leader="none" w:pos="9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14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W. BRADLEY SOUTHERN</w:t>
      </w:r>
    </w:p>
    <w:p>
      <w:pPr>
        <w:ind w:left="5800"/>
        <w:spacing w:after="0"/>
        <w:rPr>
          <w:sz w:val="20"/>
          <w:szCs w:val="20"/>
          <w:color w:val="auto"/>
        </w:rPr>
      </w:pPr>
      <w:r>
        <w:rPr>
          <w:rFonts w:ascii="Arial" w:cs="Arial" w:eastAsia="Arial" w:hAnsi="Arial"/>
          <w:sz w:val="18"/>
          <w:szCs w:val="18"/>
          <w:color w:val="auto"/>
        </w:rPr>
        <w:t>Title: Chief Executive Officer</w:t>
      </w:r>
    </w:p>
    <w:p>
      <w:pPr>
        <w:spacing w:after="0" w:line="39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Alan J.M. Haughie</w:t>
      </w:r>
    </w:p>
    <w:p>
      <w:pPr>
        <w:ind w:left="5800"/>
        <w:spacing w:after="0"/>
        <w:rPr>
          <w:sz w:val="20"/>
          <w:szCs w:val="20"/>
          <w:color w:val="auto"/>
        </w:rPr>
      </w:pPr>
      <w:r>
        <w:rPr>
          <w:rFonts w:ascii="Arial" w:cs="Arial" w:eastAsia="Arial" w:hAnsi="Arial"/>
          <w:sz w:val="18"/>
          <w:szCs w:val="18"/>
          <w:color w:val="auto"/>
        </w:rPr>
        <w:t>Title: Chief Financial Officer</w:t>
      </w:r>
    </w:p>
    <w:p>
      <w:pPr>
        <w:spacing w:after="0" w:line="2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amp;"/>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1"/>
      <w:numFmt w:val="decimal"/>
      <w:start w:val="32"/>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56" Type="http://schemas.openxmlformats.org/officeDocument/2006/relationships/hyperlink" Target="https://www.sec.gov/Archives/edgar/data/60519/000162828021011827/executed-thirdamendmen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2021-08-04T14:55:39Z</dcterms:created>
  <dcterms:modified xsi:type="dcterms:W3CDTF">2021-08-04T14:55:39Z</dcterms:modified>
</cp:coreProperties>
</file>