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81280</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7" w:lineRule="exact"/>
        <w:rPr>
          <w:sz w:val="24"/>
          <w:szCs w:val="24"/>
          <w:color w:val="auto"/>
        </w:rPr>
      </w:pPr>
    </w:p>
    <w:p>
      <w:pPr>
        <w:jc w:val="center"/>
        <w:ind w:left="5400" w:right="160" w:hanging="5163"/>
        <w:spacing w:after="0" w:line="268" w:lineRule="auto"/>
        <w:tabs>
          <w:tab w:leader="none" w:pos="51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 the Quarterly Period Ended June 30, 2024</w:t>
      </w:r>
    </w:p>
    <w:p>
      <w:pPr>
        <w:spacing w:after="0" w:line="98" w:lineRule="exact"/>
        <w:rPr>
          <w:sz w:val="24"/>
          <w:szCs w:val="24"/>
          <w:color w:val="auto"/>
        </w:rPr>
      </w:pPr>
    </w:p>
    <w:p>
      <w:pPr>
        <w:jc w:val="center"/>
        <w:ind w:left="5400" w:right="140" w:hanging="5200"/>
        <w:spacing w:after="0" w:line="275" w:lineRule="auto"/>
        <w:tabs>
          <w:tab w:leader="none" w:pos="532"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 xml:space="preserve">Commission File Number </w:t>
      </w:r>
      <w:r>
        <w:rPr>
          <w:rFonts w:ascii="Times New Roman" w:cs="Times New Roman" w:eastAsia="Times New Roman" w:hAnsi="Times New Roman"/>
          <w:sz w:val="17"/>
          <w:szCs w:val="17"/>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8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5"/>
          <w:szCs w:val="25"/>
          <w:b w:val="1"/>
          <w:bCs w:val="1"/>
          <w:color w:val="auto"/>
        </w:rPr>
        <w:t>LOUISIANA-PACIFIC CORPORATION</w:t>
      </w:r>
    </w:p>
    <w:p>
      <w:pPr>
        <w:spacing w:after="0" w:line="4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5"/>
          <w:szCs w:val="2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60960</wp:posOffset>
            </wp:positionV>
            <wp:extent cx="228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96" w:lineRule="exact"/>
        <w:rPr>
          <w:sz w:val="24"/>
          <w:szCs w:val="24"/>
          <w:color w:val="auto"/>
        </w:rPr>
      </w:pPr>
    </w:p>
    <w:tbl>
      <w:tblPr>
        <w:tblLayout w:type="fixed"/>
        <w:tblInd w:w="1840" w:type="dxa"/>
        <w:tblCellMar>
          <w:top w:w="0" w:type="dxa"/>
          <w:left w:w="0" w:type="dxa"/>
          <w:bottom w:w="0" w:type="dxa"/>
          <w:right w:w="0" w:type="dxa"/>
        </w:tblCellMar>
      </w:tblPr>
      <w:tr>
        <w:trPr>
          <w:trHeight w:val="227"/>
        </w:trPr>
        <w:tc>
          <w:tcPr>
            <w:tcW w:w="3960" w:type="dxa"/>
            <w:vAlign w:val="bottom"/>
          </w:tcPr>
          <w:p>
            <w:pPr>
              <w:jc w:val="center"/>
              <w:ind w:right="20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8"/>
                <w:szCs w:val="18"/>
                <w:b w:val="1"/>
                <w:bCs w:val="1"/>
                <w:color w:val="auto"/>
                <w:w w:val="98"/>
              </w:rPr>
              <w:t>93-0609074</w:t>
            </w:r>
          </w:p>
        </w:tc>
      </w:tr>
      <w:tr>
        <w:trPr>
          <w:trHeight w:val="148"/>
        </w:trPr>
        <w:tc>
          <w:tcPr>
            <w:tcW w:w="3960" w:type="dxa"/>
            <w:vAlign w:val="bottom"/>
          </w:tcPr>
          <w:p>
            <w:pPr>
              <w:jc w:val="center"/>
              <w:ind w:right="20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jc w:val="center"/>
              <w:ind w:left="1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60" w:type="dxa"/>
            <w:vAlign w:val="bottom"/>
          </w:tcPr>
          <w:p>
            <w:pPr>
              <w:jc w:val="center"/>
              <w:ind w:right="20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1610 West End Avenue, Suite 200, Nashville, TN 37203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986 - 5600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55880</wp:posOffset>
            </wp:positionV>
            <wp:extent cx="228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90" w:type="dxa"/>
        <w:tblCellMar>
          <w:top w:w="0" w:type="dxa"/>
          <w:left w:w="0" w:type="dxa"/>
          <w:bottom w:w="0" w:type="dxa"/>
          <w:right w:w="0" w:type="dxa"/>
        </w:tblCellMar>
      </w:tblPr>
      <w:tr>
        <w:trPr>
          <w:trHeight w:val="243"/>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LPX</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660"/>
              <w:spacing w:after="0" w:line="189" w:lineRule="exact"/>
              <w:rPr>
                <w:sz w:val="20"/>
                <w:szCs w:val="20"/>
                <w:color w:val="auto"/>
              </w:rPr>
            </w:pPr>
            <w:r>
              <w:rPr>
                <w:rFonts w:ascii="Wingdings" w:cs="Wingdings" w:eastAsia="Wingdings" w:hAnsi="Wingdings"/>
                <w:sz w:val="18"/>
                <w:szCs w:val="18"/>
                <w:b w:val="1"/>
                <w:bCs w:val="1"/>
                <w:color w:val="auto"/>
              </w:rPr>
              <w:t>x</w:t>
            </w:r>
          </w:p>
        </w:tc>
        <w:tc>
          <w:tcPr>
            <w:tcW w:w="4100" w:type="dxa"/>
            <w:vAlign w:val="bottom"/>
          </w:tcPr>
          <w:p>
            <w:pPr>
              <w:ind w:left="1520"/>
              <w:spacing w:after="0" w:line="189" w:lineRule="exact"/>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line="189" w:lineRule="exact"/>
              <w:rPr>
                <w:sz w:val="20"/>
                <w:szCs w:val="20"/>
                <w:color w:val="auto"/>
              </w:rPr>
            </w:pPr>
            <w:r>
              <w:rPr>
                <w:rFonts w:ascii="Wingdings" w:cs="Wingdings" w:eastAsia="Wingdings" w:hAnsi="Wingdings"/>
                <w:sz w:val="18"/>
                <w:szCs w:val="18"/>
                <w:b w:val="1"/>
                <w:bCs w:val="1"/>
                <w:color w:val="auto"/>
                <w:w w:val="86"/>
              </w:rPr>
              <w:t>o</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1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89"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70,275,943 shares of common stock, $1 par value, outstanding as of August 6, 2024.</w:t>
      </w:r>
    </w:p>
    <w:p>
      <w:pPr>
        <w:spacing w:after="0" w:line="1" w:lineRule="exact"/>
        <w:rPr>
          <w:sz w:val="24"/>
          <w:szCs w:val="24"/>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specified and unless the context otherwise requires, references to "LP," the “Company,” “we,” “us,” and “our” refer to Louisiana-Pacific Corporation and its consolidated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27A of the Securities Act of 1933, as amended,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such forward-looking statements. This quarterly report on Form 10-Q contains, and other reports and documents we file with, or furnish to, the Securities and Exchange Commission (SEC) may contain, forward-looking statements. These statements are based upon the beliefs and assumptions of, and on information available to, our management.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statements are or may constitute forward-looking statements: (1) statements preceded by, followed by or that include words like “may,” “will,” “could,” “should,” “believe,” “expect,” “anticipate,” “intend,” “plan,” “estimate,” “project,” “target,” “potential,” “continue,” “likely,” or “future,” as well as similar expressions, or the negative or other variations thereof and (2) other statements regarding matters that are not historical facts, including without limitation, statements concerning plans for product development, forecasts of future costs and expenditures, possible outcomes of legal proceedings, capacity expansion and other growth initiatives, the adequacy of reserves for loss contingencies, and any statements regarding the Company's financial outlook.</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expressed or implied by the forward-looking statements include, but are not limited to, the following:</w:t>
      </w:r>
    </w:p>
    <w:p>
      <w:pPr>
        <w:spacing w:after="0" w:line="5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fiscal and monetary policies, including tariffs and levels of employment;</w:t>
      </w:r>
    </w:p>
    <w:p>
      <w:pPr>
        <w:spacing w:after="0" w:line="15" w:lineRule="exact"/>
        <w:rPr>
          <w:rFonts w:ascii="Times New Roman" w:cs="Times New Roman" w:eastAsia="Times New Roman" w:hAnsi="Times New Roman"/>
          <w:sz w:val="18"/>
          <w:szCs w:val="18"/>
          <w:color w:val="auto"/>
        </w:rPr>
      </w:pPr>
    </w:p>
    <w:p>
      <w:pPr>
        <w:ind w:left="660" w:right="140" w:hanging="328"/>
        <w:spacing w:after="0" w:line="24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and global economic conditions, including impacts from global pandemics, rising inflation, supply chain disruptions, and new or ongoing military conflicts including the conflict between Russia and Ukraine and the conflict in Israel and the surrounding areas;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nature of a segment of our products and the prices for those products, which are determined in significant part by external factors such as total industry capacity and wider industry cycles affecting supply and demand trends;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financing for home mortgages;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home construction and repair and remodel activity;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conditions and prices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relationship between supply of and demand for building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or business conditions of third-party wholesale distributors and dealers of building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relationship between the supply of and demand for raw materials, including wood fiber and resins, used in manufacturing our products;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energy, primarily natural gas, electricity, and diesel fuel;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transportation, including transportation services provided by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vendors and suppliers for certain goods and services critical to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financial impacts from manufacturing our products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development, launch or production ramp-up of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executives, management and other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formulate and implement effective succession plans from time to time for key members of our management team;</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global pandemics) on the economy, demand for our products or our operations, including the actions and recommendations of governmental authorities to contain such public health issues;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complete and integrate acquisitions, divestitures, joint ventures, capital investments and other corporate strategic transactions;</w:t>
      </w: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interruptions to our manufacturing operations, such as explosions, fires, inclement weather, natural disasters, accidents, equipment failures, labor shortages or disruptions, transportation interruptions,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660" w:right="20"/>
        <w:spacing w:after="0" w:line="261" w:lineRule="auto"/>
        <w:rPr>
          <w:sz w:val="20"/>
          <w:szCs w:val="20"/>
          <w:color w:val="auto"/>
        </w:rPr>
      </w:pPr>
      <w:r>
        <w:rPr>
          <w:rFonts w:ascii="Times New Roman" w:cs="Times New Roman" w:eastAsia="Times New Roman" w:hAnsi="Times New Roman"/>
          <w:sz w:val="18"/>
          <w:szCs w:val="18"/>
          <w:color w:val="auto"/>
        </w:rPr>
        <w:t>supply interruptions, public health issues (including pandemics and quarantines), riots, civil insurrection or social unrest, looting, protests, strikes, and street demonstrations;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or regional climate conditions, the impacts of climate change, and potential government policies adopted in response to such conditions;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significant operating expenses;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values and exchange rates between the U.S. dollar and other currencies, particularly the Canadian dollar, Brazilian real, Chilean peso, and Argentine peso;</w:t>
      </w: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giving rise to environmental liabilities or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costs exceeding our warranty reserves;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or exploitation of our intellectual property or other proprietary information by our competitors or other third parties;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existing and future product-related litigation, environmental proceedings and remediation efforts, and other legal or environmental proceedings or matters;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covenants and events of default contained in our debt instruments;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repurchases of our common stock and the payment of dividends on our common stock, which will depend on market and business conditions and other considerations;</w:t>
      </w: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events affecting our information technology systems or those of our third-party providers and the related costs and impact of any disruption on our business; and</w:t>
      </w: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public authorities, war, political or civil unrest, natural disasters, fire, floods, earthquakes, inclement weather, and other matters beyond our control.</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and any risks and uncertainties specifically identified in the text surrounding forward-looking statements, any statements in the reports and other documents filed by us with, or furnished by us to,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are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and are inherently uncertain. We undertake no obligation to revise or update any of the forward-looking statements to reflect subsequent events or circumstances except to the extent required by applicable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7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7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7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Amounts in millions, except per share amounts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3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color w:val="auto"/>
              </w:rPr>
              <w:t>(Unaudited)</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1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24"/>
                <w:szCs w:val="24"/>
                <w:color w:val="auto"/>
              </w:rPr>
            </w:pPr>
          </w:p>
        </w:tc>
        <w:tc>
          <w:tcPr>
            <w:tcW w:w="24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1260" w:type="dxa"/>
            <w:vAlign w:val="bottom"/>
            <w:tcBorders>
              <w:bottom w:val="single" w:sz="8" w:color="CCEEFF"/>
            </w:tcBorders>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1,195</w:t>
            </w:r>
          </w:p>
        </w:tc>
        <w:tc>
          <w:tcPr>
            <w:tcW w:w="0" w:type="dxa"/>
            <w:vAlign w:val="bottom"/>
          </w:tcPr>
          <w:p>
            <w:pPr>
              <w:spacing w:after="0"/>
              <w:rPr>
                <w:sz w:val="1"/>
                <w:szCs w:val="1"/>
                <w:color w:val="auto"/>
              </w:rPr>
            </w:pPr>
          </w:p>
        </w:tc>
      </w:tr>
      <w:tr>
        <w:trPr>
          <w:trHeight w:val="213"/>
        </w:trPr>
        <w:tc>
          <w:tcPr>
            <w:tcW w:w="1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Cost of sales</w:t>
            </w:r>
          </w:p>
        </w:tc>
        <w:tc>
          <w:tcPr>
            <w:tcW w:w="244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24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13"/>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 of long-lived assets, net</w:t>
            </w:r>
          </w:p>
        </w:tc>
        <w:tc>
          <w:tcPr>
            <w:tcW w:w="1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2"/>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0" w:type="dxa"/>
            <w:vAlign w:val="bottom"/>
          </w:tcPr>
          <w:p>
            <w:pPr>
              <w:spacing w:after="0"/>
              <w:rPr>
                <w:sz w:val="1"/>
                <w:szCs w:val="1"/>
                <w:color w:val="auto"/>
              </w:rPr>
            </w:pPr>
          </w:p>
        </w:tc>
      </w:tr>
      <w:tr>
        <w:trPr>
          <w:trHeight w:val="213"/>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Investment income</w:t>
            </w:r>
          </w:p>
        </w:tc>
        <w:tc>
          <w:tcPr>
            <w:tcW w:w="1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Other non-operating income (expense)</w:t>
            </w:r>
          </w:p>
        </w:tc>
        <w:tc>
          <w:tcPr>
            <w:tcW w:w="1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0" w:type="dxa"/>
            <w:vAlign w:val="bottom"/>
          </w:tcPr>
          <w:p>
            <w:pPr>
              <w:spacing w:after="0"/>
              <w:rPr>
                <w:sz w:val="1"/>
                <w:szCs w:val="1"/>
                <w:color w:val="auto"/>
              </w:rPr>
            </w:pPr>
          </w:p>
        </w:tc>
      </w:tr>
      <w:tr>
        <w:trPr>
          <w:trHeight w:val="213"/>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 in unconsolidated affiliate</w:t>
            </w:r>
          </w:p>
        </w:tc>
        <w:tc>
          <w:tcPr>
            <w:tcW w:w="1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loss attributed to non-controlling interest</w:t>
            </w:r>
          </w:p>
        </w:tc>
        <w:tc>
          <w:tcPr>
            <w:tcW w:w="18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attributed to LP</w:t>
            </w:r>
          </w:p>
        </w:tc>
        <w:tc>
          <w:tcPr>
            <w:tcW w:w="18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26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attributed to LP per share of common stock:</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44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4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60" w:type="dxa"/>
            <w:vAlign w:val="bottom"/>
            <w:vMerge w:val="continue"/>
          </w:tcPr>
          <w:p>
            <w:pPr>
              <w:spacing w:after="0"/>
              <w:rPr>
                <w:sz w:val="16"/>
                <w:szCs w:val="16"/>
                <w:color w:val="auto"/>
              </w:rPr>
            </w:pPr>
          </w:p>
        </w:tc>
        <w:tc>
          <w:tcPr>
            <w:tcW w:w="2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6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shares of common stock used to compute net income (loss) per share: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4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4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60" w:type="dxa"/>
            <w:vAlign w:val="bottom"/>
            <w:vMerge w:val="continue"/>
          </w:tcPr>
          <w:p>
            <w:pPr>
              <w:spacing w:after="0"/>
              <w:rPr>
                <w:sz w:val="16"/>
                <w:szCs w:val="16"/>
                <w:color w:val="auto"/>
              </w:rPr>
            </w:pPr>
          </w:p>
        </w:tc>
        <w:tc>
          <w:tcPr>
            <w:tcW w:w="2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7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213"/>
        </w:trPr>
        <w:tc>
          <w:tcPr>
            <w:tcW w:w="5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w:t>
            </w: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associated with non-controlling interest</w:t>
            </w: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attributed to LP</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r>
      <w:tr>
        <w:trPr>
          <w:trHeight w:val="22"/>
        </w:trPr>
        <w:tc>
          <w:tcPr>
            <w:tcW w:w="5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doubtful accounts of $2 as of June 30, 2024 and December 31, 2023</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8"/>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778</w:t>
            </w:r>
          </w:p>
        </w:tc>
        <w:tc>
          <w:tcPr>
            <w:tcW w:w="0" w:type="dxa"/>
            <w:vAlign w:val="bottom"/>
          </w:tcPr>
          <w:p>
            <w:pPr>
              <w:spacing w:after="0"/>
              <w:rPr>
                <w:sz w:val="1"/>
                <w:szCs w:val="1"/>
                <w:color w:val="auto"/>
              </w:rPr>
            </w:pPr>
          </w:p>
        </w:tc>
      </w:tr>
      <w:tr>
        <w:trPr>
          <w:trHeight w:val="252"/>
        </w:trPr>
        <w:tc>
          <w:tcPr>
            <w:tcW w:w="7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Timber and timberlands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Investments in and advances to affiliates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2,437</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8"/>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259</w:t>
            </w:r>
          </w:p>
        </w:tc>
        <w:tc>
          <w:tcPr>
            <w:tcW w:w="0" w:type="dxa"/>
            <w:vAlign w:val="bottom"/>
          </w:tcPr>
          <w:p>
            <w:pPr>
              <w:spacing w:after="0"/>
              <w:rPr>
                <w:sz w:val="1"/>
                <w:szCs w:val="1"/>
                <w:color w:val="auto"/>
              </w:rPr>
            </w:pPr>
          </w:p>
        </w:tc>
      </w:tr>
      <w:tr>
        <w:trPr>
          <w:trHeight w:val="252"/>
        </w:trPr>
        <w:tc>
          <w:tcPr>
            <w:tcW w:w="7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Contingency reserves, excluding current portion</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880</w:t>
            </w:r>
          </w:p>
        </w:tc>
        <w:tc>
          <w:tcPr>
            <w:tcW w:w="0" w:type="dxa"/>
            <w:vAlign w:val="bottom"/>
          </w:tcPr>
          <w:p>
            <w:pPr>
              <w:spacing w:after="0"/>
              <w:rPr>
                <w:sz w:val="1"/>
                <w:szCs w:val="1"/>
                <w:color w:val="auto"/>
              </w:rPr>
            </w:pPr>
          </w:p>
        </w:tc>
      </w:tr>
      <w:tr>
        <w:trPr>
          <w:trHeight w:val="252"/>
        </w:trPr>
        <w:tc>
          <w:tcPr>
            <w:tcW w:w="7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$1 par value, 200 shares authorized; 87 and</w:t>
            </w:r>
          </w:p>
        </w:tc>
        <w:tc>
          <w:tcPr>
            <w:tcW w:w="2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62"/>
        </w:trPr>
        <w:tc>
          <w:tcPr>
            <w:tcW w:w="7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71 shares issued and outstanding, respectively, as of June 30, 2024; and 88 and 72 shares issued and outstanding,</w:t>
            </w:r>
          </w:p>
        </w:tc>
        <w:tc>
          <w:tcPr>
            <w:tcW w:w="2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 as of December 31, 2023</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16 shares at cost as of June 30, 2024 and December 31, 2023</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1,557</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2,437</w:t>
            </w:r>
          </w:p>
        </w:tc>
        <w:tc>
          <w:tcPr>
            <w:tcW w:w="0" w:type="dxa"/>
            <w:vAlign w:val="bottom"/>
          </w:tcPr>
          <w:p>
            <w:pPr>
              <w:spacing w:after="0"/>
              <w:rPr>
                <w:sz w:val="1"/>
                <w:szCs w:val="1"/>
                <w:color w:val="auto"/>
              </w:rPr>
            </w:pPr>
          </w:p>
        </w:tc>
      </w:tr>
      <w:tr>
        <w:trPr>
          <w:trHeight w:val="22"/>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198"/>
        </w:trPr>
        <w:tc>
          <w:tcPr>
            <w:tcW w:w="20" w:type="dxa"/>
            <w:vAlign w:val="bottom"/>
            <w:shd w:val="clear" w:color="auto" w:fill="CCEEFF"/>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net income:</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of goodwill and long-lived assets</w:t>
            </w:r>
          </w:p>
        </w:tc>
        <w:tc>
          <w:tcPr>
            <w:tcW w:w="1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Pension loss due to settlement</w:t>
            </w:r>
          </w:p>
        </w:tc>
        <w:tc>
          <w:tcPr>
            <w:tcW w:w="12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taxes</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Foreign currency remeasurement and transaction (gain) loss</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adjustments, net</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Changes in assets and liabilities (net of acquisitions and divestitures):</w:t>
            </w: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Receivables</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taxes payable, net of receivables</w:t>
            </w:r>
          </w:p>
        </w:tc>
        <w:tc>
          <w:tcPr>
            <w:tcW w:w="1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8"/>
        </w:trPr>
        <w:tc>
          <w:tcPr>
            <w:tcW w:w="20" w:type="dxa"/>
            <w:vAlign w:val="bottom"/>
            <w:tcBorders>
              <w:bottom w:val="single" w:sz="8" w:color="CCEEFF"/>
            </w:tcBorders>
          </w:tcPr>
          <w:p>
            <w:pPr>
              <w:spacing w:after="0"/>
              <w:rPr>
                <w:sz w:val="18"/>
                <w:szCs w:val="18"/>
                <w:color w:val="auto"/>
              </w:rPr>
            </w:pPr>
          </w:p>
        </w:tc>
        <w:tc>
          <w:tcPr>
            <w:tcW w:w="7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(used in) operating activities</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r>
      <w:tr>
        <w:trPr>
          <w:trHeight w:val="198"/>
        </w:trPr>
        <w:tc>
          <w:tcPr>
            <w:tcW w:w="20" w:type="dxa"/>
            <w:vAlign w:val="bottom"/>
            <w:shd w:val="clear" w:color="auto" w:fill="CCEEFF"/>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additions</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of facility assets</w:t>
            </w:r>
          </w:p>
        </w:tc>
        <w:tc>
          <w:tcPr>
            <w:tcW w:w="1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Proceeds from sales of assets</w:t>
            </w:r>
          </w:p>
        </w:tc>
        <w:tc>
          <w:tcPr>
            <w:tcW w:w="12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1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8"/>
        </w:trPr>
        <w:tc>
          <w:tcPr>
            <w:tcW w:w="20" w:type="dxa"/>
            <w:vAlign w:val="bottom"/>
            <w:tcBorders>
              <w:bottom w:val="single" w:sz="8" w:color="CCEEFF"/>
            </w:tcBorders>
          </w:tcPr>
          <w:p>
            <w:pPr>
              <w:spacing w:after="0"/>
              <w:rPr>
                <w:sz w:val="18"/>
                <w:szCs w:val="18"/>
                <w:color w:val="auto"/>
              </w:rPr>
            </w:pPr>
          </w:p>
        </w:tc>
        <w:tc>
          <w:tcPr>
            <w:tcW w:w="7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investing activities</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(271)</w:t>
            </w:r>
          </w:p>
        </w:tc>
      </w:tr>
      <w:tr>
        <w:trPr>
          <w:trHeight w:val="198"/>
        </w:trPr>
        <w:tc>
          <w:tcPr>
            <w:tcW w:w="20" w:type="dxa"/>
            <w:vAlign w:val="bottom"/>
            <w:shd w:val="clear" w:color="auto" w:fill="CCEEFF"/>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Borrowing of long-term debt</w:t>
            </w:r>
          </w:p>
        </w:tc>
        <w:tc>
          <w:tcPr>
            <w:tcW w:w="12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long-term debt, including call premium</w:t>
            </w:r>
          </w:p>
        </w:tc>
        <w:tc>
          <w:tcPr>
            <w:tcW w:w="1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7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financing activities</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r>
      <w:tr>
        <w:trPr>
          <w:trHeight w:val="207"/>
        </w:trPr>
        <w:tc>
          <w:tcPr>
            <w:tcW w:w="20" w:type="dxa"/>
            <w:vAlign w:val="bottom"/>
            <w:tcBorders>
              <w:bottom w:val="single" w:sz="8" w:color="CCEEFF"/>
            </w:tcBorders>
          </w:tcPr>
          <w:p>
            <w:pPr>
              <w:spacing w:after="0"/>
              <w:rPr>
                <w:sz w:val="17"/>
                <w:szCs w:val="17"/>
                <w:color w:val="auto"/>
              </w:rPr>
            </w:pPr>
          </w:p>
        </w:tc>
        <w:tc>
          <w:tcPr>
            <w:tcW w:w="7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ON CASH, CASH EQUIVALENTS, AND RESTRICTED CASH</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13"/>
        </w:trPr>
        <w:tc>
          <w:tcPr>
            <w:tcW w:w="20" w:type="dxa"/>
            <w:vAlign w:val="bottom"/>
            <w:tcBorders>
              <w:bottom w:val="single" w:sz="8" w:color="CCEEFF"/>
            </w:tcBorders>
          </w:tcPr>
          <w:p>
            <w:pPr>
              <w:spacing w:after="0"/>
              <w:rPr>
                <w:sz w:val="18"/>
                <w:szCs w:val="18"/>
                <w:color w:val="auto"/>
              </w:rPr>
            </w:pPr>
          </w:p>
        </w:tc>
        <w:tc>
          <w:tcPr>
            <w:tcW w:w="7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96"/>
        </w:trPr>
        <w:tc>
          <w:tcPr>
            <w:tcW w:w="20" w:type="dxa"/>
            <w:vAlign w:val="bottom"/>
            <w:shd w:val="clear" w:color="auto" w:fill="CCEEFF"/>
          </w:tcPr>
          <w:p>
            <w:pPr>
              <w:spacing w:after="0"/>
              <w:rPr>
                <w:sz w:val="17"/>
                <w:szCs w:val="17"/>
                <w:color w:val="auto"/>
              </w:rPr>
            </w:pPr>
          </w:p>
        </w:tc>
        <w:tc>
          <w:tcPr>
            <w:tcW w:w="75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49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 net</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Unpaid capital expenditures</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December 31, 2023</w:t>
      </w:r>
    </w:p>
    <w:p>
      <w:pPr>
        <w:spacing w:after="0" w:line="48"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6"/>
          <w:szCs w:val="16"/>
          <w:color w:val="auto"/>
        </w:rPr>
        <w:t>Net income attributed to LP Dividends paid ($0.26 per share) Issuance of shares under stock plans</w:t>
      </w:r>
    </w:p>
    <w:p>
      <w:pPr>
        <w:spacing w:after="0" w:line="2" w:lineRule="exact"/>
        <w:rPr>
          <w:sz w:val="20"/>
          <w:szCs w:val="20"/>
          <w:color w:val="auto"/>
        </w:rPr>
      </w:pPr>
    </w:p>
    <w:p>
      <w:pPr>
        <w:ind w:left="100" w:right="8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Purchase of stock</w:t>
      </w:r>
    </w:p>
    <w:p>
      <w:pPr>
        <w:spacing w:after="0" w:line="3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 w:lineRule="exact"/>
        <w:rPr>
          <w:sz w:val="20"/>
          <w:szCs w:val="20"/>
          <w:color w:val="auto"/>
        </w:rPr>
      </w:pPr>
    </w:p>
    <w:p>
      <w:pPr>
        <w:ind w:right="860" w:firstLine="122"/>
        <w:spacing w:after="0" w:line="290" w:lineRule="auto"/>
        <w:rPr>
          <w:sz w:val="20"/>
          <w:szCs w:val="20"/>
          <w:color w:val="auto"/>
        </w:rPr>
      </w:pPr>
      <w:r>
        <w:rPr>
          <w:rFonts w:ascii="Times New Roman" w:cs="Times New Roman" w:eastAsia="Times New Roman" w:hAnsi="Times New Roman"/>
          <w:sz w:val="16"/>
          <w:szCs w:val="16"/>
          <w:color w:val="auto"/>
        </w:rPr>
        <w:t xml:space="preserve">Other comprehensive loss </w:t>
      </w:r>
      <w:r>
        <w:rPr>
          <w:rFonts w:ascii="Times New Roman" w:cs="Times New Roman" w:eastAsia="Times New Roman" w:hAnsi="Times New Roman"/>
          <w:sz w:val="16"/>
          <w:szCs w:val="16"/>
          <w:b w:val="1"/>
          <w:bCs w:val="1"/>
          <w:color w:val="auto"/>
        </w:rPr>
        <w:t>Balance, March 31, 2024</w:t>
      </w:r>
    </w:p>
    <w:p>
      <w:pPr>
        <w:spacing w:after="0" w:line="1" w:lineRule="exact"/>
        <w:rPr>
          <w:sz w:val="20"/>
          <w:szCs w:val="20"/>
          <w:color w:val="auto"/>
        </w:rPr>
      </w:pPr>
    </w:p>
    <w:p>
      <w:pPr>
        <w:ind w:left="120" w:right="180"/>
        <w:spacing w:after="0" w:line="287" w:lineRule="auto"/>
        <w:rPr>
          <w:sz w:val="20"/>
          <w:szCs w:val="20"/>
          <w:color w:val="auto"/>
        </w:rPr>
      </w:pPr>
      <w:r>
        <w:rPr>
          <w:rFonts w:ascii="Times New Roman" w:cs="Times New Roman" w:eastAsia="Times New Roman" w:hAnsi="Times New Roman"/>
          <w:sz w:val="16"/>
          <w:szCs w:val="16"/>
          <w:color w:val="auto"/>
        </w:rPr>
        <w:t>Net income attributed to LP Dividends paid ($0.26 per share) Issuance of shares under stock plans</w:t>
      </w:r>
    </w:p>
    <w:p>
      <w:pPr>
        <w:spacing w:after="0" w:line="1" w:lineRule="exact"/>
        <w:rPr>
          <w:sz w:val="20"/>
          <w:szCs w:val="20"/>
          <w:color w:val="auto"/>
        </w:rPr>
      </w:pPr>
    </w:p>
    <w:p>
      <w:pPr>
        <w:ind w:left="120" w:right="8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Purchase of stock</w:t>
      </w:r>
    </w:p>
    <w:p>
      <w:pPr>
        <w:spacing w:after="0" w:line="3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 w:lineRule="exact"/>
        <w:rPr>
          <w:sz w:val="20"/>
          <w:szCs w:val="20"/>
          <w:color w:val="auto"/>
        </w:rPr>
      </w:pPr>
    </w:p>
    <w:p>
      <w:pPr>
        <w:ind w:right="860" w:firstLine="122"/>
        <w:spacing w:after="0" w:line="316" w:lineRule="auto"/>
        <w:rPr>
          <w:sz w:val="20"/>
          <w:szCs w:val="20"/>
          <w:color w:val="auto"/>
        </w:rPr>
      </w:pPr>
      <w:r>
        <w:rPr>
          <w:rFonts w:ascii="Times New Roman" w:cs="Times New Roman" w:eastAsia="Times New Roman" w:hAnsi="Times New Roman"/>
          <w:sz w:val="16"/>
          <w:szCs w:val="16"/>
          <w:color w:val="auto"/>
        </w:rPr>
        <w:t xml:space="preserve">Other comprehensive loss </w:t>
      </w:r>
      <w:r>
        <w:rPr>
          <w:rFonts w:ascii="Times New Roman" w:cs="Times New Roman" w:eastAsia="Times New Roman" w:hAnsi="Times New Roman"/>
          <w:sz w:val="16"/>
          <w:szCs w:val="16"/>
          <w:b w:val="1"/>
          <w:bCs w:val="1"/>
          <w:color w:val="auto"/>
        </w:rPr>
        <w:t>Balance, June 30, 2024</w:t>
      </w:r>
    </w:p>
    <w:p>
      <w:pPr>
        <w:spacing w:after="0" w:line="20" w:lineRule="exact"/>
        <w:rPr>
          <w:sz w:val="20"/>
          <w:szCs w:val="20"/>
          <w:color w:val="auto"/>
        </w:rPr>
      </w:pPr>
      <w:r>
        <w:rPr>
          <w:sz w:val="20"/>
          <w:szCs w:val="20"/>
          <w:color w:val="auto"/>
        </w:rPr>
        <w:br w:type="column"/>
      </w:r>
    </w:p>
    <w:p>
      <w:pPr>
        <w:jc w:val="center"/>
        <w:ind w:right="2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0" w:lineRule="exact"/>
        <w:rPr>
          <w:sz w:val="20"/>
          <w:szCs w:val="20"/>
          <w:color w:val="auto"/>
        </w:rPr>
      </w:pPr>
    </w:p>
    <w:p>
      <w:pPr>
        <w:jc w:val="center"/>
        <w:ind w:right="2900"/>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7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6"/>
                <w:szCs w:val="16"/>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20" w:type="dxa"/>
            <w:vAlign w:val="bottom"/>
          </w:tcPr>
          <w:p>
            <w:pPr>
              <w:spacing w:after="0"/>
              <w:rPr>
                <w:sz w:val="4"/>
                <w:szCs w:val="4"/>
                <w:color w:val="auto"/>
              </w:rPr>
            </w:pPr>
          </w:p>
        </w:tc>
        <w:tc>
          <w:tcPr>
            <w:tcW w:w="1180" w:type="dxa"/>
            <w:vAlign w:val="bottom"/>
            <w:vMerge w:val="restart"/>
          </w:tcPr>
          <w:p>
            <w:pPr>
              <w:jc w:val="center"/>
              <w:ind w:right="59"/>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
                <w:szCs w:val="2"/>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1"/>
                <w:szCs w:val="11"/>
                <w:color w:val="auto"/>
              </w:rPr>
            </w:pPr>
          </w:p>
        </w:tc>
        <w:tc>
          <w:tcPr>
            <w:tcW w:w="11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83"/>
        </w:trPr>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88</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1,479</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1,557</w:t>
            </w:r>
          </w:p>
        </w:tc>
        <w:tc>
          <w:tcPr>
            <w:tcW w:w="0" w:type="dxa"/>
            <w:vAlign w:val="bottom"/>
          </w:tcPr>
          <w:p>
            <w:pPr>
              <w:spacing w:after="0"/>
              <w:rPr>
                <w:sz w:val="1"/>
                <w:szCs w:val="1"/>
                <w:color w:val="auto"/>
              </w:rPr>
            </w:pPr>
          </w:p>
        </w:tc>
      </w:tr>
      <w:tr>
        <w:trPr>
          <w:trHeight w:val="214"/>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6"/>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97"/>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97"/>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00"/>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1"/>
        </w:trPr>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1,617</w:t>
            </w:r>
          </w:p>
        </w:tc>
        <w:tc>
          <w:tcPr>
            <w:tcW w:w="0" w:type="dxa"/>
            <w:vAlign w:val="bottom"/>
          </w:tcPr>
          <w:p>
            <w:pPr>
              <w:spacing w:after="0"/>
              <w:rPr>
                <w:sz w:val="1"/>
                <w:szCs w:val="1"/>
                <w:color w:val="auto"/>
              </w:rPr>
            </w:pPr>
          </w:p>
        </w:tc>
      </w:tr>
      <w:tr>
        <w:trPr>
          <w:trHeight w:val="206"/>
        </w:trPr>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6"/>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97"/>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97"/>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00"/>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1"/>
        </w:trPr>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87</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-2785110</wp:posOffset>
            </wp:positionV>
            <wp:extent cx="708914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9140" cy="14605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-2502535</wp:posOffset>
            </wp:positionV>
            <wp:extent cx="70891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-2228215</wp:posOffset>
            </wp:positionV>
            <wp:extent cx="708914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24003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-1851025</wp:posOffset>
            </wp:positionV>
            <wp:extent cx="708914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24003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-1473835</wp:posOffset>
            </wp:positionV>
            <wp:extent cx="708914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14541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-1182370</wp:posOffset>
            </wp:positionV>
            <wp:extent cx="708914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-908050</wp:posOffset>
            </wp:positionV>
            <wp:extent cx="708914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140" cy="24003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-530860</wp:posOffset>
            </wp:positionV>
            <wp:extent cx="708914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9140" cy="24003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-153670</wp:posOffset>
            </wp:positionV>
            <wp:extent cx="708914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2660" w:space="200"/>
            <w:col w:w="8300"/>
          </w:cols>
          <w:pgMar w:left="380" w:top="887"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87630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887" w:right="359" w:bottom="1440" w:gutter="0" w:footer="0" w:header="0"/>
          <w:type w:val="continuous"/>
        </w:sectPr>
      </w:pPr>
    </w:p>
    <w:bookmarkStart w:id="8" w:name="page9"/>
    <w:bookmarkEnd w:id="8"/>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December 31, 2022</w:t>
      </w:r>
    </w:p>
    <w:p>
      <w:pPr>
        <w:spacing w:after="0" w:line="48" w:lineRule="exact"/>
        <w:rPr>
          <w:sz w:val="20"/>
          <w:szCs w:val="20"/>
          <w:color w:val="auto"/>
        </w:rPr>
      </w:pPr>
    </w:p>
    <w:p>
      <w:pPr>
        <w:ind w:left="120" w:right="180"/>
        <w:spacing w:after="0" w:line="281" w:lineRule="auto"/>
        <w:rPr>
          <w:sz w:val="20"/>
          <w:szCs w:val="20"/>
          <w:color w:val="auto"/>
        </w:rPr>
      </w:pPr>
      <w:r>
        <w:rPr>
          <w:rFonts w:ascii="Times New Roman" w:cs="Times New Roman" w:eastAsia="Times New Roman" w:hAnsi="Times New Roman"/>
          <w:sz w:val="16"/>
          <w:szCs w:val="16"/>
          <w:color w:val="auto"/>
        </w:rPr>
        <w:t>Net income attributed to LP Dividends paid ($0.24 per share) Issuance of shares under stock plans</w:t>
      </w:r>
    </w:p>
    <w:p>
      <w:pPr>
        <w:spacing w:after="0" w:line="2" w:lineRule="exact"/>
        <w:rPr>
          <w:sz w:val="20"/>
          <w:szCs w:val="20"/>
          <w:color w:val="auto"/>
        </w:rPr>
      </w:pPr>
    </w:p>
    <w:p>
      <w:pPr>
        <w:ind w:left="80" w:right="10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7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2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6"/>
                <w:szCs w:val="16"/>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40" w:type="dxa"/>
            <w:vAlign w:val="bottom"/>
          </w:tcPr>
          <w:p>
            <w:pPr>
              <w:spacing w:after="0"/>
              <w:rPr>
                <w:sz w:val="4"/>
                <w:szCs w:val="4"/>
                <w:color w:val="auto"/>
              </w:rPr>
            </w:pPr>
          </w:p>
        </w:tc>
        <w:tc>
          <w:tcPr>
            <w:tcW w:w="1140" w:type="dxa"/>
            <w:vAlign w:val="bottom"/>
            <w:vMerge w:val="restart"/>
          </w:tcPr>
          <w:p>
            <w:pPr>
              <w:jc w:val="center"/>
              <w:ind w:right="60"/>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
                <w:szCs w:val="2"/>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7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1"/>
                <w:szCs w:val="11"/>
                <w:color w:val="auto"/>
              </w:rPr>
            </w:pPr>
          </w:p>
        </w:tc>
        <w:tc>
          <w:tcPr>
            <w:tcW w:w="114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83"/>
        </w:trPr>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462</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tcBorders>
          </w:tcPr>
          <w:p>
            <w:pPr>
              <w:jc w:val="center"/>
              <w:ind w:left="880"/>
              <w:spacing w:after="0"/>
              <w:rPr>
                <w:sz w:val="20"/>
                <w:szCs w:val="20"/>
                <w:color w:val="auto"/>
              </w:rPr>
            </w:pPr>
            <w:r>
              <w:rPr>
                <w:rFonts w:ascii="Times New Roman" w:cs="Times New Roman" w:eastAsia="Times New Roman" w:hAnsi="Times New Roman"/>
                <w:sz w:val="16"/>
                <w:szCs w:val="16"/>
                <w:b w:val="1"/>
                <w:bCs w:val="1"/>
                <w:color w:val="auto"/>
              </w:rPr>
              <w:t>(99)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1,433</w:t>
            </w:r>
          </w:p>
        </w:tc>
        <w:tc>
          <w:tcPr>
            <w:tcW w:w="0" w:type="dxa"/>
            <w:vAlign w:val="bottom"/>
          </w:tcPr>
          <w:p>
            <w:pPr>
              <w:spacing w:after="0"/>
              <w:rPr>
                <w:sz w:val="1"/>
                <w:szCs w:val="1"/>
                <w:color w:val="auto"/>
              </w:rPr>
            </w:pPr>
          </w:p>
        </w:tc>
      </w:tr>
      <w:tr>
        <w:trPr>
          <w:trHeight w:val="214"/>
        </w:trPr>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cente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380" w:type="dxa"/>
            <w:vAlign w:val="bottom"/>
            <w:gridSpan w:val="2"/>
          </w:tcPr>
          <w:p>
            <w:pPr>
              <w:jc w:val="cente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78"/>
        </w:trPr>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380" w:type="dxa"/>
            <w:vAlign w:val="bottom"/>
            <w:gridSpan w:val="2"/>
          </w:tcPr>
          <w:p>
            <w:pPr>
              <w:jc w:val="cente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-981710</wp:posOffset>
            </wp:positionV>
            <wp:extent cx="710628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-1818640</wp:posOffset>
            </wp:positionH>
            <wp:positionV relativeFrom="paragraph">
              <wp:posOffset>-698500</wp:posOffset>
            </wp:positionV>
            <wp:extent cx="710628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-1818640</wp:posOffset>
            </wp:positionH>
            <wp:positionV relativeFrom="paragraph">
              <wp:posOffset>-424180</wp:posOffset>
            </wp:positionV>
            <wp:extent cx="7106285"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2660" w:space="200"/>
            <w:col w:w="8320"/>
          </w:cols>
          <w:pgMar w:left="360" w:top="1042" w:right="359" w:bottom="1440" w:gutter="0" w:footer="0" w:header="0"/>
        </w:sectPr>
      </w:pPr>
    </w:p>
    <w:tbl>
      <w:tblPr>
        <w:tblLayout w:type="fixed"/>
        <w:tblInd w:w="0" w:type="dxa"/>
        <w:tblCellMar>
          <w:top w:w="0" w:type="dxa"/>
          <w:left w:w="0" w:type="dxa"/>
          <w:bottom w:w="0" w:type="dxa"/>
          <w:right w:w="0" w:type="dxa"/>
        </w:tblCellMar>
      </w:tblPr>
      <w:tr>
        <w:trPr>
          <w:trHeight w:val="202"/>
        </w:trPr>
        <w:tc>
          <w:tcPr>
            <w:tcW w:w="286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9"/>
              </w:rPr>
              <w:t>19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8"/>
        </w:trPr>
        <w:tc>
          <w:tcPr>
            <w:tcW w:w="2860" w:type="dxa"/>
            <w:vAlign w:val="bottom"/>
            <w:tcBorders>
              <w:bottom w:val="single" w:sz="8" w:color="CCEEFF"/>
            </w:tcBorders>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w w:val="99"/>
              </w:rPr>
              <w:t>Balance, March 31, 2023</w:t>
            </w:r>
          </w:p>
        </w:tc>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455</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1,375</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(80)</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1,450</w:t>
            </w:r>
          </w:p>
        </w:tc>
      </w:tr>
      <w:tr>
        <w:trPr>
          <w:trHeight w:val="211"/>
        </w:trPr>
        <w:tc>
          <w:tcPr>
            <w:tcW w:w="286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rPr>
              <w:t>Net loss attributed to LP</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bl>
    <w:p>
      <w:pPr>
        <w:spacing w:after="0" w:line="1" w:lineRule="exact"/>
        <w:rPr>
          <w:sz w:val="20"/>
          <w:szCs w:val="20"/>
          <w:color w:val="auto"/>
        </w:rPr>
      </w:pPr>
    </w:p>
    <w:p>
      <w:pPr>
        <w:sectPr>
          <w:pgSz w:w="11900" w:h="16838" w:orient="portrait"/>
          <w:cols w:equalWidth="0" w:num="1">
            <w:col w:w="11180"/>
          </w:cols>
          <w:pgMar w:left="360" w:top="1042" w:right="359" w:bottom="1440" w:gutter="0" w:footer="0" w:header="0"/>
          <w:type w:val="continuous"/>
        </w:sectPr>
      </w:pPr>
    </w:p>
    <w:p>
      <w:pPr>
        <w:ind w:left="120" w:right="180"/>
        <w:spacing w:after="0" w:line="281" w:lineRule="auto"/>
        <w:rPr>
          <w:sz w:val="20"/>
          <w:szCs w:val="20"/>
          <w:color w:val="auto"/>
        </w:rPr>
      </w:pPr>
      <w:r>
        <w:rPr>
          <w:rFonts w:ascii="Times New Roman" w:cs="Times New Roman" w:eastAsia="Times New Roman" w:hAnsi="Times New Roman"/>
          <w:sz w:val="16"/>
          <w:szCs w:val="16"/>
          <w:color w:val="auto"/>
        </w:rPr>
        <w:t>Dividends paid ($0.24 per share) Issuance of shares under stock plans</w:t>
      </w:r>
    </w:p>
    <w:p>
      <w:pPr>
        <w:spacing w:after="0" w:line="1" w:lineRule="exact"/>
        <w:rPr>
          <w:sz w:val="20"/>
          <w:szCs w:val="20"/>
          <w:color w:val="auto"/>
        </w:rPr>
      </w:pPr>
    </w:p>
    <w:p>
      <w:pPr>
        <w:ind w:left="80" w:right="10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w w:val="97"/>
              </w:rPr>
              <w:t>(17)</w:t>
            </w:r>
          </w:p>
        </w:tc>
        <w:tc>
          <w:tcPr>
            <w:tcW w:w="1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w:t>
            </w: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97"/>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78"/>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w:t>
            </w: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-561340</wp:posOffset>
            </wp:positionV>
            <wp:extent cx="710628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-184150</wp:posOffset>
            </wp:positionV>
            <wp:extent cx="7106285"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2660" w:space="660"/>
            <w:col w:w="7860"/>
          </w:cols>
          <w:pgMar w:left="360" w:top="1042" w:right="35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June 30, 2023</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1,337</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1,419</w:t>
            </w:r>
          </w:p>
        </w:tc>
      </w:tr>
    </w:tbl>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42" w:right="359" w:bottom="1440" w:gutter="0" w:footer="0" w:header="0"/>
          <w:type w:val="continuous"/>
        </w:sectPr>
      </w:pPr>
    </w:p>
    <w:bookmarkStart w:id="9" w:name="page10"/>
    <w:bookmarkEnd w:id="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FOR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and we make limited sales to customers in Asia, Australia, and Europe. The Company operates 22 plants across the U.S., Canada, Chile, and Brazil, in certain cases through foreign subsidiaries. References to "LP," the "Company," "we," "our," and "us" refer to Louisiana-Pacific Corporation and its consolidated subsidiaries as a whole.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 Selected Segment Data" below for further information regarding our products and segments.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Accordingly, they do not include all the information and footnotes required by U.S. GAAP for complete consolidated financial statements. In the opinion of management, all adjustments considered necessary for a fair presentation have been included and are of a normal and recurring nature. These Condensed Consolidated Financial Statements and related Notes should be read in conjunction with our annual report on Form 10-K for the fiscal year ended December 31, 2023, filed with the SEC on February 14, 2024 (2023 Annual Report on Form 10-K). Results of operations for interim periods are not necessarily indicative of results to be expected for an entire year.</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LP and our controlled subsidiaries. All intercompany transactions, profits, and balances have been eliminated. All dollar amounts included in tables in the Notes are in millions except per share amounts.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disaggregate revenue from contracts with customers into major product lines. We have determined that disaggregating revenue into these categories depicts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in the segment reporting information in “Note 15 - Selected Segment Data” below, our reportable segments are Siding, Oriented Strand Board (OSB), and LP South America (LPSA). The following tables present our reportable segment revenues, disaggregated by revenue source (dollar amounts in millions):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4"/>
        </w:trPr>
        <w:tc>
          <w:tcPr>
            <w:tcW w:w="4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OSB</w:t>
            </w:r>
          </w:p>
        </w:tc>
        <w:tc>
          <w:tcPr>
            <w:tcW w:w="26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7"/>
        </w:trPr>
        <w:tc>
          <w:tcPr>
            <w:tcW w:w="424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6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19"/>
        </w:trPr>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07"/>
        </w:trPr>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w:t>
            </w:r>
          </w:p>
        </w:tc>
      </w:tr>
      <w:tr>
        <w:trPr>
          <w:trHeight w:val="158"/>
        </w:trPr>
        <w:tc>
          <w:tcPr>
            <w:tcW w:w="424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53"/>
        </w:trPr>
        <w:tc>
          <w:tcPr>
            <w:tcW w:w="3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6"/>
        </w:trPr>
        <w:tc>
          <w:tcPr>
            <w:tcW w:w="424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w:t>
            </w:r>
          </w:p>
        </w:tc>
      </w:tr>
      <w:tr>
        <w:trPr>
          <w:trHeight w:val="23"/>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June 30, 2023</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4"/>
        </w:trPr>
        <w:tc>
          <w:tcPr>
            <w:tcW w:w="4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OSB</w:t>
            </w:r>
          </w:p>
        </w:tc>
        <w:tc>
          <w:tcPr>
            <w:tcW w:w="26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7"/>
        </w:trPr>
        <w:tc>
          <w:tcPr>
            <w:tcW w:w="424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6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19"/>
        </w:trPr>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07"/>
        </w:trPr>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r>
      <w:tr>
        <w:trPr>
          <w:trHeight w:val="158"/>
        </w:trPr>
        <w:tc>
          <w:tcPr>
            <w:tcW w:w="424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53"/>
        </w:trPr>
        <w:tc>
          <w:tcPr>
            <w:tcW w:w="3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5"/>
        </w:trPr>
        <w:tc>
          <w:tcPr>
            <w:tcW w:w="424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9"/>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w:t>
            </w:r>
          </w:p>
        </w:tc>
      </w:tr>
      <w:tr>
        <w:trPr>
          <w:trHeight w:val="23"/>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4"/>
        </w:trPr>
        <w:tc>
          <w:tcPr>
            <w:tcW w:w="42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OSB</w:t>
            </w: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7"/>
        </w:trPr>
        <w:tc>
          <w:tcPr>
            <w:tcW w:w="4260" w:type="dxa"/>
            <w:vAlign w:val="bottom"/>
            <w:tcBorders>
              <w:top w:val="single" w:sz="8" w:color="CCEEFF"/>
            </w:tcBorders>
            <w:gridSpan w:val="5"/>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6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219"/>
        </w:trPr>
        <w:tc>
          <w:tcPr>
            <w:tcW w:w="20" w:type="dxa"/>
            <w:vAlign w:val="bottom"/>
            <w:shd w:val="clear" w:color="auto" w:fill="CCEEFF"/>
          </w:tcPr>
          <w:p>
            <w:pPr>
              <w:spacing w:after="0"/>
              <w:rPr>
                <w:sz w:val="19"/>
                <w:szCs w:val="19"/>
                <w:color w:val="auto"/>
              </w:rPr>
            </w:pPr>
          </w:p>
        </w:tc>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r>
      <w:tr>
        <w:trPr>
          <w:trHeight w:val="207"/>
        </w:trPr>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w:t>
            </w:r>
          </w:p>
        </w:tc>
      </w:tr>
      <w:tr>
        <w:trPr>
          <w:trHeight w:val="158"/>
        </w:trPr>
        <w:tc>
          <w:tcPr>
            <w:tcW w:w="4260" w:type="dxa"/>
            <w:vAlign w:val="bottom"/>
            <w:gridSpan w:val="5"/>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53"/>
        </w:trPr>
        <w:tc>
          <w:tcPr>
            <w:tcW w:w="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6"/>
        </w:trPr>
        <w:tc>
          <w:tcPr>
            <w:tcW w:w="426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9"/>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w:t>
            </w:r>
          </w:p>
        </w:tc>
      </w:tr>
      <w:tr>
        <w:trPr>
          <w:trHeight w:val="23"/>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4"/>
        </w:trPr>
        <w:tc>
          <w:tcPr>
            <w:tcW w:w="42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OSB</w:t>
            </w: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7"/>
        </w:trPr>
        <w:tc>
          <w:tcPr>
            <w:tcW w:w="4260" w:type="dxa"/>
            <w:vAlign w:val="bottom"/>
            <w:tcBorders>
              <w:top w:val="single" w:sz="8" w:color="CCEEFF"/>
            </w:tcBorders>
            <w:gridSpan w:val="5"/>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6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19"/>
        </w:trPr>
        <w:tc>
          <w:tcPr>
            <w:tcW w:w="20" w:type="dxa"/>
            <w:vAlign w:val="bottom"/>
            <w:shd w:val="clear" w:color="auto" w:fill="CCEEFF"/>
          </w:tcPr>
          <w:p>
            <w:pPr>
              <w:spacing w:after="0"/>
              <w:rPr>
                <w:sz w:val="19"/>
                <w:szCs w:val="19"/>
                <w:color w:val="auto"/>
              </w:rPr>
            </w:pPr>
          </w:p>
        </w:tc>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07"/>
        </w:trPr>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w:t>
            </w:r>
          </w:p>
        </w:tc>
      </w:tr>
      <w:tr>
        <w:trPr>
          <w:trHeight w:val="158"/>
        </w:trPr>
        <w:tc>
          <w:tcPr>
            <w:tcW w:w="4260" w:type="dxa"/>
            <w:vAlign w:val="bottom"/>
            <w:gridSpan w:val="5"/>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53"/>
        </w:trPr>
        <w:tc>
          <w:tcPr>
            <w:tcW w:w="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6"/>
        </w:trPr>
        <w:tc>
          <w:tcPr>
            <w:tcW w:w="426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w:t>
            </w:r>
          </w:p>
        </w:tc>
      </w:tr>
      <w:tr>
        <w:trPr>
          <w:trHeight w:val="23"/>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Revenue is recognized when obligations under the terms of a contract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a reduction in net sales at the time the program is initiated and/or the revenue is recognized. The costs include, but are not limited to, volume allowances and rebates, promotional allowances, and cooperative advertising programs. These costs are recorded at the later of (i) the time of sale or (ii) the implementation of the program based on management’s best estimates. Estimates are based on historical and projected experience for each type of program or customer. Volume allowances are accrued based on our estimates of customer volume achievement and other factors incorporated into customer agreements, such as new product purchases, store sell-through, merchandising support, and customer training. Management adjusts accruals when circumstances indicate (typically as a result of a change in volume expectations).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is based 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restricted stock units, and performance stock units) be excluded from the calculation of diluted earnings per share for the periods in which losses are reported because the effect is anti-dilutive.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(dollar and share amounts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50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attributed to LP</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3"/>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Dilutive effect of employee stock plans</w:t>
            </w:r>
          </w:p>
        </w:tc>
        <w:tc>
          <w:tcPr>
            <w:tcW w:w="10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for diluted earnings per share</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2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07"/>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carrying value of the 3.625% Senior Notes due in 2029 (2029 Senior Notes) was $347 million as of June 30, 2024 and December 31, 2023. Based on market quotations, the fair value of the 2029 Senior Notes was estimated to be $319 million and $314 million as of June 30, 2024 and December 31, 2023, respectively. The 2029 Senior Notes and other long-term debt are categorized as Level 1 in the U.S. GAAP fair value hierarchy. Fair values are based on trading activity among the Company’s lenders and the average bid and ask price is determined using published rates.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LP entered into a Second Amended and Restated Credit Agreement with American AgCredit, PCA, as administrative agent and sole lead arranger, and CoBank, ACB, as letter of credit issuer (the Credit Agreement), relating to its revolving credit facility (as amended, the Amended Credit Facility). The Credit Agreement provides for a revolving credit facility in the principal amount of up to $550 million, with a $60 million sub-limit for letters of credit. All loans under the Credit Agreement become due on November 29, 2028. As of June 30, 2024, there were no outstanding borrowings under our Amended Credit Facility.</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Carrying amounts reported on the balance sheet for cash and cash equivalents, accounts receivables, and accounts payable approximate fair value due to the short-term maturity of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RECEIVABLES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consisted of the following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640" w:type="dxa"/>
            <w:vAlign w:val="bottom"/>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1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6"/>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Receivables</w:t>
            </w:r>
          </w:p>
        </w:tc>
        <w:tc>
          <w:tcPr>
            <w:tcW w:w="1640" w:type="dxa"/>
            <w:vAlign w:val="bottom"/>
            <w:tcBorders>
              <w:bottom w:val="single" w:sz="8" w:color="auto"/>
            </w:tcBorders>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 receivables are primarily generated by sales of our products to our wholesale and retail customers. Other receivables as of June 30, 2024 and December 31, 2023 primarily consist of sales tax receivables, vendor rebates, and other miscellaneous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Inventory cost includes materials, labor, and operating overhead. The major types of inventories (work in process is not material and is included in semi-finished inventory) are as follows (dollar amounts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Logs</w:t>
            </w:r>
          </w:p>
        </w:tc>
        <w:tc>
          <w:tcPr>
            <w:tcW w:w="1640" w:type="dxa"/>
            <w:vAlign w:val="bottom"/>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raw materials</w:t>
            </w:r>
          </w:p>
        </w:tc>
        <w:tc>
          <w:tcPr>
            <w:tcW w:w="1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Semi-finished inventories</w:t>
            </w:r>
          </w:p>
        </w:tc>
        <w:tc>
          <w:tcPr>
            <w:tcW w:w="1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3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Inventories</w:t>
            </w:r>
          </w:p>
        </w:tc>
        <w:tc>
          <w:tcPr>
            <w:tcW w:w="1640" w:type="dxa"/>
            <w:vAlign w:val="bottom"/>
            <w:tcBorders>
              <w:bottom w:val="single" w:sz="8" w:color="auto"/>
            </w:tcBorders>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BUSINESS EXIT CHARGES AND CREDITS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2023, we ceased the manufacturing operations of Entekra Holdings, LLC (Entekra), an off-site framing operation previously reported within our “Other” category, which comprises other products that are not individually significant. During the second quarter of 2024, the equity method investment held by Entekra sold substantially all of its net assets resulting in a $16 million distribution to LP and a gain of $11 million, which was recorded within equity in unconsolidated affiliate on the Condensed Consolidated Statements of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exit charges and credits consisted of the following (dollar amounts in millions):</w:t>
      </w:r>
    </w:p>
    <w:p>
      <w:pPr>
        <w:spacing w:after="0" w:line="160" w:lineRule="exact"/>
        <w:rPr>
          <w:sz w:val="20"/>
          <w:szCs w:val="20"/>
          <w:color w:val="auto"/>
        </w:rPr>
      </w:pPr>
    </w:p>
    <w:tbl>
      <w:tblPr>
        <w:tblLayout w:type="fixed"/>
        <w:tblInd w:w="5180" w:type="dxa"/>
        <w:tblCellMar>
          <w:top w:w="0" w:type="dxa"/>
          <w:left w:w="0" w:type="dxa"/>
          <w:bottom w:w="0" w:type="dxa"/>
          <w:right w:w="0" w:type="dxa"/>
        </w:tblCellMar>
      </w:tblPr>
      <w:tr>
        <w:trPr>
          <w:trHeight w:val="215"/>
        </w:trPr>
        <w:tc>
          <w:tcPr>
            <w:tcW w:w="3040" w:type="dxa"/>
            <w:vAlign w:val="bottom"/>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2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148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8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5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right="380"/>
        <w:spacing w:after="0" w:line="183" w:lineRule="auto"/>
        <w:rPr>
          <w:sz w:val="20"/>
          <w:szCs w:val="20"/>
          <w:color w:val="auto"/>
        </w:rPr>
      </w:pPr>
      <w:r>
        <w:rPr>
          <w:rFonts w:ascii="Times New Roman" w:cs="Times New Roman" w:eastAsia="Times New Roman" w:hAnsi="Times New Roman"/>
          <w:sz w:val="14"/>
          <w:szCs w:val="14"/>
          <w:color w:val="auto"/>
        </w:rPr>
        <w:t xml:space="preserve">Impairment of property, plant and equipment, operating lease assets, and other </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 intangible assets</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
        <w:spacing w:after="0" w:line="219" w:lineRule="auto"/>
        <w:rPr>
          <w:sz w:val="20"/>
          <w:szCs w:val="20"/>
          <w:color w:val="auto"/>
        </w:rPr>
      </w:pPr>
      <w:r>
        <w:rPr>
          <w:rFonts w:ascii="Times New Roman" w:cs="Times New Roman" w:eastAsia="Times New Roman" w:hAnsi="Times New Roman"/>
          <w:sz w:val="16"/>
          <w:szCs w:val="16"/>
          <w:color w:val="auto"/>
        </w:rPr>
        <w:t>Gain on sale of assets from an equity method investment</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Restructuring and other related charges: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tabs>
          <w:tab w:leader="none" w:pos="320" w:val="left"/>
          <w:tab w:leader="none" w:pos="1440" w:val="left"/>
          <w:tab w:leader="none" w:pos="1840" w:val="left"/>
          <w:tab w:leader="none" w:pos="3040" w:val="left"/>
          <w:tab w:leader="none" w:pos="3420" w:val="left"/>
          <w:tab w:leader="none" w:pos="4540" w:val="left"/>
        </w:tabs>
        <w:rPr>
          <w:sz w:val="20"/>
          <w:szCs w:val="20"/>
          <w:color w:val="auto"/>
        </w:rPr>
      </w:pP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(24)</w:t>
        <w:tab/>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(24)</w:t>
      </w:r>
    </w:p>
    <w:p>
      <w:pPr>
        <w:spacing w:after="0" w:line="113" w:lineRule="exact"/>
        <w:rPr>
          <w:sz w:val="20"/>
          <w:szCs w:val="20"/>
          <w:color w:val="auto"/>
        </w:rPr>
      </w:pPr>
    </w:p>
    <w:p>
      <w:pPr>
        <w:spacing w:after="0"/>
        <w:tabs>
          <w:tab w:leader="none" w:pos="1500" w:val="left"/>
          <w:tab w:leader="none" w:pos="3060" w:val="left"/>
          <w:tab w:leader="none" w:pos="462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w:t>
      </w:r>
    </w:p>
    <w:p>
      <w:pPr>
        <w:spacing w:after="0" w:line="235" w:lineRule="exact"/>
        <w:rPr>
          <w:sz w:val="20"/>
          <w:szCs w:val="20"/>
          <w:color w:val="auto"/>
        </w:rPr>
      </w:pPr>
    </w:p>
    <w:p>
      <w:pPr>
        <w:sectPr>
          <w:pgSz w:w="11900" w:h="16838" w:orient="portrait"/>
          <w:cols w:equalWidth="0" w:num="2">
            <w:col w:w="5660" w:space="720"/>
            <w:col w:w="48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6"/>
                <w:szCs w:val="16"/>
                <w:color w:val="auto"/>
              </w:rPr>
              <w:t>Inventory write-down</w:t>
            </w:r>
            <w:r>
              <w:rPr>
                <w:rFonts w:ascii="Times New Roman" w:cs="Times New Roman" w:eastAsia="Times New Roman" w:hAnsi="Times New Roman"/>
                <w:sz w:val="21"/>
                <w:szCs w:val="21"/>
                <w:color w:val="auto"/>
                <w:vertAlign w:val="superscript"/>
              </w:rPr>
              <w:t>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6"/>
        </w:trPr>
        <w:tc>
          <w:tcPr>
            <w:tcW w:w="582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expenses including personnel-related costs such as severance</w:t>
            </w:r>
            <w:r>
              <w:rPr>
                <w:rFonts w:ascii="Times New Roman" w:cs="Times New Roman" w:eastAsia="Times New Roman" w:hAnsi="Times New Roman"/>
                <w:sz w:val="21"/>
                <w:szCs w:val="21"/>
                <w:color w:val="auto"/>
                <w:vertAlign w:val="superscript"/>
              </w:rPr>
              <w:t>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51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3"/>
        </w:trPr>
        <w:tc>
          <w:tcPr>
            <w:tcW w:w="5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Included within impairment of long-lived assets, net on the Condensed Consolidated Statements of Income.</w:t>
      </w:r>
    </w:p>
    <w:p>
      <w:pPr>
        <w:spacing w:after="0"/>
        <w:rPr>
          <w:sz w:val="20"/>
          <w:szCs w:val="20"/>
          <w:color w:val="auto"/>
        </w:rPr>
      </w:pP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Included within equity in unconsolidated affiliate on the Condensed Consolidated Statements of Income.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Included within cost of sales on the 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Included within other operating credits and charges, net on the Condensed Consolidated Statements of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OTHER INTANGIBLES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and are subject to assessment for impairment by applying a fair value-based test on an annual basis, or more frequently if circumstances indicate a potential impairment. The Company’s annual assessment date is October 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goodwill and other intangible assets for the six months ended June 30, 2024 are provided in the following table (dollar amounts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Timber Licenses</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00" w:type="dxa"/>
            <w:vAlign w:val="bottom"/>
          </w:tcPr>
          <w:p>
            <w:pPr>
              <w:spacing w:after="0"/>
              <w:rPr>
                <w:sz w:val="20"/>
                <w:szCs w:val="20"/>
                <w:color w:val="auto"/>
              </w:rPr>
            </w:pPr>
          </w:p>
        </w:tc>
        <w:tc>
          <w:tcPr>
            <w:tcW w:w="17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Developed Technology</w:t>
            </w:r>
          </w:p>
        </w:tc>
      </w:tr>
      <w:tr>
        <w:trPr>
          <w:trHeight w:val="210"/>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December 31, 2023</w:t>
            </w:r>
          </w:p>
        </w:tc>
        <w:tc>
          <w:tcPr>
            <w:tcW w:w="1520" w:type="dxa"/>
            <w:vAlign w:val="bottom"/>
            <w:tcBorders>
              <w:top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5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June 30, 2024</w:t>
            </w:r>
          </w:p>
        </w:tc>
        <w:tc>
          <w:tcPr>
            <w:tcW w:w="1520" w:type="dxa"/>
            <w:vAlign w:val="bottom"/>
            <w:tcBorders>
              <w:top w:val="single" w:sz="8" w:color="auto"/>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Timber licenses are included in Timber and timberlands on the Condensed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interim periods, we recognize income tax expense by applying the estimated annual effective income tax rate to year-to-date results unless this method does not result in a reliable estimate of year-to-date income tax expense. Each period, the income tax accrual is adjusted to the latest estimate and the difference from the previously accrued year-to-date balance is adjusted in the current quarter. Changes in profitability estimates in various jurisdictions will impact our quarterly effective income tax rates.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the six months ended June 30, 2024 and 2023 reflected an estimated annual effective tax rate of 25% and 34%, respectively, excluding discrete items discussed below. The total tax provision for the three and six months ended June 30, 2024 was $53 million and $94 million, respectively, compared to $21 million and $22 million for the comparable periods in 2023, respectively. The total effective tax rate for the six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months ended June 30, 2024 was 26%, compared to 95% for the comparable period in 2023. The year-over-year decrease in the effective tax rate was primarily a result of a discrete tax expense of $22 million recorded in the quarter ended June 30, 2023 relating to the change in indefinite reinvestment assertion on Chile and Brazil earnings.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net discrete tax expenses of $4 million and $15 million in the six months ended June 30, 2024 and 2023, respectively. The net discrete tax expense in the current year primarily relates to inflationary tax adjustments in certain South American entities while the net discrete tax expense in the prior year primarily relates to the change in management’s indefinite reinvestment assertion in the second quarter described in "Item 2 – Management’s Discussion and Analysis of Financial Condition and Results of Operations.”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2021 the Organization for Economic Cooperation and Development (OECD) announced an Inclusive Framework on Base Erosion and Profit Shifting including Pillar Two Model Rules defining the global minimum tax, which establishes a global minimum effective tax rate of 15% for multinational enterprise groups with annual global revenue exceeding 750 million Euros. On June 20, 2024, the Canadian government enacted legislation implementing aspects of the OECD’s minimum tax rules under the Pillar Two Framework, effective in 2024; however, proposed legislation related to other aspects of the framework has not yet been released by the Canadian government, but is expected in the future. We considered the new Canadian legislation as part of our second quarter 2024 tax provision and concluded that (i) it had no impact on our consolidated financial statements for the six months ended June 30, 2024, and (ii) we expect there to be no impact on our Consolidated Financial Statements for the year ending December 31, 2024. No other jurisdictions in which LP operates have enacted Pillar Two legislation at this time. The Company is continuously monitoring the expanding adoptions of Pillar Two legislation and assessing its potential impact on our future tax liability.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reserves for various contingent liabilities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reserves</w:t>
            </w:r>
          </w:p>
        </w:tc>
        <w:tc>
          <w:tcPr>
            <w:tcW w:w="1800" w:type="dxa"/>
            <w:vAlign w:val="bottom"/>
            <w:shd w:val="clear" w:color="auto" w:fill="CCEEFF"/>
          </w:tcPr>
          <w:p>
            <w:pPr>
              <w:jc w:val="right"/>
              <w:ind w:right="16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reserves</w:t>
            </w:r>
          </w:p>
        </w:tc>
        <w:tc>
          <w:tcPr>
            <w:tcW w:w="180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contingencies</w:t>
            </w:r>
          </w:p>
        </w:tc>
        <w:tc>
          <w:tcPr>
            <w:tcW w:w="18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Current portion (included in Accounts payable and accrued liabilities)</w:t>
            </w:r>
          </w:p>
        </w:tc>
        <w:tc>
          <w:tcPr>
            <w:tcW w:w="1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6"/>
                <w:szCs w:val="16"/>
                <w:color w:val="auto"/>
              </w:rPr>
              <w:t>(1)</w:t>
            </w:r>
          </w:p>
        </w:tc>
      </w:tr>
      <w:tr>
        <w:trPr>
          <w:trHeight w:val="234"/>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portion</w:t>
            </w:r>
          </w:p>
        </w:tc>
        <w:tc>
          <w:tcPr>
            <w:tcW w:w="1800" w:type="dxa"/>
            <w:vAlign w:val="bottom"/>
            <w:tcBorders>
              <w:bottom w:val="single" w:sz="8" w:color="auto"/>
            </w:tcBorders>
            <w:shd w:val="clear" w:color="auto" w:fill="CCEEFF"/>
          </w:tcPr>
          <w:p>
            <w:pPr>
              <w:jc w:val="right"/>
              <w:ind w:right="16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based on the particular facts and circumstances surrounding each environmental loss contingency. These estimates typically reflect assumptions and judgments as to the 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Proceedings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From time to time, we and our subsidiaries are parties to certain legal proceedings arising in our ordinary course of business. Based on the information currently available, management believes the resolution of such ongoing and future proceedings will not have a material effect on our financial position, results of operations, cash flows, or liquidity.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IMPAIRMENT OF LONG-LIVED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the carrying values of our long-lived assets for potential impairments and believe we have adequate support for such carrying values. 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As of June 30, 2024, there were no indications of impairment.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PRODUCT WARRANTIES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warranties on the sale of most of our products and record an accrual for estimated future claims. Such accruals are based upon historical experience and management’s estimate of the level of future claims. The activity in warranty reserves for the three and six months ended June 30, 2024 and 2023, is summarized in the following table (dollar amounts in millions):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Beginning balance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to expense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Payments made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warranty reserves</w:t>
      </w:r>
    </w:p>
    <w:p>
      <w:pPr>
        <w:spacing w:after="0" w:line="46" w:lineRule="exact"/>
        <w:rPr>
          <w:sz w:val="20"/>
          <w:szCs w:val="20"/>
          <w:color w:val="auto"/>
        </w:rPr>
      </w:pPr>
    </w:p>
    <w:p>
      <w:pPr>
        <w:ind w:left="360"/>
        <w:spacing w:after="0" w:line="245" w:lineRule="auto"/>
        <w:rPr>
          <w:sz w:val="20"/>
          <w:szCs w:val="20"/>
          <w:color w:val="auto"/>
        </w:rPr>
      </w:pPr>
      <w:r>
        <w:rPr>
          <w:rFonts w:ascii="Times New Roman" w:cs="Times New Roman" w:eastAsia="Times New Roman" w:hAnsi="Times New Roman"/>
          <w:sz w:val="16"/>
          <w:szCs w:val="16"/>
          <w:color w:val="auto"/>
        </w:rPr>
        <w:t>Current portion of warranty reserves (included in accounts payable and accrued liabilities)</w:t>
      </w:r>
    </w:p>
    <w:p>
      <w:pPr>
        <w:spacing w:after="0" w:line="2" w:lineRule="exact"/>
        <w:rPr>
          <w:sz w:val="20"/>
          <w:szCs w:val="20"/>
          <w:color w:val="auto"/>
        </w:rPr>
      </w:pPr>
    </w:p>
    <w:p>
      <w:pPr>
        <w:ind w:left="360" w:right="180"/>
        <w:spacing w:after="0" w:line="245" w:lineRule="auto"/>
        <w:rPr>
          <w:sz w:val="20"/>
          <w:szCs w:val="20"/>
          <w:color w:val="auto"/>
        </w:rPr>
      </w:pPr>
      <w:r>
        <w:rPr>
          <w:rFonts w:ascii="Times New Roman" w:cs="Times New Roman" w:eastAsia="Times New Roman" w:hAnsi="Times New Roman"/>
          <w:sz w:val="16"/>
          <w:szCs w:val="16"/>
          <w:color w:val="auto"/>
        </w:rPr>
        <w:t>Long-term portion of warranty reserves (included in other long-term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2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Three Months Ended June 30,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2"/>
        </w:trPr>
        <w:tc>
          <w:tcPr>
            <w:tcW w:w="110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w w:val="99"/>
              </w:rPr>
              <w:t>8</w:t>
            </w:r>
          </w:p>
        </w:tc>
      </w:tr>
      <w:tr>
        <w:trPr>
          <w:trHeight w:val="216"/>
        </w:trPr>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1140" w:type="dxa"/>
            <w:vAlign w:val="bottom"/>
          </w:tcPr>
          <w:p>
            <w:pPr>
              <w:spacing w:after="0"/>
              <w:rPr>
                <w:sz w:val="18"/>
                <w:szCs w:val="18"/>
                <w:color w:val="auto"/>
              </w:rPr>
            </w:pPr>
          </w:p>
        </w:tc>
        <w:tc>
          <w:tcPr>
            <w:tcW w:w="36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w w:val="99"/>
              </w:rPr>
              <w:t>1</w:t>
            </w:r>
          </w:p>
        </w:tc>
      </w:tr>
      <w:tr>
        <w:trPr>
          <w:trHeight w:val="216"/>
        </w:trPr>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left="779"/>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left="799"/>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1140" w:type="dxa"/>
            <w:vAlign w:val="bottom"/>
          </w:tcPr>
          <w:p>
            <w:pPr>
              <w:spacing w:after="0"/>
              <w:rPr>
                <w:sz w:val="18"/>
                <w:szCs w:val="18"/>
                <w:color w:val="auto"/>
              </w:rPr>
            </w:pPr>
          </w:p>
        </w:tc>
        <w:tc>
          <w:tcPr>
            <w:tcW w:w="36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w w:val="99"/>
              </w:rPr>
              <w:t>8</w:t>
            </w:r>
          </w:p>
        </w:tc>
      </w:tr>
      <w:tr>
        <w:trPr>
          <w:trHeight w:val="297"/>
        </w:trPr>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140" w:type="dxa"/>
            <w:vAlign w:val="bottom"/>
          </w:tcPr>
          <w:p>
            <w:pPr>
              <w:spacing w:after="0"/>
              <w:rPr>
                <w:sz w:val="24"/>
                <w:szCs w:val="24"/>
                <w:color w:val="auto"/>
              </w:rPr>
            </w:pPr>
          </w:p>
        </w:tc>
        <w:tc>
          <w:tcPr>
            <w:tcW w:w="3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rPr>
              <w:t>(2)</w:t>
            </w:r>
          </w:p>
        </w:tc>
      </w:tr>
      <w:tr>
        <w:trPr>
          <w:trHeight w:val="87"/>
        </w:trPr>
        <w:tc>
          <w:tcPr>
            <w:tcW w:w="110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r>
        <w:trPr>
          <w:trHeight w:val="258"/>
        </w:trPr>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w w:val="99"/>
              </w:rPr>
              <w:t>7</w:t>
            </w:r>
          </w:p>
        </w:tc>
      </w:tr>
      <w:tr>
        <w:trPr>
          <w:trHeight w:val="74"/>
        </w:trPr>
        <w:tc>
          <w:tcPr>
            <w:tcW w:w="110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0"/>
        </w:trPr>
        <w:tc>
          <w:tcPr>
            <w:tcW w:w="1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-779145</wp:posOffset>
            </wp:positionV>
            <wp:extent cx="7132320" cy="779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77978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-1062355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-1207770</wp:posOffset>
            </wp:positionV>
            <wp:extent cx="19799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3">
            <w:col w:w="4960" w:space="60"/>
            <w:col w:w="80" w:space="420"/>
            <w:col w:w="5720"/>
          </w:cols>
          <w:pgMar w:left="320" w:top="1440"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monitor warranty and other claims associated with our products and believe, as of June 30, 2024, that the warranty reserve balances associated with these matters are adequate to cover future warranty payments. However, it is possible that additional changes may be required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ACCUMULATED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comprehensive loss is provided in the following table for the three months ended June 30, 2024 and 2023 (dollar amounts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0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5"/>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8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80"/>
              <w:spacing w:after="0" w:line="138" w:lineRule="exact"/>
              <w:rPr>
                <w:sz w:val="20"/>
                <w:szCs w:val="20"/>
                <w:color w:val="auto"/>
              </w:rPr>
            </w:pPr>
            <w:r>
              <w:rPr>
                <w:rFonts w:ascii="Times New Roman" w:cs="Times New Roman" w:eastAsia="Times New Roman" w:hAnsi="Times New Roman"/>
                <w:sz w:val="15"/>
                <w:szCs w:val="15"/>
                <w:b w:val="1"/>
                <w:bCs w:val="1"/>
                <w:color w:val="auto"/>
              </w:rPr>
              <w:t>Translation</w:t>
            </w:r>
          </w:p>
        </w:tc>
        <w:tc>
          <w:tcPr>
            <w:tcW w:w="120" w:type="dxa"/>
            <w:vAlign w:val="bottom"/>
          </w:tcPr>
          <w:p>
            <w:pPr>
              <w:spacing w:after="0"/>
              <w:rPr>
                <w:sz w:val="11"/>
                <w:szCs w:val="11"/>
                <w:color w:val="auto"/>
              </w:rPr>
            </w:pPr>
          </w:p>
        </w:tc>
        <w:tc>
          <w:tcPr>
            <w:tcW w:w="10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5"/>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comprehensive loss is provided in the following table for the six months ended June 30, 2024 and 2023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0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5"/>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8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79"/>
              <w:spacing w:after="0" w:line="138" w:lineRule="exact"/>
              <w:rPr>
                <w:sz w:val="20"/>
                <w:szCs w:val="20"/>
                <w:color w:val="auto"/>
              </w:rPr>
            </w:pPr>
            <w:r>
              <w:rPr>
                <w:rFonts w:ascii="Times New Roman" w:cs="Times New Roman" w:eastAsia="Times New Roman" w:hAnsi="Times New Roman"/>
                <w:sz w:val="15"/>
                <w:szCs w:val="15"/>
                <w:b w:val="1"/>
                <w:bCs w:val="1"/>
                <w:color w:val="auto"/>
              </w:rPr>
              <w:t>Translation</w:t>
            </w:r>
          </w:p>
        </w:tc>
        <w:tc>
          <w:tcPr>
            <w:tcW w:w="120" w:type="dxa"/>
            <w:vAlign w:val="bottom"/>
          </w:tcPr>
          <w:p>
            <w:pPr>
              <w:spacing w:after="0"/>
              <w:rPr>
                <w:sz w:val="11"/>
                <w:szCs w:val="11"/>
                <w:color w:val="auto"/>
              </w:rPr>
            </w:pPr>
          </w:p>
        </w:tc>
        <w:tc>
          <w:tcPr>
            <w:tcW w:w="10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Reclassified to income statement, net of taxes</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8"/>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1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0" w:type="dxa"/>
            <w:vAlign w:val="bottom"/>
          </w:tcPr>
          <w:p>
            <w:pPr>
              <w:spacing w:after="0"/>
              <w:rPr>
                <w:sz w:val="1"/>
                <w:szCs w:val="1"/>
                <w:color w:val="auto"/>
              </w:rPr>
            </w:pPr>
          </w:p>
        </w:tc>
      </w:tr>
      <w:tr>
        <w:trPr>
          <w:trHeight w:val="22"/>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100" w:hanging="92"/>
        <w:spacing w:after="0"/>
        <w:tabs>
          <w:tab w:leader="none" w:pos="10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Amounts of actuarial loss and prior service cost are components of net periodic benefit cost.</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OTHER OPERATING AND NON-OPERATING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credits and charges,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credits and charges, net,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0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Reorganization charges</w:t>
            </w:r>
          </w:p>
        </w:tc>
        <w:tc>
          <w:tcPr>
            <w:tcW w:w="108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Legal settlement</w:t>
            </w:r>
          </w:p>
        </w:tc>
        <w:tc>
          <w:tcPr>
            <w:tcW w:w="10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8"/>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operating credits and charges, net</w:t>
            </w:r>
          </w:p>
        </w:tc>
        <w:tc>
          <w:tcPr>
            <w:tcW w:w="10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center"/>
              <w:ind w:left="839"/>
              <w:spacing w:after="0"/>
              <w:rPr>
                <w:sz w:val="20"/>
                <w:szCs w:val="20"/>
                <w:color w:val="auto"/>
              </w:rPr>
            </w:pPr>
            <w:r>
              <w:rPr>
                <w:rFonts w:ascii="Times New Roman" w:cs="Times New Roman" w:eastAsia="Times New Roman" w:hAnsi="Times New Roman"/>
                <w:sz w:val="16"/>
                <w:szCs w:val="16"/>
                <w:b w:val="1"/>
                <w:bCs w:val="1"/>
                <w:color w:val="auto"/>
                <w:w w:val="99"/>
              </w:rPr>
              <w:t>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r>
      <w:tr>
        <w:trPr>
          <w:trHeight w:val="22"/>
        </w:trPr>
        <w:tc>
          <w:tcPr>
            <w:tcW w:w="5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items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non-operating items is comprised of the following components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80" w:type="dxa"/>
            <w:vAlign w:val="bottom"/>
            <w:tcBorders>
              <w:bottom w:val="single" w:sz="8" w:color="auto"/>
            </w:tcBorders>
          </w:tcPr>
          <w:p>
            <w:pPr>
              <w:spacing w:after="0"/>
              <w:rPr>
                <w:sz w:val="18"/>
                <w:szCs w:val="18"/>
                <w:color w:val="auto"/>
              </w:rPr>
            </w:pPr>
          </w:p>
        </w:tc>
      </w:tr>
      <w:tr>
        <w:trPr>
          <w:trHeight w:val="211"/>
        </w:trPr>
        <w:tc>
          <w:tcPr>
            <w:tcW w:w="51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r>
      <w:tr>
        <w:trPr>
          <w:trHeight w:val="21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settlement charges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gain (loss)</w:t>
            </w: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6"/>
              </w:rPr>
              <w:t>(8)</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non-operating items</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w w:val="96"/>
              </w:rPr>
              <w:t>(8)</w:t>
            </w:r>
          </w:p>
        </w:tc>
        <w:tc>
          <w:tcPr>
            <w:tcW w:w="1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r>
      <w:tr>
        <w:trPr>
          <w:trHeight w:val="22"/>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SELECTED SEGMENT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three segments: Siding, OSB, and LPSA. Our business units have been aggregated into these three segments based upon the similarity of economic characteristics, customers, and distribution methods. Our results of operations are summarized below for each of these segments separately, as well as for the “Other” category, which comprises other products that are not individually significant.</w:t>
      </w:r>
    </w:p>
    <w:p>
      <w:pPr>
        <w:spacing w:after="0" w:line="64" w:lineRule="exact"/>
        <w:rPr>
          <w:sz w:val="20"/>
          <w:szCs w:val="20"/>
          <w:color w:val="auto"/>
        </w:rPr>
      </w:pPr>
    </w:p>
    <w:p>
      <w:pPr>
        <w:jc w:val="both"/>
        <w:ind w:left="660" w:hanging="328"/>
        <w:spacing w:after="0" w:line="21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Siding segment serves diverse end markets with a broad product offering, including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ExpertFinish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 BuilderSeries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Lap Siding,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Outdoor Building Solutions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(collectively referred to as Siding Solutions). Our Siding Solutions products consist of a full line of engineered wood siding, trim, soffit, and fascia.</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OSB segment manufactures and distributes OSB structural panel products, including the innovative value-added OSB product portfolio known as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Structural Solutions (which includes LP TechShield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Radiant Barrier, LP WeatherLogic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Air &amp; Water Barrier, LP Legacy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Premium Sub-Flooring, LP NovaCore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Thermal Insulated Sheathing, LP FlameBlock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Fire-Rated Sheathing, and LP TopNotch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350 Durable Sub-Flooring). OSB products are manufactured using wood strands arranged in layers and bonded with resins.</w:t>
      </w:r>
    </w:p>
    <w:p>
      <w:pPr>
        <w:spacing w:after="0" w:line="9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LPSA segment manufactures and distributes LP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business segments based on net sales and segment Adjusted EBITDA. Accordingly, our chief operating decision maker evaluates performance and allocates resources based primarily on net sales and segment Adjusted EBITDA for our business segments. Segment Adjusted EBITDA is defined as income attributed to LP before interest expense, provision for income taxes, depreciation and amortization, and excludes stock-based compensation expense, loss on impairment attributed to LP, business exit charges and credits, product-line discontinuance charges, other operating credits and charges, net, loss on early debt extinguishment, investment income, pension settlement charges, and other non-operating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Information about our business segments is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BY BUSINESS SEGMENT</w:t>
            </w: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Siding</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213"/>
        </w:trPr>
        <w:tc>
          <w:tcPr>
            <w:tcW w:w="5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OSB</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LPSA</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sales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814</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TO ADJUSTED EBITDA RECONCILIATION</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0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attributed to non-controlling interest</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attributed to LP</w:t>
            </w:r>
          </w:p>
        </w:tc>
        <w:tc>
          <w:tcPr>
            <w:tcW w:w="10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exit charges and credits</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settlement charges</w:t>
            </w: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0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8"/>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1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LPSA</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June 30, 2024, through August 6, 2024, we used $64 million to repurchase 0.7 million shares of LP common stock under the Company's existing share repurchase program authorized in May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forward-looking statements that are based on the beliefs of our management, as well as assumptions made by and information currently available to our management. We encourage you to review the risks and uncertainties described in the sections titled "Risk Factors" and "Cautionary Statement Regarding Forward-Looking Statements" included in our 2023 Annual Report on Form 10-K and in this quarterly report on Form 10-Q. These risks and uncertainties could cause actual results to differ materially from those projected in the forward-looking statements contained in this quarterly report on Form 10-Q or implied by past results and trends. Our historical results are not necessarily indicative of the results that may be expected for any period in the future, and our interim results are not necessarily indicative of the results we expect for the full fiscal year or any other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Our manufacturing facilities are located in the U.S., Canada, Chile, and Brazil. To serve these markets, we operate in three segments: Siding, OSB, and LPSA.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for Building Products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Demand for our products correlates positively with new home construction and repair and remodeling activity in North America, which historically has been characterized by significant cyclicality. The U.S. Census Bureau reported on July 17, 2024, that actual single-family housing starts were 7% higher for the three months ended June 30, 2024, and 16% higher for the six months ended June 30, 2024, as compared to the same periods in 2023. Actual multi-family housing starts for the three and six months ended June 30, 2024 were about 35% lower as compared to the same periods in 2023. Repair and remodeling activity is difficult to reasonably measure, but many indicators suggest that it has declined modestly year-over-year.</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economic conditions in the United States and the demand for homes are uncertain due to inflationary impacts on the economy, including interest rates, employment levels, consumer confidence, and financial markets, among other things. The potential effect of these factors on our future operational and financial performance is uncertain. As a result, our past performance may not be indicative of future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Demand for Siding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Siding Solutions products are specialty building materials and are subject to competition from various siding technologies, including vinyl, stucco, wood, fiber cement, brick, and others. We believe we are the largest manufacturer in the engineered wood siding market in North America and South America. We have consistently grown our Siding segment above the underlying market growth rates. Our Siding segment is generally less sensitive to new housing market cyclicality since a majority of its demand comes from other markets, including off-site structure producers and repair and remodel. Our growth in this market depends upon the continued displacement of vinyl, wood, fiber cement, stucco, bricks, and other alternatives, our product innovation and our technological expertise in wood and wood composites to address the needs of our customers.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Demand for OSB</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OSB is a commodity product, and it is subject to competition from manufacturers worldwide. Product supply is influenced primarily by fluctuations in available manufacturing capacity and imports. The ratio of overall OSB demand to capacity generally drives price. We cannot predict whether the prices of our OSB products will remain at current levels or increase or decrease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Significant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1 of the Notes to the Consolidated Financial Statements included in our 2023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application of principles, methods, and assumptions used to determine our significant estimates since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 and Other Key Performance Indicators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quarterly report on Form 10-Q, we disclose income attributed to LP before interest expense, provision for income taxes, depreciation and amortization, and excluding stock-based compensation expense, loss on impairment attributed to LP, business exit charges and credits, product-line discontinuance charges, other operating credits and charges, net, loss on early debt extinguishment, investment income, pension settlement charges, and other non-operating items, as Adjusted EBITDA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income attributed to LP, excluding loss on impairment attributed to LP, business exit charges and credits, product-line discontinuance charges, interest expense outside of normal operations, other operating credits and charges, net, loss on early debt extinguishment, gain (loss) on acquisition, and pension settlement charges, and adjusting for a normalized tax rate, as Adjusted Income (Adjusted Income). We also disclose Adjusted Diluted EPS, which is calculated as Adjusted Income divided by diluted shares outstanding. We believe that Adjusted Diluted EPS and Adjusted Income are useful measures for evaluating our ability to generate earnings and that providing these measures should allow interested persons to more readily compare the earnings for past and future periods. Reconciliations of Adjusted EBITDA, Adjusted Income and Adjusted Diluted EPS to their most directly comparable U.S. GAAP financial measures, net income, income attributed to LP, and income attributed to LP per diluted share, respectively, are presented below.</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Adjusted Income, and Adjusted Diluted EPS are not substitutes for the U.S. GAAP measures of net income, income attributed to LP, and income attributed to LP per diluted share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(dollar amounts in millions):</w:t>
      </w:r>
    </w:p>
    <w:p>
      <w:pPr>
        <w:spacing w:after="0" w:line="160"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7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attributed to non-controlling interest</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attributed to LP</w:t>
            </w: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Business exit charges and credits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income</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Pension settlement charges</w:t>
            </w:r>
          </w:p>
        </w:tc>
        <w:tc>
          <w:tcPr>
            <w:tcW w:w="10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Siding</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LPSA</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4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Corporate</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35"/>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following table provides the reconciliation of net income to Adjusted Income (dollar amounts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9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 diluted</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0.02</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attributed to non-controlling interest</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attributed to LP</w:t>
            </w: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exit charges and credits</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settlement charges</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Reported tax provision</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income before tax</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Normalized tax provision at 25%</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5"/>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Income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Diluted shares outstanding</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6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Diluted EPS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2.09</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management monitors certain key performance indicators to evaluate our business performance, which include our Overall Equipment Effectiveness (OEE) and our sales volume relative to housing starts, as provided by reports from the U.S. Census Bureau.</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summary data relating to: (i) housing starts within the United States, (ii) our sales volumes, and (iii) our OEE performance. We consider the following items to be key performance indicators for our business because LP’s management uses these metrics to evaluate our business and trends in our industry, measure our performance, and make strategic decisions. We believe that the key performance indicators presented may provide additional perspective and insights when analyzing our core operating performance. These key performance indicators should not be considered superior to, as a substitute for, or as an alternative to, and should be considered in conjunction with, the financial measures that were prepared in accordance with U.S. GAAP. These measures may not be comparable to similarly titled performance indicators used by other companies.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housing starts, which is a leading external indicator of residential construction in the United States that correlates with the demand for many of our products. We believe that housing starts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 titled performance indicators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housing starts for the three and six months ended June 30, 2024 and 2023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326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98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00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0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Housing starts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Single-Family</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0"/>
        </w:trPr>
        <w:tc>
          <w:tcPr>
            <w:tcW w:w="50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w:t>
            </w:r>
          </w:p>
        </w:tc>
      </w:tr>
      <w:tr>
        <w:trPr>
          <w:trHeight w:val="23"/>
        </w:trPr>
        <w:tc>
          <w:tcPr>
            <w:tcW w:w="50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50"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Actual U.S. housing starts data, in thousands, reported by the U.S. Census Bureau as published through July 17, 2024.</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sales volumes for our products in our Siding, OSB, and LPSA segments, which we define as the number of units of our products sold within the applicable period. Evaluating sales volume by product type helps us identify and address changes in product demand, broad market factors that may affect our performance, and opportunities for future growth. It should be noted that other companies may present sales volume data differently, and therefore, as presented by us, sales volume data may not be comparable to similarly titled measures reported by other companies. We believe that sales volumes can be a useful measure for evaluating and understanding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sales volumes for the three and six months ended June 30, 2024 and 2023:</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3240" w:type="dxa"/>
            <w:vAlign w:val="bottom"/>
            <w:tcBorders>
              <w:bottom w:val="single" w:sz="8" w:color="auto"/>
            </w:tcBorders>
            <w:gridSpan w:val="7"/>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Borders>
              <w:bottom w:val="single" w:sz="8" w:color="auto"/>
            </w:tcBorders>
            <w:gridSpan w:val="7"/>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Three Months Ended June 30, 2023</w:t>
            </w:r>
          </w:p>
        </w:tc>
        <w:tc>
          <w:tcPr>
            <w:tcW w:w="700" w:type="dxa"/>
            <w:vAlign w:val="bottom"/>
            <w:tcBorders>
              <w:bottom w:val="single" w:sz="8" w:color="auto"/>
            </w:tcBorders>
          </w:tcPr>
          <w:p>
            <w:pPr>
              <w:spacing w:after="0"/>
              <w:rPr>
                <w:sz w:val="18"/>
                <w:szCs w:val="18"/>
                <w:color w:val="auto"/>
              </w:rPr>
            </w:pPr>
          </w:p>
        </w:tc>
      </w:tr>
      <w:tr>
        <w:trPr>
          <w:trHeight w:val="214"/>
        </w:trPr>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Sales Volume</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OSB</w:t>
            </w: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LPSA</w:t>
            </w: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OSB</w:t>
            </w: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LPSA</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Siding Solutions (MMSF)</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1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OSB - Structural Solutions (MMSF)</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r>
      <w:tr>
        <w:trPr>
          <w:trHeight w:val="21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OSB - commodity (MMSF)</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r>
      <w:tr>
        <w:trPr>
          <w:trHeight w:val="212"/>
        </w:trPr>
        <w:tc>
          <w:tcPr>
            <w:tcW w:w="3220" w:type="dxa"/>
            <w:vAlign w:val="bottom"/>
          </w:tcPr>
          <w:p>
            <w:pPr>
              <w:spacing w:after="0"/>
              <w:rPr>
                <w:sz w:val="18"/>
                <w:szCs w:val="18"/>
                <w:color w:val="auto"/>
              </w:rPr>
            </w:pPr>
          </w:p>
        </w:tc>
        <w:tc>
          <w:tcPr>
            <w:tcW w:w="3240" w:type="dxa"/>
            <w:vAlign w:val="bottom"/>
            <w:tcBorders>
              <w:bottom w:val="single" w:sz="8" w:color="auto"/>
            </w:tcBorders>
            <w:gridSpan w:val="7"/>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Borders>
              <w:bottom w:val="single" w:sz="8" w:color="auto"/>
            </w:tcBorders>
            <w:gridSpan w:val="7"/>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700" w:type="dxa"/>
            <w:vAlign w:val="bottom"/>
            <w:tcBorders>
              <w:bottom w:val="single" w:sz="8" w:color="auto"/>
            </w:tcBorders>
          </w:tcPr>
          <w:p>
            <w:pPr>
              <w:spacing w:after="0"/>
              <w:rPr>
                <w:sz w:val="18"/>
                <w:szCs w:val="18"/>
                <w:color w:val="auto"/>
              </w:rPr>
            </w:pPr>
          </w:p>
        </w:tc>
      </w:tr>
      <w:tr>
        <w:trPr>
          <w:trHeight w:val="211"/>
        </w:trPr>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Sales Volume</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OSB</w:t>
            </w: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LPSA</w:t>
            </w: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OSB</w:t>
            </w: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LPSA</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Siding Solutions (MMSF)</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r>
      <w:tr>
        <w:trPr>
          <w:trHeight w:val="21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OSB - Structural Solutions (MMSF)</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21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OSB - commodity (MMSF)</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measure OEE at each of our mills to track improvements in the utilization and productivity of our manufacturing assets. OEE is a composite metric that considers asset uptime (adjusted for capital project downtime and similar events), production rates, and finished product quality. We believe that OEE, when used in conjunction with other metrics, can be a useful measure for evaluating our ability to generate profits, and that providing this measure should allow interested persons to monitor operational improvements. We use a best-in-class target across all LP manufacturing sites that allows us to optimize capital investments, focus maintenance and reliability improvements, and improve overall equipment efficiency. It should be noted that other companies may present OEE data differently, and therefore, as presented by us, OEE data may not be comparable to similarly titled measures reported by other companies.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OEE for the three and six months ended June 30, 2024 and 2023 for each of our segments is listed below:</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r>
      <w:tr>
        <w:trPr>
          <w:trHeight w:val="211"/>
        </w:trPr>
        <w:tc>
          <w:tcPr>
            <w:tcW w:w="35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9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9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Pr>
          <w:p>
            <w:pPr>
              <w:spacing w:after="0"/>
              <w:rPr>
                <w:sz w:val="18"/>
                <w:szCs w:val="18"/>
                <w:color w:val="auto"/>
              </w:rPr>
            </w:pPr>
          </w:p>
        </w:tc>
      </w:tr>
      <w:tr>
        <w:trPr>
          <w:trHeight w:val="211"/>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Siding</w:t>
            </w:r>
          </w:p>
        </w:tc>
        <w:tc>
          <w:tcPr>
            <w:tcW w:w="1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13"/>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OSB</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19"/>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LPSA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for each of our segments are discussed below, as are the results of operations for the “other” category, which comprises other products that are not individually significant. See "Note 15 - Selected Segment Data" of the Notes to the Condensed Consolidated Financial Statements included in "Item 1 - Financial Statements" of this quarterly report on Form 10-Q for further information regarding our segments.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Siding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Siding segment serves diverse end markets with a broad product offering, including LP SmartSide Trim &amp; Siding, LP SmartSide ExpertFinish Trim &amp; Siding, LP BuilderSeries Lap Siding, and LP Outdoor Building Solutions (collectively referred to as Siding Solutions). Our Siding Solutions products consist of a full line of engineered wood siding, trim, soffit, and fascia.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740" w:type="dxa"/>
            <w:vAlign w:val="bottom"/>
          </w:tcPr>
          <w:p>
            <w:pPr>
              <w:spacing w:after="0"/>
              <w:rPr>
                <w:sz w:val="18"/>
                <w:szCs w:val="18"/>
                <w:color w:val="auto"/>
              </w:rPr>
            </w:pPr>
          </w:p>
        </w:tc>
        <w:tc>
          <w:tcPr>
            <w:tcW w:w="2920" w:type="dxa"/>
            <w:vAlign w:val="bottom"/>
            <w:gridSpan w:val="6"/>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8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6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8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740" w:type="dxa"/>
            <w:vAlign w:val="bottom"/>
          </w:tcPr>
          <w:p>
            <w:pPr>
              <w:spacing w:after="0"/>
              <w:rPr>
                <w:sz w:val="18"/>
                <w:szCs w:val="18"/>
                <w:color w:val="auto"/>
              </w:rPr>
            </w:pPr>
          </w:p>
        </w:tc>
        <w:tc>
          <w:tcPr>
            <w:tcW w:w="2960" w:type="dxa"/>
            <w:vAlign w:val="bottom"/>
            <w:gridSpan w:val="6"/>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7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35"/>
        </w:trPr>
        <w:tc>
          <w:tcPr>
            <w:tcW w:w="3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2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Percent changes in average net sales prices and unit shipments for the three and six months ended June 30, 2024, compared to the corresponding periods in 2023,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3240" w:type="dxa"/>
            <w:vAlign w:val="bottom"/>
            <w:gridSpan w:val="4"/>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3660" w:type="dxa"/>
            <w:vAlign w:val="bottom"/>
          </w:tcPr>
          <w:p>
            <w:pPr>
              <w:spacing w:after="0"/>
              <w:rPr>
                <w:sz w:val="18"/>
                <w:szCs w:val="18"/>
                <w:color w:val="auto"/>
              </w:rPr>
            </w:pPr>
          </w:p>
        </w:tc>
        <w:tc>
          <w:tcPr>
            <w:tcW w:w="3240" w:type="dxa"/>
            <w:vAlign w:val="bottom"/>
            <w:tcBorders>
              <w:bottom w:val="single" w:sz="8" w:color="auto"/>
            </w:tcBorders>
            <w:gridSpan w:val="4"/>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June 30, 2024 versus 2023</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2024 versus 2023</w:t>
            </w:r>
          </w:p>
        </w:tc>
      </w:tr>
      <w:tr>
        <w:trPr>
          <w:trHeight w:val="157"/>
        </w:trPr>
        <w:tc>
          <w:tcPr>
            <w:tcW w:w="3660" w:type="dxa"/>
            <w:vAlign w:val="bottom"/>
          </w:tcPr>
          <w:p>
            <w:pPr>
              <w:spacing w:after="0"/>
              <w:rPr>
                <w:sz w:val="13"/>
                <w:szCs w:val="13"/>
                <w:color w:val="auto"/>
              </w:rPr>
            </w:pPr>
          </w:p>
        </w:tc>
        <w:tc>
          <w:tcPr>
            <w:tcW w:w="1400" w:type="dxa"/>
            <w:vAlign w:val="bottom"/>
          </w:tcPr>
          <w:p>
            <w:pPr>
              <w:ind w:left="48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left="379"/>
              <w:spacing w:after="0" w:line="158" w:lineRule="exact"/>
              <w:rPr>
                <w:sz w:val="20"/>
                <w:szCs w:val="20"/>
                <w:color w:val="auto"/>
              </w:rPr>
            </w:pPr>
            <w:r>
              <w:rPr>
                <w:rFonts w:ascii="Times New Roman" w:cs="Times New Roman" w:eastAsia="Times New Roman" w:hAnsi="Times New Roman"/>
                <w:sz w:val="16"/>
                <w:szCs w:val="16"/>
                <w:color w:val="auto"/>
                <w:w w:val="98"/>
              </w:rPr>
              <w:t>Unit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ind w:left="52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Unit</w:t>
            </w:r>
          </w:p>
        </w:tc>
      </w:tr>
      <w:tr>
        <w:trPr>
          <w:trHeight w:val="213"/>
        </w:trPr>
        <w:tc>
          <w:tcPr>
            <w:tcW w:w="3660" w:type="dxa"/>
            <w:vAlign w:val="bottom"/>
          </w:tcPr>
          <w:p>
            <w:pPr>
              <w:spacing w:after="0"/>
              <w:rPr>
                <w:sz w:val="18"/>
                <w:szCs w:val="18"/>
                <w:color w:val="auto"/>
              </w:rPr>
            </w:pPr>
          </w:p>
        </w:tc>
        <w:tc>
          <w:tcPr>
            <w:tcW w:w="1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Selling Price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Shipments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Selling Price</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Shipments</w:t>
            </w:r>
          </w:p>
        </w:tc>
      </w:tr>
      <w:tr>
        <w:trPr>
          <w:trHeight w:val="212"/>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w:t>
            </w:r>
          </w:p>
        </w:tc>
        <w:tc>
          <w:tcPr>
            <w:tcW w:w="14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year-over-year net sales increase for the Siding segment for the three and six months ended June 30, 2024 reflects increased sales volumes and list price increases.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 quarter 2024 Adjusted EBITDA increased year-over-year by $46 million, reflecting the impact of the net sales increase and a $5 million net decrease in freight, raw materials, and labor, partially offset by a $7 million increase in mill overhead. For the six months ended June 30, 2024, the year-over-year increase in Adjusted EBITDA of $69 million primarily reflects the impact of the net sales increase.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OSB</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OSB segment manufactures and distributes OSB structural panel products, including the innovative value-added OSB product portfolio known as LP Structural Solutions (which includes LP TechShield Radiant Barrier, LP WeatherLogic Air &amp; Water Barrier, LP Legacy Premium Sub-Flooring, LP NovaCore Thermal Insulated Sheathing, LP FlameBlock Fire-Rated Sheathing, and LP TopNotch 350 Durable Sub-Flooring). OSB products are manufactured using wood strands arranged in layers and bonded with resins.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6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760" w:type="dxa"/>
            <w:vAlign w:val="bottom"/>
          </w:tcPr>
          <w:p>
            <w:pPr>
              <w:spacing w:after="0"/>
              <w:rPr>
                <w:sz w:val="18"/>
                <w:szCs w:val="18"/>
                <w:color w:val="auto"/>
              </w:rPr>
            </w:pPr>
          </w:p>
        </w:tc>
        <w:tc>
          <w:tcPr>
            <w:tcW w:w="2920" w:type="dxa"/>
            <w:vAlign w:val="bottom"/>
            <w:gridSpan w:val="6"/>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6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418 %</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00" w:type="dxa"/>
            <w:vAlign w:val="bottom"/>
            <w:tcBorders>
              <w:bottom w:val="single" w:sz="8" w:color="auto"/>
            </w:tcBorders>
          </w:tcPr>
          <w:p>
            <w:pPr>
              <w:spacing w:after="0"/>
              <w:rPr>
                <w:sz w:val="18"/>
                <w:szCs w:val="18"/>
                <w:color w:val="auto"/>
              </w:rPr>
            </w:pPr>
          </w:p>
        </w:tc>
      </w:tr>
      <w:tr>
        <w:trPr>
          <w:trHeight w:val="211"/>
        </w:trPr>
        <w:tc>
          <w:tcPr>
            <w:tcW w:w="37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Borders>
              <w:bottom w:val="single" w:sz="8" w:color="auto"/>
            </w:tcBorders>
          </w:tcPr>
          <w:p>
            <w:pPr>
              <w:spacing w:after="0"/>
              <w:rPr>
                <w:sz w:val="18"/>
                <w:szCs w:val="18"/>
                <w:color w:val="auto"/>
              </w:rPr>
            </w:pPr>
          </w:p>
        </w:tc>
      </w:tr>
      <w:tr>
        <w:trPr>
          <w:trHeight w:val="21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w:t>
            </w:r>
          </w:p>
        </w:tc>
        <w:tc>
          <w:tcPr>
            <w:tcW w:w="140" w:type="dxa"/>
            <w:vAlign w:val="bottom"/>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53 %</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418</w:t>
            </w:r>
          </w:p>
        </w:tc>
        <w:tc>
          <w:tcPr>
            <w:tcW w:w="140" w:type="dxa"/>
            <w:vAlign w:val="bottom"/>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59 %</w:t>
            </w:r>
          </w:p>
        </w:tc>
      </w:tr>
      <w:tr>
        <w:trPr>
          <w:trHeight w:val="22"/>
        </w:trPr>
        <w:tc>
          <w:tcPr>
            <w:tcW w:w="3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Percent changes in average net sales prices and unit shipments for the three and six months ended June 30, 2024, compared to the corresponding periods in 2023,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3240" w:type="dxa"/>
            <w:vAlign w:val="bottom"/>
            <w:gridSpan w:val="4"/>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gridSpan w:val="3"/>
          </w:tcPr>
          <w:p>
            <w:pPr>
              <w:jc w:val="right"/>
              <w:ind w:right="113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3720" w:type="dxa"/>
            <w:vAlign w:val="bottom"/>
          </w:tcPr>
          <w:p>
            <w:pPr>
              <w:spacing w:after="0"/>
              <w:rPr>
                <w:sz w:val="18"/>
                <w:szCs w:val="18"/>
                <w:color w:val="auto"/>
              </w:rPr>
            </w:pPr>
          </w:p>
        </w:tc>
        <w:tc>
          <w:tcPr>
            <w:tcW w:w="3240" w:type="dxa"/>
            <w:vAlign w:val="bottom"/>
            <w:tcBorders>
              <w:bottom w:val="single" w:sz="8" w:color="auto"/>
            </w:tcBorders>
            <w:gridSpan w:val="4"/>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June 30, 2024 versus 2023</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bottom w:val="single" w:sz="8" w:color="auto"/>
            </w:tcBorders>
            <w:gridSpan w:val="3"/>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June 30, 2024 versus 2023</w:t>
            </w:r>
          </w:p>
        </w:tc>
      </w:tr>
      <w:tr>
        <w:trPr>
          <w:trHeight w:val="157"/>
        </w:trPr>
        <w:tc>
          <w:tcPr>
            <w:tcW w:w="3720" w:type="dxa"/>
            <w:vAlign w:val="bottom"/>
          </w:tcPr>
          <w:p>
            <w:pPr>
              <w:spacing w:after="0"/>
              <w:rPr>
                <w:sz w:val="13"/>
                <w:szCs w:val="13"/>
                <w:color w:val="auto"/>
              </w:rPr>
            </w:pPr>
          </w:p>
        </w:tc>
        <w:tc>
          <w:tcPr>
            <w:tcW w:w="138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left="37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2"/>
          </w:tcPr>
          <w:p>
            <w:pPr>
              <w:ind w:left="50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78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color w:val="auto"/>
              </w:rPr>
              <w:t>Unit</w:t>
            </w:r>
          </w:p>
        </w:tc>
      </w:tr>
      <w:tr>
        <w:trPr>
          <w:trHeight w:val="213"/>
        </w:trPr>
        <w:tc>
          <w:tcPr>
            <w:tcW w:w="3720" w:type="dxa"/>
            <w:vAlign w:val="bottom"/>
          </w:tcPr>
          <w:p>
            <w:pPr>
              <w:spacing w:after="0"/>
              <w:rPr>
                <w:sz w:val="18"/>
                <w:szCs w:val="18"/>
                <w:color w:val="auto"/>
              </w:rPr>
            </w:pPr>
          </w:p>
        </w:tc>
        <w:tc>
          <w:tcPr>
            <w:tcW w:w="1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Selling Price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Shipments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Selling Price</w:t>
            </w:r>
          </w:p>
        </w:tc>
        <w:tc>
          <w:tcPr>
            <w:tcW w:w="178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Shipments</w:t>
            </w:r>
          </w:p>
        </w:tc>
      </w:tr>
      <w:tr>
        <w:trPr>
          <w:trHeight w:val="212"/>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3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bl>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 quarter 2024 net sales for the OSB segment increased year-over-year by $122 million (or 53%), reflecting a $73 million increase in revenue due to higher OSB selling prices and a $40 million increase in sales volumes. For the six months ended June 30, 2024, the year-over-year increase in net sales of $246 million (or 59%) reflects a $135 million increase in revenue due to higher OSB selling prices and a $96 million increase in sales volumes.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for the three and six months ended June 30, 2024 increased year-over-year by $88 million and $174 million, respectively, reflecting the impact of higher OSB prices and sales volumes, partially offset by higher mill-related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LPSA</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LPSA segment manufactures and distributes LP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2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0" w:type="dxa"/>
            <w:vAlign w:val="bottom"/>
          </w:tcPr>
          <w:p>
            <w:pPr>
              <w:spacing w:after="0"/>
              <w:rPr>
                <w:sz w:val="18"/>
                <w:szCs w:val="18"/>
                <w:color w:val="auto"/>
              </w:rPr>
            </w:pPr>
          </w:p>
        </w:tc>
        <w:tc>
          <w:tcPr>
            <w:tcW w:w="288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8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were as follows (dollar amounts in millions):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4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0" w:type="dxa"/>
            <w:vAlign w:val="bottom"/>
          </w:tcPr>
          <w:p>
            <w:pPr>
              <w:spacing w:after="0"/>
              <w:rPr>
                <w:sz w:val="18"/>
                <w:szCs w:val="18"/>
                <w:color w:val="auto"/>
              </w:rPr>
            </w:pPr>
          </w:p>
        </w:tc>
        <w:tc>
          <w:tcPr>
            <w:tcW w:w="2880" w:type="dxa"/>
            <w:vAlign w:val="bottom"/>
            <w:gridSpan w:val="6"/>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7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OSB - Structural Solutions</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Siding</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08"/>
        </w:trPr>
        <w:tc>
          <w:tcPr>
            <w:tcW w:w="3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r>
      <w:tr>
        <w:trPr>
          <w:trHeight w:val="22"/>
        </w:trPr>
        <w:tc>
          <w:tcPr>
            <w:tcW w:w="3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Percent changes in average net sales price and unit shipments for the three and six months ended June 30, 2024, compared to the corresponding periods in 2023,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3240" w:type="dxa"/>
            <w:vAlign w:val="bottom"/>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3"/>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3640" w:type="dxa"/>
            <w:vAlign w:val="bottom"/>
          </w:tcPr>
          <w:p>
            <w:pPr>
              <w:spacing w:after="0"/>
              <w:rPr>
                <w:sz w:val="18"/>
                <w:szCs w:val="18"/>
                <w:color w:val="auto"/>
              </w:rPr>
            </w:pPr>
          </w:p>
        </w:tc>
        <w:tc>
          <w:tcPr>
            <w:tcW w:w="3240" w:type="dxa"/>
            <w:vAlign w:val="bottom"/>
            <w:tcBorders>
              <w:bottom w:val="single" w:sz="8" w:color="auto"/>
            </w:tcBorders>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June 30, 2024 versus 2023</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June 30, 2024 versus 2023</w:t>
            </w:r>
          </w:p>
        </w:tc>
      </w:tr>
      <w:tr>
        <w:trPr>
          <w:trHeight w:val="157"/>
        </w:trPr>
        <w:tc>
          <w:tcPr>
            <w:tcW w:w="3640" w:type="dxa"/>
            <w:vAlign w:val="bottom"/>
          </w:tcPr>
          <w:p>
            <w:pPr>
              <w:spacing w:after="0"/>
              <w:rPr>
                <w:sz w:val="13"/>
                <w:szCs w:val="13"/>
                <w:color w:val="auto"/>
              </w:rPr>
            </w:pPr>
          </w:p>
        </w:tc>
        <w:tc>
          <w:tcPr>
            <w:tcW w:w="134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left="41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ind w:left="52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800" w:type="dxa"/>
            <w:vAlign w:val="bottom"/>
          </w:tcPr>
          <w:p>
            <w:pPr>
              <w:jc w:val="right"/>
              <w:ind w:right="679"/>
              <w:spacing w:after="0" w:line="158" w:lineRule="exact"/>
              <w:rPr>
                <w:sz w:val="20"/>
                <w:szCs w:val="20"/>
                <w:color w:val="auto"/>
              </w:rPr>
            </w:pPr>
            <w:r>
              <w:rPr>
                <w:rFonts w:ascii="Times New Roman" w:cs="Times New Roman" w:eastAsia="Times New Roman" w:hAnsi="Times New Roman"/>
                <w:sz w:val="16"/>
                <w:szCs w:val="16"/>
                <w:color w:val="auto"/>
              </w:rPr>
              <w:t>Unit</w:t>
            </w:r>
          </w:p>
        </w:tc>
      </w:tr>
      <w:tr>
        <w:trPr>
          <w:trHeight w:val="213"/>
        </w:trPr>
        <w:tc>
          <w:tcPr>
            <w:tcW w:w="3640" w:type="dxa"/>
            <w:vAlign w:val="bottom"/>
          </w:tcPr>
          <w:p>
            <w:pPr>
              <w:spacing w:after="0"/>
              <w:rPr>
                <w:sz w:val="18"/>
                <w:szCs w:val="18"/>
                <w:color w:val="auto"/>
              </w:rPr>
            </w:pPr>
          </w:p>
        </w:tc>
        <w:tc>
          <w:tcPr>
            <w:tcW w:w="13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Selling Price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Shipments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Selling Price</w:t>
            </w:r>
          </w:p>
        </w:tc>
        <w:tc>
          <w:tcPr>
            <w:tcW w:w="18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Shipments</w:t>
            </w:r>
          </w:p>
        </w:tc>
      </w:tr>
      <w:tr>
        <w:trPr>
          <w:trHeight w:val="212"/>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1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bl>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year-over-year net sales and Adjusted EBITDA decreases for the LPSA segment for the three and six months ended June 30, 2024 reflect unfavorable currency fluctuations, partially offset by local currency revenues.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other products segment includes other minor products, services, and closed operations, which do not qualify as discontinued operations. During the second quarter of 2023, we announced the shutdown of our off-site framing operation Entekra Holdings LLC (Entekra). Other net sales were $2 million and $5 million for the three and six months ended June 30, 2024, respectively, as compared to $9 million and $17 million for the corresponding periods in 2023. The year-over-year decrease in other net sales for the three and six months ended June 30, 2024 was primarily due to lower Entekra sales volumes as a result of the aforementioned shutdown. Adjusted EBITDA was $(2) million and $(3) million for the three and six months ended June 30, 2024, respectively, as compared to $(6) million and $(14) million for the corresponding periods in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$71 million and $140 million for the three and six months ended June 30, 2024, respectively, compared to $66 million and $133 million for the corresponding periods in 2023. The year-over-year increase in selling, general, and administrative expenses was driven by higher employee compensation.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recognized an estimated tax provision of $53 million and $94 million in the three and six months ended June 30, 2024, respectively, as compared to $21 million and $22 million for the corresponding periods in 2023, respectively. Each quarter the income tax accrual is adjusted to the latest estimate and the difference from the previously accrued year-to-date balance is recorded in the current quarter. For 2024, the primary differences between the U.S. statutory rate of 21% and the effective rate relates to state income tax and foreign tax rates. For 2023, the primary difference between the U.S. statutory rate of 21% and the effective rate relates to the $22 million tax expense impact from a change in indefinite reinvestment assertion on Chile and Brazil earnings, which is discussed immediately below.</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fiscal 2023 management changed its intent to no longer assert indefinite reinvestment related to undistributed earnings in Chile and Brazil. As a result, we established a net $22 million deferred tax liability for the expected tax consequences of repatriating all beginning of year cumulative Chile and Brazil earnings, which was recorded as an expense in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Environmental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legal and environmental matters involving us and the potential impact thereof on our financial position, results of operations, and cash flows, see Items 3, 7, and 8 in our 2023 Annual Report on Form 10-K and "Note 10 - Commitments and Contingencies" of the Notes to the Condensed Consolidated Financial Statements included in "Item 1 - Financial Statements"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long-term cash uses may also include strategic acquisitions. On a long-term basis, we expect to rely on our credit facility for any long-term funding not provided by operating cash flows. We may also, from time to time, issue and sell equity, debt, or hybrid securities or engage in other capital market transactions.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share repurchases may be commenced, suspended, discontinued, or resumed, and the method or methods of effecting any such repurchases may be changed, at any time, or from time to time, without prior notice.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fund our capital expenditures over at least the next 12 months through cash on hand, cash generated from operations, and available borrowing under our Amended Credit Facility, as necessary.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2023, cash provided (used) by operations was $317 million and $(30) million, respectively. The increase in cash provided by operations was primarily related to higher net income, partially offset by changes in working capital.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and 2023, cash used in investing activities was $61 million and $271 million, respectively. During the six months ended June 30, 2024, we received $16 million in proceeds from our share of the sale of certain assets from an equity method investment. During the six months ended June 30, 2023, we paid $80 million to acquire the assets owned by Wawa OSB, Inc.</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for the six months ended June 30, 2024 and 2023, were $77 million and $188 million, respectively. The year-over-year decrease was primarily related to siding conversion expenditures in the prior year. Capital expenditures for the six months ended June 30, 2024 were primarily related to growth and sustaining maintenance projects.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cash used in financing activities was $157 million. During this period, we used $115 million to repurchase shares of LP common stock under the 2022 Share Repurchase Program (defined below). Additionally, we paid cash dividends of $37 million and used $5 million to repurchase stock from employees in connection with income tax withholding requirements associated with our employee stock-based compensation plans.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2023, cash used in financing activities was $14 million. During this period, we paid cash dividends of $35 million and used $9 million to repurchase stock from employees in connection with income tax withholding requirements associated with our employee stock-based compensation plans.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ind w:right="660"/>
        <w:spacing w:after="0" w:line="375" w:lineRule="auto"/>
        <w:rPr>
          <w:sz w:val="20"/>
          <w:szCs w:val="20"/>
          <w:color w:val="auto"/>
        </w:rPr>
      </w:pPr>
      <w:r>
        <w:rPr>
          <w:rFonts w:ascii="Times New Roman" w:cs="Times New Roman" w:eastAsia="Times New Roman" w:hAnsi="Times New Roman"/>
          <w:sz w:val="18"/>
          <w:szCs w:val="18"/>
          <w:color w:val="auto"/>
        </w:rPr>
        <w:t xml:space="preserve">payments were partially financed by net borrowings of $30 million under our Amended Credit Facility during the six months ended June 30, 2023. </w:t>
      </w:r>
      <w:r>
        <w:rPr>
          <w:rFonts w:ascii="Times New Roman" w:cs="Times New Roman" w:eastAsia="Times New Roman" w:hAnsi="Times New Roman"/>
          <w:sz w:val="18"/>
          <w:szCs w:val="18"/>
          <w:i w:val="1"/>
          <w:iCs w:val="1"/>
          <w:color w:val="auto"/>
        </w:rPr>
        <w:t>Credit Facility and Letter of Credit Facility</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2022, LP entered into the Credit Agreement with American AgCredit, PCA, as administrative agent and sole lead arranger, and CoBank, ACB, as letter of credit issuer, relating to the Amended Credit Facility. The Credit Agreement provides for a revolving credit facility in the principal amount of up to $550 million, with a $60 million sub-limit for letters of credit. All loans under the Credit Agreement become due on November 29, 2028. As of June 30, 2024, we had no outstanding borrowings under our Amended Credit Facility.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contains various restrictive covenants and customary events of default. The breach of restrictive covenants or the occurrence of any other event of default under the Credit Agreement could result in the acceleration of our obligation to repay the indebtedness outstanding thereunder. The Credit Agreement also contains financial covenants that require us and our consolidated subsidiaries to have, as of the end of each quarter, a capitalization ratio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funded debt less unrestricted cash to total capitalization) of no more than 57.5%. As of June 30, 2024, we were in compliance with all financial covenants under the Credit Agreement.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2024, LP entered into a new letter of credit facility agreement, replacing the letter of credit facility agreement dated May 2020. This agreement provides for the funding of letters of credit up to an aggregate outstanding amount of $20 million, which may be secured by certain cash collateral of LP (the Letter of Credit Facility). The Letter of Credit Facility provides for a letter of credit fee, due quarterly, ranging from 1.000% to 1.875% of the daily available amount to be drawn on each letter of credit issued under the Letter of Credit Facility. The Letter of Credit Facility is subject to similar affirmative, negative, and financial covenants as those set forth in the Credit Agreement, including the capitalization ratio covenant. All amounts outstanding under the Letter of Credit Facility become due on April 15, 2029. As of June 30, 2024, we were in compliance with all covenants under the Letter of Credit Facility.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Off-Balance Sheet Arrangements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we had standby letters of credit of $14 million outstanding related to collateral for environmental impact on owned properties, a deposit for a forestry license, and insurance collateral, including workers' compensation.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Impairments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 the carrying values of our long-lived assets for potential impairments and believe we have adequate support for such carrying values as of June 30, 2024.</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As of June 30, 2024, there were no indications of impairment.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fluctuations in foreign currency exchange rates, commodity prices and interest rates which could impact our results of operations and financial condition.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international operations has transactional foreign currency exposures related to buying and selling in currencies other than the local currencies in which it operates. Exposures are primarily related to the U.S. dollar relative to the Canadian dollar, the Brazilian real, the Chilean peso, and the Argentine peso. We also have translation exposure resulting from translating the financial statements of foreign subsidiaries into U.S. dollars.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provided we may do so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products are sold as commodities, and therefore sales prices fluctuate daily based on market factors over which we have little or no control. The most significant commodity product we sell is OSB. There have been no material changes to the assumed production capacity and annual average price sensitivity for OSB previously disclosed under the caption “Item 7A. Quantitative and Qualitative Disclosures about Market Risk” in our 2023 Annual Report on Form 10-K. We historically have not entered into material commodity futures and swaps, although we may do so in the future.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on our variable rate long-term debt. As of June 30, 2024, there were no outstanding borrowings under our Amended Credit Facility. We do not currently have any derivative or hedging arrangements to reduce the impact of changes in interest rates, or other known exposures, to changes in interest rates. There have been no material changes to the interest rate sensitivity analysis previously disclosed under the caption “Item 7A. Quantitative and Qualitative Disclosures about Market Risk” in our 2023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line="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June 30, 2024, LP’s disclosure controls and procedures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most recently completed fiscal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of certain legal and environmental matters involving LP set forth in "Item 1 - Financial Statements" of this quarterly report on Form 10-Q under "Note 10 - Commitments and Contingencies" of the Notes to the Condensed Consolidated Financial Statements contained herein is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an investor should carefully consider the factors discussed in Part I, “Item 1A. Risk Factors” of the Company’s 2023 Annual Report on Form 10-K. There have been no material changes to the risk factors previously disclosed under the caption "Item 1A. Risk Factors" in Part I of our 2023 Annual Report on Form 10-K.</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risks described in our 2023 Annual Report on Form 10-K are not the only risks facing the Company. Additional risks and uncertainties not currently known to us or that we currently deem immaterial may also materially adversely affect our business,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line="200" w:lineRule="exact"/>
        <w:rPr>
          <w:sz w:val="20"/>
          <w:szCs w:val="20"/>
          <w:color w:val="auto"/>
        </w:rPr>
      </w:pPr>
    </w:p>
    <w:p>
      <w:pPr>
        <w:spacing w:after="0" w:line="2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May 2022 and May 2024, our Board of Directors authorized share repurchase programs under which LP was authorized to repurchase up to $600 million (the 2022 Share Repurchase Program) and $250 million (the 2024 Share Repurchase Program), respectively, of its outstanding common stock. During the quarter ended June 30, 2024, we repurchased 1,205,624 shares of our common stock at an average price of $84.41 per share through market purchases pursuant to the 2022 Share Repurchase Program. At June 30, 2024, we had an aggregate of $335 million of repurchase authorization remaining under the 2022 Share Repurchase Program and the 2024 Share Repurchase Program. LP may initiate, discontinue, or resume purchases of its common stock under the 2022 Share Repurchase Program and the 2024 Share Repurchase Program in the open market, in block, and in privately negotiated transactions, including under Rule 10b5-1 plans, at times and in such amounts as management deems appropriate without prior notice, subject to market and business conditions, regulatory requirements, and other factors.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 of our common stock was repurchased under this authorization during the quarter ended June 30,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220" w:type="dxa"/>
            <w:vAlign w:val="bottom"/>
          </w:tcPr>
          <w:p>
            <w:pPr>
              <w:spacing w:after="0"/>
              <w:rPr>
                <w:sz w:val="16"/>
                <w:szCs w:val="16"/>
                <w:color w:val="auto"/>
              </w:rPr>
            </w:pPr>
          </w:p>
        </w:tc>
        <w:tc>
          <w:tcPr>
            <w:tcW w:w="16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9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Available</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200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220" w:type="dxa"/>
            <w:vAlign w:val="bottom"/>
          </w:tcPr>
          <w:p>
            <w:pPr>
              <w:spacing w:after="0"/>
              <w:rPr>
                <w:sz w:val="14"/>
                <w:szCs w:val="14"/>
                <w:color w:val="auto"/>
              </w:rPr>
            </w:pPr>
          </w:p>
        </w:tc>
        <w:tc>
          <w:tcPr>
            <w:tcW w:w="16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for Repurchase Under</w:t>
            </w:r>
          </w:p>
        </w:tc>
        <w:tc>
          <w:tcPr>
            <w:tcW w:w="0" w:type="dxa"/>
            <w:vAlign w:val="bottom"/>
          </w:tcPr>
          <w:p>
            <w:pPr>
              <w:spacing w:after="0"/>
              <w:rPr>
                <w:sz w:val="1"/>
                <w:szCs w:val="1"/>
                <w:color w:val="auto"/>
              </w:rPr>
            </w:pPr>
          </w:p>
        </w:tc>
      </w:tr>
      <w:tr>
        <w:trPr>
          <w:trHeight w:val="162"/>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8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 Plans or</w:t>
            </w:r>
          </w:p>
        </w:tc>
        <w:tc>
          <w:tcPr>
            <w:tcW w:w="220" w:type="dxa"/>
            <w:vAlign w:val="bottom"/>
          </w:tcPr>
          <w:p>
            <w:pPr>
              <w:spacing w:after="0"/>
              <w:rPr>
                <w:sz w:val="14"/>
                <w:szCs w:val="14"/>
                <w:color w:val="auto"/>
              </w:rPr>
            </w:pPr>
          </w:p>
        </w:tc>
        <w:tc>
          <w:tcPr>
            <w:tcW w:w="16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 Programs</w:t>
            </w:r>
          </w:p>
        </w:tc>
        <w:tc>
          <w:tcPr>
            <w:tcW w:w="0" w:type="dxa"/>
            <w:vAlign w:val="bottom"/>
          </w:tcPr>
          <w:p>
            <w:pPr>
              <w:spacing w:after="0"/>
              <w:rPr>
                <w:sz w:val="1"/>
                <w:szCs w:val="1"/>
                <w:color w:val="auto"/>
              </w:rPr>
            </w:pPr>
          </w:p>
        </w:tc>
      </w:tr>
      <w:tr>
        <w:trPr>
          <w:trHeight w:val="216"/>
        </w:trPr>
        <w:tc>
          <w:tcPr>
            <w:tcW w:w="3780" w:type="dxa"/>
            <w:vAlign w:val="bottom"/>
            <w:vMerge w:val="continue"/>
          </w:tcPr>
          <w:p>
            <w:pPr>
              <w:spacing w:after="0"/>
              <w:rPr>
                <w:sz w:val="18"/>
                <w:szCs w:val="18"/>
                <w:color w:val="auto"/>
              </w:rPr>
            </w:pPr>
          </w:p>
        </w:tc>
        <w:tc>
          <w:tcPr>
            <w:tcW w:w="17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500" w:type="dxa"/>
            <w:vAlign w:val="bottom"/>
          </w:tcPr>
          <w:p>
            <w:pPr>
              <w:spacing w:after="0"/>
              <w:rPr>
                <w:sz w:val="18"/>
                <w:szCs w:val="18"/>
                <w:color w:val="auto"/>
              </w:rPr>
            </w:pPr>
          </w:p>
        </w:tc>
        <w:tc>
          <w:tcPr>
            <w:tcW w:w="150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78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9"/>
              </w:rPr>
              <w:t>Programs</w:t>
            </w:r>
            <w:r>
              <w:rPr>
                <w:rFonts w:ascii="Times New Roman" w:cs="Times New Roman" w:eastAsia="Times New Roman" w:hAnsi="Times New Roman"/>
                <w:sz w:val="21"/>
                <w:szCs w:val="21"/>
                <w:b w:val="1"/>
                <w:bCs w:val="1"/>
                <w:color w:val="auto"/>
                <w:w w:val="99"/>
                <w:vertAlign w:val="superscript"/>
              </w:rPr>
              <w:t>1</w:t>
            </w:r>
          </w:p>
        </w:tc>
        <w:tc>
          <w:tcPr>
            <w:tcW w:w="220" w:type="dxa"/>
            <w:vAlign w:val="bottom"/>
          </w:tcPr>
          <w:p>
            <w:pPr>
              <w:spacing w:after="0"/>
              <w:rPr>
                <w:sz w:val="18"/>
                <w:szCs w:val="18"/>
                <w:color w:val="auto"/>
              </w:rPr>
            </w:pPr>
          </w:p>
        </w:tc>
        <w:tc>
          <w:tcPr>
            <w:tcW w:w="16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2024 - April 30, 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386,591</w:t>
            </w:r>
          </w:p>
        </w:tc>
        <w:tc>
          <w:tcPr>
            <w:tcW w:w="5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77.41</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386,591</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2024 - May 31, 2024</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271,014</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84.52</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271,014</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2024 - June 30, 2024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548,019</w:t>
            </w:r>
          </w:p>
        </w:tc>
        <w:tc>
          <w:tcPr>
            <w:tcW w:w="5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89.25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548,019</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12"/>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for Second Quarter 2024</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1,205,624</w:t>
            </w: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1,205,624</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8"/>
        <w:spacing w:after="0" w:line="239" w:lineRule="auto"/>
        <w:tabs>
          <w:tab w:leader="none" w:pos="79"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May 3, 2022, LP’s Board of Directors authorized the 2022 Share Repurchase Program under which LP may repurchase shares of its common stock totaling up to $600 million. On May 7, 2024, LP’s Board of Directors authorized the 2024 Share Repurchase Program under which LP may repurchase shares of its common stock totaling up to $250 million. As of June 30, 2024, LP had an aggregate of $335 million of repurchase authorization remaining under the 2022 Share Repurchase Program and the 2024 Share Repurchase Program.</w:t>
      </w:r>
    </w:p>
    <w:p>
      <w:pPr>
        <w:spacing w:after="0" w:line="1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adopted, modified or terminated a Rule 10b5-1 trading arrangement or a non-Rule 10b5-1 trading arrangement during the quarter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0" w:type="dxa"/>
            <w:vAlign w:val="bottom"/>
          </w:tcPr>
          <w:p>
            <w:pPr>
              <w:spacing w:after="0"/>
              <w:rPr>
                <w:sz w:val="20"/>
                <w:szCs w:val="20"/>
                <w:color w:val="auto"/>
              </w:rPr>
            </w:pPr>
          </w:p>
        </w:tc>
        <w:tc>
          <w:tcPr>
            <w:tcW w:w="100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7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280" w:type="dxa"/>
            <w:vAlign w:val="bottom"/>
          </w:tcPr>
          <w:p>
            <w:pPr>
              <w:spacing w:after="0"/>
              <w:rPr>
                <w:sz w:val="24"/>
                <w:szCs w:val="24"/>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000FF"/>
              </w:rPr>
              <w:t xml:space="preserve">Certifications of Chief Executive Officer Pursuant to Rule 13a-14(a) under the Securities Exchange Act of 1934.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280" w:type="dxa"/>
            <w:vAlign w:val="bottom"/>
          </w:tcPr>
          <w:p>
            <w:pPr>
              <w:spacing w:after="0"/>
              <w:rPr>
                <w:sz w:val="22"/>
                <w:szCs w:val="22"/>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000FF"/>
              </w:rPr>
              <w:t xml:space="preserve">Certifications of Chief Financial Officer Pursuant to Rule 13a-14(a) under the Securities Exchange Act of 1934.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000FF"/>
              </w:rPr>
              <w:t xml:space="preserve">Certifications pursuant to § 906 of the Sarbanes-Oxley Act of 2002.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gridSpan w:val="4"/>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101.INS</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149"/>
        </w:trPr>
        <w:tc>
          <w:tcPr>
            <w:tcW w:w="1000" w:type="dxa"/>
            <w:vAlign w:val="bottom"/>
            <w:gridSpan w:val="4"/>
            <w:vMerge w:val="continue"/>
          </w:tcPr>
          <w:p>
            <w:pPr>
              <w:spacing w:after="0"/>
              <w:rPr>
                <w:sz w:val="12"/>
                <w:szCs w:val="12"/>
                <w:color w:val="auto"/>
              </w:rPr>
            </w:pPr>
          </w:p>
        </w:tc>
        <w:tc>
          <w:tcPr>
            <w:tcW w:w="101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1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10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101.SCH</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0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10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0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9"/>
              </w:rPr>
              <w:t>101.PRE</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0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7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6"/>
              </w:rPr>
              <w:t>104</w:t>
            </w:r>
          </w:p>
        </w:tc>
        <w:tc>
          <w:tcPr>
            <w:tcW w:w="280" w:type="dxa"/>
            <w:vAlign w:val="bottom"/>
          </w:tcPr>
          <w:p>
            <w:pPr>
              <w:spacing w:after="0"/>
              <w:rPr>
                <w:sz w:val="24"/>
                <w:szCs w:val="24"/>
                <w:color w:val="auto"/>
              </w:rPr>
            </w:pPr>
          </w:p>
        </w:tc>
        <w:tc>
          <w:tcPr>
            <w:tcW w:w="10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 Inline XBRL document and contained in Exhibit 101)*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50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LOUISIANA-PACIFIC CORPORATION</w:t>
            </w:r>
          </w:p>
        </w:tc>
      </w:tr>
      <w:tr>
        <w:trPr>
          <w:trHeight w:val="51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August 7, 2024</w:t>
            </w:r>
          </w:p>
        </w:tc>
        <w:tc>
          <w:tcPr>
            <w:tcW w:w="22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 BRADLEY SOUTHERN</w:t>
            </w:r>
          </w:p>
        </w:tc>
      </w:tr>
      <w:tr>
        <w:trPr>
          <w:trHeight w:val="184"/>
        </w:trPr>
        <w:tc>
          <w:tcPr>
            <w:tcW w:w="6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 Bradley Southern</w:t>
            </w:r>
          </w:p>
        </w:tc>
      </w:tr>
      <w:tr>
        <w:trPr>
          <w:trHeight w:val="191"/>
        </w:trPr>
        <w:tc>
          <w:tcPr>
            <w:tcW w:w="6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53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August 7, 2024</w:t>
            </w:r>
          </w:p>
        </w:tc>
        <w:tc>
          <w:tcPr>
            <w:tcW w:w="22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J.M. HAUGHIE</w:t>
            </w:r>
          </w:p>
        </w:tc>
      </w:tr>
      <w:tr>
        <w:trPr>
          <w:trHeight w:val="184"/>
        </w:trPr>
        <w:tc>
          <w:tcPr>
            <w:tcW w:w="6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Alan J.M. Haughie</w:t>
            </w:r>
          </w:p>
        </w:tc>
      </w:tr>
      <w:tr>
        <w:trPr>
          <w:trHeight w:val="191"/>
        </w:trPr>
        <w:tc>
          <w:tcPr>
            <w:tcW w:w="6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Vice President and</w:t>
            </w:r>
          </w:p>
        </w:tc>
      </w:tr>
      <w:tr>
        <w:trPr>
          <w:trHeight w:val="203"/>
        </w:trPr>
        <w:tc>
          <w:tcPr>
            <w:tcW w:w="6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sectPr>
          <w:pgSz w:w="11900" w:h="16838" w:orient="portrait"/>
          <w:cols w:equalWidth="0" w:num="1">
            <w:col w:w="11240"/>
          </w:cols>
          <w:pgMar w:left="320" w:top="141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Bradley Southern,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 BRADLEY SOUTHERN</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 BRADLEY SOUTHERN</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Haughie, certify that:</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ALAN J.M. HAUGHIE</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J.M. HAUGHIE</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 Pursuant to 18 U.S.C. § 1350 as Adopted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in connection with the filing of the Quarterly Report on Form 10-Q of Louisiana-Pacific Corporation (the “Company”) for quarter ended June 30, 2024, as filed with the Securities and Exchange Commission on the date hereof (the “Report”), each of the undersigned officers of the Company certifies, that, to such officer’s knowledge:</w:t>
      </w:r>
    </w:p>
    <w:p>
      <w:pPr>
        <w:spacing w:after="0" w:line="14" w:lineRule="exact"/>
        <w:rPr>
          <w:sz w:val="20"/>
          <w:szCs w:val="20"/>
          <w:color w:val="auto"/>
        </w:rPr>
      </w:pPr>
    </w:p>
    <w:p>
      <w:pPr>
        <w:ind w:left="980" w:hanging="567"/>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63" w:lineRule="exact"/>
        <w:rPr>
          <w:rFonts w:ascii="Times New Roman" w:cs="Times New Roman" w:eastAsia="Times New Roman" w:hAnsi="Times New Roman"/>
          <w:sz w:val="18"/>
          <w:szCs w:val="18"/>
          <w:color w:val="auto"/>
        </w:rPr>
      </w:pPr>
    </w:p>
    <w:p>
      <w:pPr>
        <w:ind w:left="980" w:hanging="567"/>
        <w:spacing w:after="0" w:line="282" w:lineRule="auto"/>
        <w:tabs>
          <w:tab w:leader="none" w:pos="9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1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W. BRADLEY SOUTHERN</w:t>
      </w:r>
    </w:p>
    <w:p>
      <w:pPr>
        <w:ind w:left="58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Alan J.M. Haughie</w:t>
      </w:r>
    </w:p>
    <w:p>
      <w:pPr>
        <w:spacing w:after="0" w:line="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4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bullet"/>
      <w:start w:val="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5"/>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5"/>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2024-08-07T13:43:08Z</dcterms:created>
  <dcterms:modified xsi:type="dcterms:W3CDTF">2024-08-07T13:43:08Z</dcterms:modified>
</cp:coreProperties>
</file>