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Wingdings;sans-serif" w:hAnsi="Wingdings;sans-serif"/>
          <w:b w:val="false"/>
          <w:color w:val="000000"/>
          <w:sz w:val="20"/>
        </w:rPr>
        <w:t>x</w:t>
      </w:r>
      <w:r>
        <w:rPr>
          <w:color w:val="000000"/>
        </w:rPr>
        <w:t>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288" w:before="100" w:after="283"/>
        <w:jc w:val="center"/>
        <w:rPr/>
      </w:pPr>
      <w:r>
        <w:rPr>
          <w:rFonts w:ascii="Wingdings;sans-serif" w:hAnsi="Wingdings;sans-serif"/>
          <w:b w:val="false"/>
          <w:color w:val="000000"/>
          <w:sz w:val="20"/>
        </w:rPr>
        <w:t xml:space="preserve">o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60" w:after="283"/>
        <w:jc w:val="center"/>
        <w:rPr/>
      </w:pPr>
      <w:r>
        <w:rPr>
          <w:rFonts w:ascii="Times New Roman;serif" w:hAnsi="Times New Roman;serif"/>
          <w:b/>
          <w:color w:val="000000"/>
          <w:sz w:val="24"/>
        </w:rPr>
        <w:t xml:space="preserve">Commission File Number </w:t>
      </w:r>
      <w:r>
        <w:rPr>
          <w:rFonts w:ascii="Times New Roman;serif" w:hAnsi="Times New Roman;serif"/>
          <w:b/>
          <w:color w:val="000000"/>
          <w:sz w:val="20"/>
        </w:rPr>
        <w:t>1-7107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28"/>
        </w:rPr>
        <w:t>LOUISIANA-PACIFIC CORPORATION</w:t>
      </w:r>
      <w:r>
        <w:rPr>
          <w:color w:val="000000"/>
        </w:rPr>
        <w:t xml:space="preserv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40" w:type="dxa"/>
        <w:jc w:val="left"/>
        <w:tblInd w:w="0" w:type="dxa"/>
        <w:tblLayout w:type="fixed"/>
        <w:tblCellMar>
          <w:top w:w="28" w:type="dxa"/>
          <w:left w:w="28" w:type="dxa"/>
          <w:bottom w:w="28" w:type="dxa"/>
          <w:right w:w="28" w:type="dxa"/>
        </w:tblCellMar>
      </w:tblPr>
      <w:tblGrid>
        <w:gridCol w:w="1058"/>
        <w:gridCol w:w="926"/>
        <w:gridCol w:w="940"/>
        <w:gridCol w:w="528"/>
        <w:gridCol w:w="528"/>
        <w:gridCol w:w="530"/>
        <w:gridCol w:w="709"/>
        <w:gridCol w:w="709"/>
        <w:gridCol w:w="1012"/>
      </w:tblGrid>
      <w:tr>
        <w:trPr/>
        <w:tc>
          <w:tcPr>
            <w:tcW w:w="105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drawing>
                <wp:inline distT="0" distB="0" distL="0" distR="0">
                  <wp:extent cx="9144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71525"/>
                          </a:xfrm>
                          <a:prstGeom prst="rect">
                            <a:avLst/>
                          </a:prstGeom>
                        </pic:spPr>
                      </pic:pic>
                    </a:graphicData>
                  </a:graphic>
                </wp:inline>
              </w:drawing>
            </w:r>
            <w:bookmarkStart w:id="0" w:name="i-1"/>
            <w:bookmarkEnd w:id="0"/>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93-0609074</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586" w:type="dxa"/>
            <w:gridSpan w:val="3"/>
            <w:vMerge w:val="continue"/>
            <w:tcBorders/>
            <w:tcMar>
              <w:top w:w="0" w:type="dxa"/>
              <w:left w:w="0" w:type="dxa"/>
              <w:bottom w:w="0" w:type="dxa"/>
              <w:right w:w="0" w:type="dxa"/>
            </w:tcMar>
            <w:vAlign w:val="center"/>
          </w:tcPr>
          <w:p>
            <w:pPr>
              <w:pStyle w:val="Normal"/>
              <w:bidi w:val="0"/>
              <w:jc w:val="left"/>
              <w:rPr/>
            </w:pPr>
            <w:r>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1610 West End Avenue Suite 200</w:t>
            </w:r>
          </w:p>
        </w:tc>
        <w:tc>
          <w:tcPr>
            <w:tcW w:w="1586" w:type="dxa"/>
            <w:gridSpan w:val="3"/>
            <w:vMerge w:val="continue"/>
            <w:tcBorders/>
            <w:tcMar>
              <w:top w:w="0" w:type="dxa"/>
              <w:left w:w="0" w:type="dxa"/>
              <w:bottom w:w="0" w:type="dxa"/>
              <w:right w:w="0" w:type="dxa"/>
            </w:tcMar>
            <w:vAlign w:val="center"/>
          </w:tcPr>
          <w:p>
            <w:pPr>
              <w:pStyle w:val="Normal"/>
              <w:bidi w:val="0"/>
              <w:jc w:val="left"/>
              <w:rPr/>
            </w:pPr>
            <w:r>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Nashville TN 37203</w:t>
            </w:r>
          </w:p>
        </w:tc>
        <w:tc>
          <w:tcPr>
            <w:tcW w:w="1586" w:type="dxa"/>
            <w:gridSpan w:val="3"/>
            <w:vMerge w:val="continue"/>
            <w:tcBorders/>
            <w:tcMar>
              <w:top w:w="0" w:type="dxa"/>
              <w:left w:w="0" w:type="dxa"/>
              <w:bottom w:w="0" w:type="dxa"/>
              <w:right w:w="0" w:type="dxa"/>
            </w:tcMar>
            <w:vAlign w:val="center"/>
          </w:tcPr>
          <w:p>
            <w:pPr>
              <w:pStyle w:val="Normal"/>
              <w:bidi w:val="0"/>
              <w:jc w:val="left"/>
              <w:rPr/>
            </w:pPr>
            <w:r>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(615) 986 - 5600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586" w:type="dxa"/>
            <w:gridSpan w:val="3"/>
            <w:vMerge w:val="continue"/>
            <w:tcBorders/>
            <w:tcMar>
              <w:top w:w="0" w:type="dxa"/>
              <w:left w:w="0" w:type="dxa"/>
              <w:bottom w:w="0" w:type="dxa"/>
              <w:right w:w="0" w:type="dxa"/>
            </w:tcMar>
            <w:vAlign w:val="center"/>
          </w:tcPr>
          <w:p>
            <w:pPr>
              <w:pStyle w:val="Normal"/>
              <w:bidi w:val="0"/>
              <w:jc w:val="left"/>
              <w:rPr/>
            </w:pPr>
            <w:r>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w:t>
              <w:br/>
              <w:t>including area code)</w:t>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603" w:type="dxa"/>
        <w:jc w:val="center"/>
        <w:tblInd w:w="0" w:type="dxa"/>
        <w:tblLayout w:type="fixed"/>
        <w:tblCellMar>
          <w:top w:w="28" w:type="dxa"/>
          <w:left w:w="28" w:type="dxa"/>
          <w:bottom w:w="28" w:type="dxa"/>
          <w:right w:w="28" w:type="dxa"/>
        </w:tblCellMar>
      </w:tblPr>
      <w:tblGrid>
        <w:gridCol w:w="896"/>
        <w:gridCol w:w="784"/>
        <w:gridCol w:w="794"/>
        <w:gridCol w:w="474"/>
        <w:gridCol w:w="474"/>
        <w:gridCol w:w="476"/>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LPX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60" w:after="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pStyle w:val="TextBody"/>
        <w:bidi w:val="0"/>
        <w:spacing w:lineRule="auto" w:line="288" w:before="60" w:after="6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the number of shares outstanding of each of the issuer’s classes of common stock, as of the latest practicable date: 69,923,410 shares of common stock, $1 par value per share, outstanding as of July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Except as otherwise specified and unless the context otherwise requires, references to “LP,” the “Company,” “we,” “us,” and “our” refer to Louisiana-Pacific Corporation and its consolidated subsidiaries.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statements are or may constitute forward-looking statements: statements preceded by, followed by or that include words like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Factors that could cause actual results to differ materially from those expressed or implied by forward-looking statements include, but are not limited to,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governmental fiscal, trade, and monetary policies, including the imposition of higher or new tariffs, trade barriers, and levels of employment;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general and global economic conditions, including impacts from rising inflation, supply chain disruptions, or new, ongoing, or escalated geopolitical or military conflicts or tensions;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commodity nature of a segment of our products and the prices for those products, which are determined in significant part by external factors such as total industry capacity and wider industry cycles affecting supply and demand trends;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the cost and availability of capital;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the cost and availability of financing for home mortgages;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the level of home construction and repair and remodel activity, including as a result of labor shortages;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competitive conditions and prices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relationship between supply of and demand for building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financial or business conditions of third-party wholesale distributors and dealers of building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prices and the relationship between the supply of and demand for raw materials, including wood fiber and resins, used in manufacturing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cost and availability of energy, primarily natural gas, electricity, and diesel fuel;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cost and availability of transportation, including transportation services provided by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third-party vendors and suppliers for certain goods and services critical to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operational and financial impacts from manufacturing our products internationally;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the development, launch or production ramp-up of new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and retain qualified executives, management and other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formulate and implement effective succession plans from time to time for key members of our management team;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impacts from public health issues (including global pandemics) on the economy, demand for our products or our operations, including the actions and recommendations of governmental authorities to contain such public health 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identify and successfully complete and integrate acquisitions, divestitures, joint ventures, capital investments and other corporate strategic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global or regional climate conditions, the impacts of climate change, and potential government policies adopted in response to such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other significant operating expenses;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currency values and exchange rates between the U.S. dollar and other currencies, particularly the Canadian dollar, Brazilian real, Chilean peso, and Argentine peso;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and interpretations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circumstances giving rise to environmental liabilities or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warranty costs exceeding our warranty reserves;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to or exploitation of our intellectual property or other proprietary information by our competitors or other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resolution of existing and future product-related litigation, environmental proceedings and remediation efforts, and other legal or environmental proceedings or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covenants and events of default contained in our debt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and timing of any repurchases of our common stock and the payment of dividends on our common stock, which will depend on market and business conditions and other considerations;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cybersecurity events affecting our information technology systems or those of our third-party providers and the related costs and impact of any disruption on our business;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acts of public authorities, war, political or civil unrest, natural disasters, fire, floods, earthquakes, inclement weather, and other matters beyond our control.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w:t>
      </w:r>
      <w:r>
        <w:rPr>
          <w:rFonts w:ascii="Times New Roman;serif" w:hAnsi="Times New Roman;serif"/>
          <w:b w:val="false"/>
          <w:color w:val="000000"/>
          <w:sz w:val="20"/>
        </w:rPr>
        <w:t>reports and other documents filed by us with the SEC</w:t>
      </w:r>
      <w:r>
        <w:rPr>
          <w:rFonts w:ascii="Times New Roman;serif" w:hAnsi="Times New Roman;serif"/>
          <w:b w:val="false"/>
          <w:color w:val="000000"/>
          <w:sz w:val="20"/>
          <w:shd w:fill="FFFFFF" w:val="clear"/>
        </w:rPr>
        <w:t>,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ABOUT THIRD-PARTY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240" w:after="240"/>
        <w:ind w:left="0" w:right="0" w:hanging="72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71"/>
        <w:gridCol w:w="1474"/>
        <w:gridCol w:w="1479"/>
        <w:gridCol w:w="250"/>
        <w:gridCol w:w="595"/>
        <w:gridCol w:w="138"/>
        <w:gridCol w:w="138"/>
        <w:gridCol w:w="138"/>
        <w:gridCol w:w="138"/>
        <w:gridCol w:w="250"/>
        <w:gridCol w:w="595"/>
        <w:gridCol w:w="138"/>
        <w:gridCol w:w="109"/>
        <w:gridCol w:w="109"/>
        <w:gridCol w:w="109"/>
        <w:gridCol w:w="208"/>
        <w:gridCol w:w="609"/>
        <w:gridCol w:w="116"/>
        <w:gridCol w:w="116"/>
        <w:gridCol w:w="116"/>
        <w:gridCol w:w="116"/>
        <w:gridCol w:w="208"/>
        <w:gridCol w:w="609"/>
        <w:gridCol w:w="176"/>
      </w:tblGrid>
      <w:tr>
        <w:trPr/>
        <w:tc>
          <w:tcPr>
            <w:tcW w:w="227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unconsolidated affiliate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of common stock:</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shares of common stock used to compute net income per share:</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8433" w:type="dxa"/>
        <w:jc w:val="center"/>
        <w:tblInd w:w="0" w:type="dxa"/>
        <w:tblLayout w:type="fixed"/>
        <w:tblCellMar>
          <w:top w:w="28" w:type="dxa"/>
          <w:left w:w="28" w:type="dxa"/>
          <w:bottom w:w="28" w:type="dxa"/>
          <w:right w:w="28" w:type="dxa"/>
        </w:tblCellMar>
      </w:tblPr>
      <w:tblGrid>
        <w:gridCol w:w="1223"/>
        <w:gridCol w:w="1075"/>
        <w:gridCol w:w="1092"/>
        <w:gridCol w:w="294"/>
        <w:gridCol w:w="519"/>
        <w:gridCol w:w="163"/>
        <w:gridCol w:w="163"/>
        <w:gridCol w:w="163"/>
        <w:gridCol w:w="163"/>
        <w:gridCol w:w="294"/>
        <w:gridCol w:w="519"/>
        <w:gridCol w:w="163"/>
        <w:gridCol w:w="109"/>
        <w:gridCol w:w="109"/>
        <w:gridCol w:w="109"/>
        <w:gridCol w:w="253"/>
        <w:gridCol w:w="447"/>
        <w:gridCol w:w="140"/>
        <w:gridCol w:w="140"/>
        <w:gridCol w:w="140"/>
        <w:gridCol w:w="140"/>
        <w:gridCol w:w="253"/>
        <w:gridCol w:w="563"/>
        <w:gridCol w:w="199"/>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33"/>
        <w:gridCol w:w="2288"/>
        <w:gridCol w:w="2302"/>
        <w:gridCol w:w="232"/>
        <w:gridCol w:w="677"/>
        <w:gridCol w:w="128"/>
        <w:gridCol w:w="109"/>
        <w:gridCol w:w="109"/>
        <w:gridCol w:w="109"/>
        <w:gridCol w:w="279"/>
        <w:gridCol w:w="814"/>
        <w:gridCol w:w="225"/>
      </w:tblGrid>
      <w:tr>
        <w:trPr/>
        <w:tc>
          <w:tcPr>
            <w:tcW w:w="2933"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doubtful accounts of $1 as of June 30, 2026 and December 31, 2025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773</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Timber and timberlands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 assets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affiliates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operating lease liabilities </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Contingency reserves, excluding current portion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863</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52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per share, 200 shares authorized; 85 shares issued and 70 shares issued and outstanding as of June 30, 2026 and December 31, 2025</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15 shares at cost as of June 30, 2026 and December 31, 2025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comprehensive loss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1,744</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1,731</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2,607</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08"/>
        <w:gridCol w:w="2165"/>
        <w:gridCol w:w="2175"/>
        <w:gridCol w:w="109"/>
        <w:gridCol w:w="109"/>
        <w:gridCol w:w="230"/>
        <w:gridCol w:w="230"/>
        <w:gridCol w:w="413"/>
        <w:gridCol w:w="920"/>
        <w:gridCol w:w="230"/>
        <w:gridCol w:w="109"/>
        <w:gridCol w:w="109"/>
        <w:gridCol w:w="109"/>
        <w:gridCol w:w="196"/>
        <w:gridCol w:w="436"/>
        <w:gridCol w:w="157"/>
      </w:tblGrid>
      <w:tr>
        <w:trPr/>
        <w:tc>
          <w:tcPr>
            <w:tcW w:w="250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116" w:type="dxa"/>
            <w:gridSpan w:val="6"/>
            <w:tcBorders/>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 and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remeasurement and transaction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 and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net of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cash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Supplemental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millions,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568" w:type="dxa"/>
        <w:jc w:val="center"/>
        <w:tblInd w:w="0" w:type="dxa"/>
        <w:tblLayout w:type="fixed"/>
        <w:tblCellMar>
          <w:top w:w="28" w:type="dxa"/>
          <w:left w:w="28" w:type="dxa"/>
          <w:bottom w:w="28" w:type="dxa"/>
          <w:right w:w="28" w:type="dxa"/>
        </w:tblCellMar>
      </w:tblPr>
      <w:tblGrid>
        <w:gridCol w:w="697"/>
        <w:gridCol w:w="244"/>
        <w:gridCol w:w="245"/>
        <w:gridCol w:w="210"/>
        <w:gridCol w:w="210"/>
        <w:gridCol w:w="211"/>
        <w:gridCol w:w="109"/>
        <w:gridCol w:w="109"/>
        <w:gridCol w:w="109"/>
        <w:gridCol w:w="226"/>
        <w:gridCol w:w="399"/>
        <w:gridCol w:w="126"/>
        <w:gridCol w:w="109"/>
        <w:gridCol w:w="109"/>
        <w:gridCol w:w="109"/>
        <w:gridCol w:w="210"/>
        <w:gridCol w:w="210"/>
        <w:gridCol w:w="211"/>
        <w:gridCol w:w="109"/>
        <w:gridCol w:w="109"/>
        <w:gridCol w:w="109"/>
        <w:gridCol w:w="196"/>
        <w:gridCol w:w="446"/>
        <w:gridCol w:w="109"/>
        <w:gridCol w:w="109"/>
        <w:gridCol w:w="109"/>
        <w:gridCol w:w="109"/>
        <w:gridCol w:w="246"/>
        <w:gridCol w:w="547"/>
        <w:gridCol w:w="138"/>
        <w:gridCol w:w="109"/>
        <w:gridCol w:w="109"/>
        <w:gridCol w:w="109"/>
        <w:gridCol w:w="196"/>
        <w:gridCol w:w="571"/>
        <w:gridCol w:w="109"/>
        <w:gridCol w:w="109"/>
        <w:gridCol w:w="109"/>
        <w:gridCol w:w="109"/>
        <w:gridCol w:w="345"/>
        <w:gridCol w:w="768"/>
        <w:gridCol w:w="193"/>
        <w:gridCol w:w="109"/>
        <w:gridCol w:w="109"/>
        <w:gridCol w:w="109"/>
        <w:gridCol w:w="258"/>
        <w:gridCol w:w="753"/>
        <w:gridCol w:w="205"/>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1,731</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($0.30 per share)</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under stock plans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settlement of stock-based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associated with 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509</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1,730</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($0.30 per share)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under stock plans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associated with 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4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1,744</w:t>
            </w: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568" w:type="dxa"/>
        <w:jc w:val="center"/>
        <w:tblInd w:w="0" w:type="dxa"/>
        <w:tblLayout w:type="fixed"/>
        <w:tblCellMar>
          <w:top w:w="28" w:type="dxa"/>
          <w:left w:w="28" w:type="dxa"/>
          <w:bottom w:w="28" w:type="dxa"/>
          <w:right w:w="28" w:type="dxa"/>
        </w:tblCellMar>
      </w:tblPr>
      <w:tblGrid>
        <w:gridCol w:w="697"/>
        <w:gridCol w:w="244"/>
        <w:gridCol w:w="245"/>
        <w:gridCol w:w="210"/>
        <w:gridCol w:w="210"/>
        <w:gridCol w:w="211"/>
        <w:gridCol w:w="109"/>
        <w:gridCol w:w="109"/>
        <w:gridCol w:w="109"/>
        <w:gridCol w:w="226"/>
        <w:gridCol w:w="399"/>
        <w:gridCol w:w="126"/>
        <w:gridCol w:w="109"/>
        <w:gridCol w:w="109"/>
        <w:gridCol w:w="109"/>
        <w:gridCol w:w="210"/>
        <w:gridCol w:w="210"/>
        <w:gridCol w:w="211"/>
        <w:gridCol w:w="109"/>
        <w:gridCol w:w="109"/>
        <w:gridCol w:w="109"/>
        <w:gridCol w:w="196"/>
        <w:gridCol w:w="446"/>
        <w:gridCol w:w="109"/>
        <w:gridCol w:w="109"/>
        <w:gridCol w:w="109"/>
        <w:gridCol w:w="109"/>
        <w:gridCol w:w="246"/>
        <w:gridCol w:w="547"/>
        <w:gridCol w:w="138"/>
        <w:gridCol w:w="109"/>
        <w:gridCol w:w="109"/>
        <w:gridCol w:w="109"/>
        <w:gridCol w:w="196"/>
        <w:gridCol w:w="571"/>
        <w:gridCol w:w="109"/>
        <w:gridCol w:w="109"/>
        <w:gridCol w:w="109"/>
        <w:gridCol w:w="109"/>
        <w:gridCol w:w="345"/>
        <w:gridCol w:w="768"/>
        <w:gridCol w:w="193"/>
        <w:gridCol w:w="109"/>
        <w:gridCol w:w="109"/>
        <w:gridCol w:w="109"/>
        <w:gridCol w:w="258"/>
        <w:gridCol w:w="753"/>
        <w:gridCol w:w="205"/>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($0.28 per share)</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under stock plans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settlement of stock-based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associated with 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1,692</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($0.28 per share)</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under stock plans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settlement of stock-based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associated with 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4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1,742</w:t>
            </w: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 NATURE OF OPERATIONS AND BASIS OF PRESENTATION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120" w:after="120"/>
        <w:jc w:val="both"/>
        <w:rPr/>
      </w:pPr>
      <w:r>
        <w:rPr>
          <w:rFonts w:ascii="Times New Roman;serif" w:hAnsi="Times New Roman;serif"/>
          <w:b w:val="false"/>
          <w:color w:val="000000"/>
          <w:sz w:val="20"/>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The Company operates</w:t>
      </w:r>
      <w:r>
        <w:rPr>
          <w:color w:val="000000"/>
          <w:shd w:fill="FFFFFF" w:val="clear"/>
        </w:rPr>
        <w:t xml:space="preserve"> </w:t>
      </w:r>
      <w:r>
        <w:rPr>
          <w:rFonts w:ascii="Times New Roman;serif" w:hAnsi="Times New Roman;serif"/>
          <w:b w:val="false"/>
          <w:color w:val="000000"/>
          <w:sz w:val="20"/>
          <w:shd w:fill="FFFFFF" w:val="clear"/>
        </w:rPr>
        <w:t>more than 20 manufacturing facilities across North and South America and operates an additional facility through a joint venture</w:t>
      </w:r>
      <w:r>
        <w:rPr>
          <w:rFonts w:ascii="Times New Roman;serif" w:hAnsi="Times New Roman;serif"/>
          <w:b w:val="false"/>
          <w:color w:val="000000"/>
          <w:sz w:val="20"/>
        </w:rPr>
        <w:t xml:space="preserve">. References to </w:t>
      </w:r>
      <w:r>
        <w:rPr>
          <w:color w:val="000000"/>
        </w:rPr>
        <w:t>“</w:t>
      </w:r>
      <w:r>
        <w:rPr>
          <w:rFonts w:ascii="Times New Roman;serif" w:hAnsi="Times New Roman;serif"/>
          <w:b w:val="false"/>
          <w:color w:val="000000"/>
          <w:sz w:val="20"/>
        </w:rPr>
        <w:t xml:space="preserve">LP,” the </w:t>
      </w:r>
      <w:r>
        <w:rPr>
          <w:color w:val="000000"/>
        </w:rPr>
        <w:t>“</w:t>
      </w:r>
      <w:r>
        <w:rPr>
          <w:rFonts w:ascii="Times New Roman;serif" w:hAnsi="Times New Roman;serif"/>
          <w:b w:val="false"/>
          <w:color w:val="000000"/>
          <w:sz w:val="20"/>
        </w:rPr>
        <w:t xml:space="preserve">Company,” </w:t>
      </w:r>
      <w:r>
        <w:rPr>
          <w:color w:val="000000"/>
        </w:rPr>
        <w:t>“</w:t>
      </w:r>
      <w:r>
        <w:rPr>
          <w:rFonts w:ascii="Times New Roman;serif" w:hAnsi="Times New Roman;serif"/>
          <w:b w:val="false"/>
          <w:color w:val="000000"/>
          <w:sz w:val="20"/>
        </w:rPr>
        <w:t xml:space="preserve">we,” </w:t>
      </w:r>
      <w:r>
        <w:rPr>
          <w:color w:val="000000"/>
        </w:rPr>
        <w:t>“</w:t>
      </w:r>
      <w:r>
        <w:rPr>
          <w:rFonts w:ascii="Times New Roman;serif" w:hAnsi="Times New Roman;serif"/>
          <w:b w:val="false"/>
          <w:color w:val="000000"/>
          <w:sz w:val="20"/>
        </w:rPr>
        <w:t xml:space="preserve">our,” and </w:t>
      </w:r>
      <w:r>
        <w:rPr>
          <w:color w:val="000000"/>
        </w:rPr>
        <w:t>“</w:t>
      </w:r>
      <w:r>
        <w:rPr>
          <w:rFonts w:ascii="Times New Roman;serif" w:hAnsi="Times New Roman;serif"/>
          <w:b w:val="false"/>
          <w:color w:val="000000"/>
          <w:sz w:val="20"/>
        </w:rPr>
        <w:t>us” refer to Louisiana-Pacific Corporation and its consolidated subsidiaries as a whole.</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color w:val="000000"/>
          <w:sz w:val="20"/>
        </w:rPr>
        <w:t>Note 11. Selected Segment Data” below for further information regarding our products and segments.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presented here have been prepared in accordance with accounting principles generally accepted in the United States of America (U.S. GAAP) for interim financial reporting. As such, they do not include all the information and footnotes required by U.S. GAAP for complete consolidated financial statements. Management believes that all necessary adjustments for a fair presentation have been included and are of a normal and recurring nature. These Condensed Consolidated Financial Statements and the accompanying Notes should be reviewed in conjunction with our annual report on Form 10-K for the fiscal year ended December 31, 2025, filed with the SEC on February 17, 2026 (2025 Annual Report on Form 10-K). The results of operations for interim periods are not necessarily indicative of the results that may be expected for the full fiscal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LP and our consolidated subsidiaries. All intercompany transactions, profits, and balances have been eliminated.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prior years to conform to the current year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contracts with customers is disaggregated into major product lines. We believe disaggregation into these categories provides insight into how the nature, amount, timing, and uncertainty of revenue and cash flows are affected by economic factors.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reportable segment revenues, disaggregated by revenue source (dollar amounts in millions):</w:t>
      </w:r>
    </w:p>
    <w:tbl>
      <w:tblPr>
        <w:tblW w:w="7539" w:type="dxa"/>
        <w:jc w:val="left"/>
        <w:tblInd w:w="0" w:type="dxa"/>
        <w:tblLayout w:type="fixed"/>
        <w:tblCellMar>
          <w:top w:w="28" w:type="dxa"/>
          <w:left w:w="28" w:type="dxa"/>
          <w:bottom w:w="28" w:type="dxa"/>
          <w:right w:w="28" w:type="dxa"/>
        </w:tblCellMar>
      </w:tblPr>
      <w:tblGrid>
        <w:gridCol w:w="899"/>
        <w:gridCol w:w="788"/>
        <w:gridCol w:w="803"/>
        <w:gridCol w:w="265"/>
        <w:gridCol w:w="589"/>
        <w:gridCol w:w="147"/>
        <w:gridCol w:w="147"/>
        <w:gridCol w:w="147"/>
        <w:gridCol w:w="147"/>
        <w:gridCol w:w="265"/>
        <w:gridCol w:w="589"/>
        <w:gridCol w:w="147"/>
        <w:gridCol w:w="109"/>
        <w:gridCol w:w="109"/>
        <w:gridCol w:w="109"/>
        <w:gridCol w:w="210"/>
        <w:gridCol w:w="613"/>
        <w:gridCol w:w="117"/>
        <w:gridCol w:w="117"/>
        <w:gridCol w:w="117"/>
        <w:gridCol w:w="117"/>
        <w:gridCol w:w="210"/>
        <w:gridCol w:w="613"/>
        <w:gridCol w:w="165"/>
      </w:tblGrid>
      <w:tr>
        <w:trPr/>
        <w:tc>
          <w:tcPr>
            <w:tcW w:w="89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attributable to Siding</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801</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862</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Structural Solutions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Commodity</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attributable to OSB</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Sales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1,239</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Revenue is recognized when obligations under the terms of a contract </w:t>
      </w:r>
      <w:r>
        <w:rPr>
          <w:rFonts w:ascii="Times New Roman;serif" w:hAnsi="Times New Roman;serif"/>
          <w:b w:val="false"/>
          <w:i/>
          <w:color w:val="000000"/>
          <w:sz w:val="20"/>
        </w:rPr>
        <w:t>(e.g.</w:t>
      </w:r>
      <w:r>
        <w:rPr>
          <w:rFonts w:ascii="Times New Roman;serif" w:hAnsi="Times New Roman;serif"/>
          <w:b w:val="false"/>
          <w:color w:val="000000"/>
          <w:sz w:val="20"/>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using management’s best estimates, which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point, we invoice the retailer and recognize revenue for these consignment transactions. No right of return is offered for products shipped to the retailers’ stores from the distribution centers.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3. EARNINGS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(dollar and share amounts in millions, except per share amounts):</w:t>
      </w:r>
    </w:p>
    <w:tbl>
      <w:tblPr>
        <w:tblW w:w="8957" w:type="dxa"/>
        <w:jc w:val="left"/>
        <w:tblInd w:w="0" w:type="dxa"/>
        <w:tblLayout w:type="fixed"/>
        <w:tblCellMar>
          <w:top w:w="28" w:type="dxa"/>
          <w:left w:w="28" w:type="dxa"/>
          <w:bottom w:w="28" w:type="dxa"/>
          <w:right w:w="28" w:type="dxa"/>
        </w:tblCellMar>
      </w:tblPr>
      <w:tblGrid>
        <w:gridCol w:w="1413"/>
        <w:gridCol w:w="1245"/>
        <w:gridCol w:w="1257"/>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41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employee stock plans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for diluted earnings per share</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per share of common stock:</w:t>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4. SUPPLEMENTAL BALANCE SHEET INFORMATION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Receivables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Trade receivables are primarily generated by sales of our products to our wholesale and retail customers. Receivables consisted of the following (dollar amounts in millions):</w:t>
      </w:r>
    </w:p>
    <w:tbl>
      <w:tblPr>
        <w:tblW w:w="5517" w:type="dxa"/>
        <w:jc w:val="left"/>
        <w:tblInd w:w="0" w:type="dxa"/>
        <w:tblLayout w:type="fixed"/>
        <w:tblCellMar>
          <w:top w:w="28" w:type="dxa"/>
          <w:left w:w="28" w:type="dxa"/>
          <w:bottom w:w="28" w:type="dxa"/>
          <w:right w:w="28" w:type="dxa"/>
        </w:tblCellMar>
      </w:tblPr>
      <w:tblGrid>
        <w:gridCol w:w="885"/>
        <w:gridCol w:w="779"/>
        <w:gridCol w:w="781"/>
        <w:gridCol w:w="305"/>
        <w:gridCol w:w="680"/>
        <w:gridCol w:w="170"/>
        <w:gridCol w:w="109"/>
        <w:gridCol w:w="109"/>
        <w:gridCol w:w="109"/>
        <w:gridCol w:w="396"/>
        <w:gridCol w:w="882"/>
        <w:gridCol w:w="312"/>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Receivables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receivables as of June 30, 2026, and December 31, 2025, primarily consisted of sales tax receivables and other miscellaneous receivables.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Inventories are valued at the lower of cost or net realizable value. Inventory cost includes materials, labor, and operating overhead. The first-in, first-out or average cost methods are used to value our inventories. Inventories include a lower of cost or market adjustment of $19 million and $23 million as of June 30, 2026, and December 31, 2025, respectively. Inventory consisted of the following (dollar amounts in millions):</w:t>
      </w:r>
    </w:p>
    <w:tbl>
      <w:tblPr>
        <w:tblW w:w="5007" w:type="dxa"/>
        <w:jc w:val="left"/>
        <w:tblInd w:w="0" w:type="dxa"/>
        <w:tblLayout w:type="fixed"/>
        <w:tblCellMar>
          <w:top w:w="28" w:type="dxa"/>
          <w:left w:w="28" w:type="dxa"/>
          <w:bottom w:w="28" w:type="dxa"/>
          <w:right w:w="28" w:type="dxa"/>
        </w:tblCellMar>
      </w:tblPr>
      <w:tblGrid>
        <w:gridCol w:w="699"/>
        <w:gridCol w:w="613"/>
        <w:gridCol w:w="623"/>
        <w:gridCol w:w="305"/>
        <w:gridCol w:w="680"/>
        <w:gridCol w:w="170"/>
        <w:gridCol w:w="109"/>
        <w:gridCol w:w="109"/>
        <w:gridCol w:w="109"/>
        <w:gridCol w:w="396"/>
        <w:gridCol w:w="882"/>
        <w:gridCol w:w="312"/>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Logs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raw materials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Semi-finished inventories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373</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w:t>
            </w:r>
            <w:r>
              <w:rPr>
                <w:color w:val="000000"/>
              </w:rPr>
              <w: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Property, Plant, and Equipment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including capitalized interest, are recorded at cost and consisted of the following (dollar amounts in millions):</w:t>
      </w:r>
    </w:p>
    <w:tbl>
      <w:tblPr>
        <w:tblW w:w="8125" w:type="dxa"/>
        <w:jc w:val="left"/>
        <w:tblInd w:w="0" w:type="dxa"/>
        <w:tblLayout w:type="fixed"/>
        <w:tblCellMar>
          <w:top w:w="28" w:type="dxa"/>
          <w:left w:w="28" w:type="dxa"/>
          <w:bottom w:w="28" w:type="dxa"/>
          <w:right w:w="28" w:type="dxa"/>
        </w:tblCellMar>
      </w:tblPr>
      <w:tblGrid>
        <w:gridCol w:w="1830"/>
        <w:gridCol w:w="1610"/>
        <w:gridCol w:w="1614"/>
        <w:gridCol w:w="258"/>
        <w:gridCol w:w="753"/>
        <w:gridCol w:w="143"/>
        <w:gridCol w:w="109"/>
        <w:gridCol w:w="109"/>
        <w:gridCol w:w="109"/>
        <w:gridCol w:w="338"/>
        <w:gridCol w:w="986"/>
        <w:gridCol w:w="266"/>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land improvements, and logging roads, net of road amortization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3,733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3,650</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1,728</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1,709</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Goodwill and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goodwill and other intangible assets for the six months ended June 30, 2026, are provided in the following table (dollar amounts in millions):</w:t>
      </w:r>
    </w:p>
    <w:tbl>
      <w:tblPr>
        <w:tblW w:w="9580" w:type="dxa"/>
        <w:jc w:val="left"/>
        <w:tblInd w:w="0" w:type="dxa"/>
        <w:tblLayout w:type="fixed"/>
        <w:tblCellMar>
          <w:top w:w="28" w:type="dxa"/>
          <w:left w:w="28" w:type="dxa"/>
          <w:bottom w:w="28" w:type="dxa"/>
          <w:right w:w="28" w:type="dxa"/>
        </w:tblCellMar>
      </w:tblPr>
      <w:tblGrid>
        <w:gridCol w:w="1037"/>
        <w:gridCol w:w="913"/>
        <w:gridCol w:w="915"/>
        <w:gridCol w:w="239"/>
        <w:gridCol w:w="423"/>
        <w:gridCol w:w="134"/>
        <w:gridCol w:w="109"/>
        <w:gridCol w:w="109"/>
        <w:gridCol w:w="109"/>
        <w:gridCol w:w="562"/>
        <w:gridCol w:w="1164"/>
        <w:gridCol w:w="314"/>
        <w:gridCol w:w="109"/>
        <w:gridCol w:w="109"/>
        <w:gridCol w:w="109"/>
        <w:gridCol w:w="109"/>
        <w:gridCol w:w="109"/>
        <w:gridCol w:w="825"/>
        <w:gridCol w:w="1457"/>
        <w:gridCol w:w="462"/>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Goodwill and Intangibles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Beginning balance December 31, 2025</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Ending balance June 30, 2026</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Timber and Timberlands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Timber and timberlands are comprised of timber deeds and allocations of the purchase price to Canadian timber harvesting licenses. Timber deeds are transactions in which we purchase timber but not the underlying land. We had timber and timberlands of $2 million and $5 million as of June 30, 2026, and December 31,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Timber licenses have a life of 20 to 25 years and are amortized on a straight-line basis over the life of the agreement. Changes in timber licenses for the six months ended June 30, 2026, are provided in the following table (dollar amounts in millions):</w:t>
      </w:r>
    </w:p>
    <w:tbl>
      <w:tblPr>
        <w:tblW w:w="3445" w:type="dxa"/>
        <w:jc w:val="left"/>
        <w:tblInd w:w="0" w:type="dxa"/>
        <w:tblLayout w:type="fixed"/>
        <w:tblCellMar>
          <w:top w:w="28" w:type="dxa"/>
          <w:left w:w="28" w:type="dxa"/>
          <w:bottom w:w="28" w:type="dxa"/>
          <w:right w:w="28" w:type="dxa"/>
        </w:tblCellMar>
      </w:tblPr>
      <w:tblGrid>
        <w:gridCol w:w="516"/>
        <w:gridCol w:w="453"/>
        <w:gridCol w:w="456"/>
        <w:gridCol w:w="109"/>
        <w:gridCol w:w="109"/>
        <w:gridCol w:w="109"/>
        <w:gridCol w:w="109"/>
        <w:gridCol w:w="196"/>
        <w:gridCol w:w="256"/>
        <w:gridCol w:w="109"/>
        <w:gridCol w:w="109"/>
        <w:gridCol w:w="109"/>
        <w:gridCol w:w="109"/>
        <w:gridCol w:w="196"/>
        <w:gridCol w:w="34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Ending balance</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Timber licenses are included in timber and timberlands on the Condensed Consolidated Balance Sheets.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Accounts Payable and Accrued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were as follows (dollars amounts in millions):</w:t>
      </w:r>
    </w:p>
    <w:tbl>
      <w:tblPr>
        <w:tblW w:w="6672" w:type="dxa"/>
        <w:jc w:val="center"/>
        <w:tblInd w:w="0" w:type="dxa"/>
        <w:tblLayout w:type="fixed"/>
        <w:tblCellMar>
          <w:top w:w="28" w:type="dxa"/>
          <w:left w:w="28" w:type="dxa"/>
          <w:bottom w:w="28" w:type="dxa"/>
          <w:right w:w="28" w:type="dxa"/>
        </w:tblCellMar>
      </w:tblPr>
      <w:tblGrid>
        <w:gridCol w:w="1301"/>
        <w:gridCol w:w="1145"/>
        <w:gridCol w:w="1154"/>
        <w:gridCol w:w="305"/>
        <w:gridCol w:w="680"/>
        <w:gridCol w:w="170"/>
        <w:gridCol w:w="109"/>
        <w:gridCol w:w="109"/>
        <w:gridCol w:w="109"/>
        <w:gridCol w:w="396"/>
        <w:gridCol w:w="882"/>
        <w:gridCol w:w="312"/>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customer incentives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accounts payable and accrued liabilities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w:t>
            </w:r>
            <w:r>
              <w:rPr>
                <w:color w:val="000000"/>
              </w:rPr>
              <w: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as of June 30, 2026, and December 31, 2025, primarily consisted of accrued interest, the short-term portion of workers' compensation liabilities, the current portion of product warranties, and other items. Additionally, trade accounts payable included $14 million and $33 million related to capital expenditures that had not yet been paid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Long-Term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long-term liabilities were as follows (dollar amounts in millions):</w:t>
      </w:r>
    </w:p>
    <w:tbl>
      <w:tblPr>
        <w:tblW w:w="5561" w:type="dxa"/>
        <w:jc w:val="left"/>
        <w:tblInd w:w="0" w:type="dxa"/>
        <w:tblLayout w:type="fixed"/>
        <w:tblCellMar>
          <w:top w:w="28" w:type="dxa"/>
          <w:left w:w="28" w:type="dxa"/>
          <w:bottom w:w="28" w:type="dxa"/>
          <w:right w:w="28" w:type="dxa"/>
        </w:tblCellMar>
      </w:tblPr>
      <w:tblGrid>
        <w:gridCol w:w="901"/>
        <w:gridCol w:w="792"/>
        <w:gridCol w:w="796"/>
        <w:gridCol w:w="348"/>
        <w:gridCol w:w="614"/>
        <w:gridCol w:w="193"/>
        <w:gridCol w:w="109"/>
        <w:gridCol w:w="109"/>
        <w:gridCol w:w="109"/>
        <w:gridCol w:w="446"/>
        <w:gridCol w:w="790"/>
        <w:gridCol w:w="3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obligations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reserves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other long-term liabilities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long-term liabilities as of June 30, 2026, and December 31, 2025, consisted primarily of executive deferred compensation and the long-term portion of workers’ compensation liabilities. See “Note 10. Product Warranties” below for further information regarding our product warranty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three levels of inputs that may be used to measure fair value:</w:t>
      </w:r>
    </w:p>
    <w:p>
      <w:pPr>
        <w:pStyle w:val="TextBody"/>
        <w:bidi w:val="0"/>
        <w:spacing w:lineRule="auto" w:line="288" w:before="120" w:after="12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120" w:after="12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2    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pStyle w:val="TextBody"/>
        <w:bidi w:val="0"/>
        <w:spacing w:lineRule="auto" w:line="288" w:before="120" w:after="12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3    Valuations based on models where significant inputs are not observable. Unobservable inputs are used when little or no market data is available and reflect the Company’s own assumptions about the assumptions market participants would use.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net carrying value of the Company's 3.625% Senior Notes due in 2029 (2029 Senior Notes) was $348 million as of June 30, 2026 and December 31, 2025. Based on market quotations, the fair value of the 2029 Senior Notes was estimated to be $335 million and $341 million as of June 30, 2026 and December 31, 2025, respectively. The 2029 Senior Notes and other long-term debt are categorized as Level 1 in the U.S. GAAP fair value hierarchy. Fair values are based on trading activity among the Company’s lenders and the average bid and ask price is determined using published rates.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LP entered into that certain First Amendment to Second Amended and Restated Credit Agreement (the First Amendment) with American AgCredit, PCA, as administrative agent, CoBank, ACB, as letter of credit issuer, and the lenders and voting participants party thereto, which amends that certain Second Amended and Restated Credit Agreement (the Credit Agreement) that was entered into in November 2022. The First Amendment amended the Credit Agreement to (1) increase the aggregate principal amount for the credit facility (the Amended Credit Facility) from $550 million to $750 million, (2) increase the sub-limit for letters of credit from $60 million to $75 million, (3) change the interest rate for revolving borrowing, (4) change the capitalization ratio limit, and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extend the maturity date to March 26, 2032. As of June 30, 2026, there were no outstanding borrowings pursuant to the Amended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6.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interim periods, income tax expense is recognized by applying the estimated annual effective tax rate to year-to-date results, unless doing so does not yield a reliable estimate. Each quarter, the income tax accrual is updated based on the latest estimate, and any difference from the previously accrued year-to-date balance is recorded in the current quarter. Changes in profitability estimates across jurisdictions may affect quarterly effective tax rates.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six months ended June 30, 2026, and 2025, reflected an estimated annual effective tax rate of 26% excluding discrete items discussed below. The total tax provision for the three and six months ended June 30, 2026, was $8 million and $17 million, respectively, compared to $19 million and $45 million for the corresponding periods in 2025. The total effective tax rate for the three and six months ended June 30, 2026, was 22% and 24%, respectively, compared to 26% and 24% for the corresponding periods in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recognized a $1 million net discrete tax benefit primarily related to inflationary and foreign currency exchange-related effects. During the six months ended June 30, 2025, we recognized a $4 million net discrete tax benefit primarily related to inflationary and foreign currency exchange-related effects and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7. OTHER OPERATING AND NON-OPERATING ITEMS</w:t>
      </w: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Other operating credits and charges,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operating credits and charges, net, is comprised of the following components (dollar amounts in millions):</w:t>
      </w:r>
    </w:p>
    <w:tbl>
      <w:tblPr>
        <w:tblW w:w="8252" w:type="dxa"/>
        <w:jc w:val="left"/>
        <w:tblInd w:w="0" w:type="dxa"/>
        <w:tblLayout w:type="fixed"/>
        <w:tblCellMar>
          <w:top w:w="28" w:type="dxa"/>
          <w:left w:w="28" w:type="dxa"/>
          <w:bottom w:w="28" w:type="dxa"/>
          <w:right w:w="28" w:type="dxa"/>
        </w:tblCellMar>
      </w:tblPr>
      <w:tblGrid>
        <w:gridCol w:w="1165"/>
        <w:gridCol w:w="1019"/>
        <w:gridCol w:w="1025"/>
        <w:gridCol w:w="305"/>
        <w:gridCol w:w="492"/>
        <w:gridCol w:w="169"/>
        <w:gridCol w:w="169"/>
        <w:gridCol w:w="169"/>
        <w:gridCol w:w="169"/>
        <w:gridCol w:w="305"/>
        <w:gridCol w:w="492"/>
        <w:gridCol w:w="169"/>
        <w:gridCol w:w="109"/>
        <w:gridCol w:w="109"/>
        <w:gridCol w:w="109"/>
        <w:gridCol w:w="276"/>
        <w:gridCol w:w="446"/>
        <w:gridCol w:w="154"/>
        <w:gridCol w:w="154"/>
        <w:gridCol w:w="154"/>
        <w:gridCol w:w="154"/>
        <w:gridCol w:w="276"/>
        <w:gridCol w:w="446"/>
        <w:gridCol w:w="217"/>
      </w:tblGrid>
      <w:tr>
        <w:trPr/>
        <w:tc>
          <w:tcPr>
            <w:tcW w:w="116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Reorganization charges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Product-line discontinuance charges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 disposal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operating credits and charges, net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Non-operating income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Non-operating income (expense) is comprised of the following components (dollar amounts in millions):</w:t>
      </w:r>
    </w:p>
    <w:tbl>
      <w:tblPr>
        <w:tblW w:w="8103" w:type="dxa"/>
        <w:jc w:val="left"/>
        <w:tblInd w:w="0" w:type="dxa"/>
        <w:tblLayout w:type="fixed"/>
        <w:tblCellMar>
          <w:top w:w="28" w:type="dxa"/>
          <w:left w:w="28" w:type="dxa"/>
          <w:bottom w:w="28" w:type="dxa"/>
          <w:right w:w="28" w:type="dxa"/>
        </w:tblCellMar>
      </w:tblPr>
      <w:tblGrid>
        <w:gridCol w:w="1106"/>
        <w:gridCol w:w="972"/>
        <w:gridCol w:w="981"/>
        <w:gridCol w:w="317"/>
        <w:gridCol w:w="414"/>
        <w:gridCol w:w="176"/>
        <w:gridCol w:w="176"/>
        <w:gridCol w:w="176"/>
        <w:gridCol w:w="176"/>
        <w:gridCol w:w="317"/>
        <w:gridCol w:w="512"/>
        <w:gridCol w:w="176"/>
        <w:gridCol w:w="109"/>
        <w:gridCol w:w="109"/>
        <w:gridCol w:w="109"/>
        <w:gridCol w:w="271"/>
        <w:gridCol w:w="355"/>
        <w:gridCol w:w="151"/>
        <w:gridCol w:w="151"/>
        <w:gridCol w:w="151"/>
        <w:gridCol w:w="151"/>
        <w:gridCol w:w="271"/>
        <w:gridCol w:w="563"/>
        <w:gridCol w:w="213"/>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non-operating income (expense)</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8. IMPAIRMENT OF LONG-LIVED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fall to levels significantly below cycle-average demand and pricing, should we decide to invest capital in alternative projects, or should changes occur related to our wood supply for our mills, it is possible that future impairment charges will be required.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Potential changes to our strategic plans, including decisions regarding the continued use or disposition of specific assets, are also periodically evaluated, taking into account current and anticipated economic and industry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and other relevant factors. Such decisions may require management to revise assumptions regarding expected future cash flows or estimated recoverable values. If revised estimates indicate that the carrying amount of an asset is not recoverable, impairment charges may be required.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was recognized during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Reserves for various contingent liabilities were as follows (dollar amounts in millions):</w:t>
      </w:r>
    </w:p>
    <w:tbl>
      <w:tblPr>
        <w:tblW w:w="8037" w:type="dxa"/>
        <w:jc w:val="left"/>
        <w:tblInd w:w="0" w:type="dxa"/>
        <w:tblLayout w:type="fixed"/>
        <w:tblCellMar>
          <w:top w:w="28" w:type="dxa"/>
          <w:left w:w="28" w:type="dxa"/>
          <w:bottom w:w="28" w:type="dxa"/>
          <w:right w:w="28" w:type="dxa"/>
        </w:tblCellMar>
      </w:tblPr>
      <w:tblGrid>
        <w:gridCol w:w="1800"/>
        <w:gridCol w:w="1580"/>
        <w:gridCol w:w="1585"/>
        <w:gridCol w:w="348"/>
        <w:gridCol w:w="614"/>
        <w:gridCol w:w="193"/>
        <w:gridCol w:w="109"/>
        <w:gridCol w:w="109"/>
        <w:gridCol w:w="109"/>
        <w:gridCol w:w="446"/>
        <w:gridCol w:w="790"/>
        <w:gridCol w:w="354"/>
      </w:tblGrid>
      <w:tr>
        <w:trPr/>
        <w:tc>
          <w:tcPr>
            <w:tcW w:w="18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reserves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contingencies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(included in accounts payable and accrued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Estimates of loss contingencies are based on various assumptions and judgments. Due to the numerous uncertainties and variables associated with these assumptions and judgments, both the precision and reliability of the resulting estimates are subject to substantial uncertainty. Estimated exposure to contingencies is regularly monitored, and as additional information becomes available, estimates may change significantly. Although no estimate of the range of any such change can be made at this time, the amount ultimately paid in connection with these matters could materially exceed, in either the near term or the longer term, the amounts accrued to date. Estimates of loss contingencies do not reflect potential future recoveries from insurance carriers, except to the extent that recovery is deemed probable based on an insurer’s agreement to payment terms.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reserve is maintained for undiscounted estimated environmental loss contingencies. This reserve is primarily maintained for estimated future costs of remediation of hazardous or toxic substances at numerous sites currently or previously owned by the Company. Estimates of environmental loss contingencies are based on various assumptions and judgments, the specific nature of which varies considering the particular facts and circumstances surrounding each environmental loss contingency. These estimates typically reflect management's assumptions and judgments as to the probable nature, magnitude, and timing of the required investigation, remediation, and/or monitoring activities, as well as the probable costs associated with those activities. In some cases, estimates also consider the obligation, willingness, or ability of third parties to bear a proportionate or allocated share of the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numerous uncertainties and variables associated with these assumptions and judgments, and the potential effects of changes in governmental regulation and environmental technologies, both the precision and reliability of the resulting estimates of the related contingencies are subject to substantial uncertainties. Estimated exposure to environmental loss contingencies is regularly monitored, and estimates may be revised significantly as additional information becomes available.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Other Proceedings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and its subsidiaries are parties to certain legal proceedings arising in the ordinary course of business. Based on the information currently available, management does not believe that the resolution of such proceedings could reasonably be expected to have a material adverse effect on the Company’s financial position, results of operations, cash flows,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10. PRODUCT WARRANTIES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Warranties are offered on the sale of most of our products, and an accrual is recorded for estimated future claims. Such accruals are based upon historical experience and management’s estimate of the level of future claims. The activity in the warranty reserves is summarized in the following table for the three and six months ended June 30, 2026 and 2025 (dollar amounts in millions):</w:t>
      </w:r>
    </w:p>
    <w:tbl>
      <w:tblPr>
        <w:tblW w:w="10205" w:type="dxa"/>
        <w:jc w:val="left"/>
        <w:tblInd w:w="0" w:type="dxa"/>
        <w:tblLayout w:type="fixed"/>
        <w:tblCellMar>
          <w:top w:w="28" w:type="dxa"/>
          <w:left w:w="28" w:type="dxa"/>
          <w:bottom w:w="28" w:type="dxa"/>
          <w:right w:w="28" w:type="dxa"/>
        </w:tblCellMar>
      </w:tblPr>
      <w:tblGrid>
        <w:gridCol w:w="1987"/>
        <w:gridCol w:w="1741"/>
        <w:gridCol w:w="1754"/>
        <w:gridCol w:w="312"/>
        <w:gridCol w:w="384"/>
        <w:gridCol w:w="173"/>
        <w:gridCol w:w="173"/>
        <w:gridCol w:w="173"/>
        <w:gridCol w:w="173"/>
        <w:gridCol w:w="312"/>
        <w:gridCol w:w="384"/>
        <w:gridCol w:w="173"/>
        <w:gridCol w:w="109"/>
        <w:gridCol w:w="109"/>
        <w:gridCol w:w="109"/>
        <w:gridCol w:w="285"/>
        <w:gridCol w:w="351"/>
        <w:gridCol w:w="158"/>
        <w:gridCol w:w="158"/>
        <w:gridCol w:w="158"/>
        <w:gridCol w:w="158"/>
        <w:gridCol w:w="285"/>
        <w:gridCol w:w="351"/>
        <w:gridCol w:w="235"/>
      </w:tblGrid>
      <w:tr>
        <w:trPr/>
        <w:tc>
          <w:tcPr>
            <w:tcW w:w="198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warranty provision</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warranty reserves</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warranty reserves (included in accounts payable and accrued liabilities)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warranty reserves (included in other long-term liabilities)</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Warranty and other product-related claims continue to be monitored by management, and as of June 30, 2026, the warranty reserve balances associated with these matters are considered adequate to cover future warranty payments. However, it is possible that additional adjustments may be required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11. SELECTED SEGMENT DATA</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defines its operating segments as those operations that engage in business activities from which revenues are earned and expenses incurred, for which discrete financial information is available, and that are regularly reviewed to analyze performance and allocate resources by the chief operating decision maker (“CODM”), the Company's Chief Executive Officer. The Company conducts business through two reportable segments: Siding and OSB. Other comprises our South American operations and other products and services that are not individually significant.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Siding segment serves diverse end markets with a broad product portfolio of engineered wood siding, trim, soffit, and fascia. Our Siding is offered primed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 BuilderSeries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Lap Siding, and LP</w:t>
      </w:r>
      <w:r>
        <w:rPr>
          <w:rFonts w:ascii="Times New Roman;serif" w:hAnsi="Times New Roman;serif"/>
          <w:b w:val="false"/>
          <w:color w:val="000000"/>
          <w:sz w:val="13"/>
        </w:rPr>
        <w:t xml:space="preserve">® </w:t>
      </w:r>
      <w:r>
        <w:rPr>
          <w:rFonts w:ascii="Times New Roman;serif" w:hAnsi="Times New Roman;serif"/>
          <w:b w:val="false"/>
          <w:color w:val="000000"/>
          <w:sz w:val="20"/>
        </w:rPr>
        <w:t>Outdoor Building Solutions</w:t>
      </w:r>
      <w:r>
        <w:rPr>
          <w:rFonts w:ascii="Times New Roman;serif" w:hAnsi="Times New Roman;serif"/>
          <w:b w:val="false"/>
          <w:color w:val="000000"/>
          <w:sz w:val="13"/>
        </w:rPr>
        <w:t>®</w:t>
      </w:r>
      <w:r>
        <w:rPr>
          <w:rFonts w:ascii="Times New Roman;serif" w:hAnsi="Times New Roman;serif"/>
          <w:b w:val="false"/>
          <w:color w:val="000000"/>
          <w:sz w:val="20"/>
        </w:rPr>
        <w:t>) and prefinished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ExpertFinish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to meet the needs of builders and installers in new construction and repair and remodeling applications.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OSB segment manufactures and distributes OSB structural panel products, including the innovative value-added OSB product portfolio known as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Structural Solutions (which includes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FlameBlock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Fire-Rated Sheathing, LP BurnGuard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FRT OSB, LP WeatherLogic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Air &amp; Water Barrier,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Radiant Barrier Sheathing, LP Legacy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Premium Sub-Flooring,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TopNotch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350 Durable Sub-Flooring).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our business segments are evaluated based on segment Adjusted EBITDA, which the CODM uses to assess performance and make decisions regarding the allocation of operating and capital resources. Additionally, the budgeting and forecasting process monitors budget versus actual results, with emphasis on Adjusted EBITDA. Segment Adjusted EBITDA is defined as income attributed to LP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w:t>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Information regarding the Company’s business segments is presented below (dollar amounts in millions):</w:t>
      </w:r>
    </w:p>
    <w:tbl>
      <w:tblPr>
        <w:tblW w:w="6192" w:type="dxa"/>
        <w:jc w:val="left"/>
        <w:tblInd w:w="0" w:type="dxa"/>
        <w:tblLayout w:type="fixed"/>
        <w:tblCellMar>
          <w:top w:w="28" w:type="dxa"/>
          <w:left w:w="28" w:type="dxa"/>
          <w:bottom w:w="28" w:type="dxa"/>
          <w:right w:w="28" w:type="dxa"/>
        </w:tblCellMar>
      </w:tblPr>
      <w:tblGrid>
        <w:gridCol w:w="1188"/>
        <w:gridCol w:w="1047"/>
        <w:gridCol w:w="1050"/>
        <w:gridCol w:w="196"/>
        <w:gridCol w:w="436"/>
        <w:gridCol w:w="109"/>
        <w:gridCol w:w="109"/>
        <w:gridCol w:w="109"/>
        <w:gridCol w:w="109"/>
        <w:gridCol w:w="196"/>
        <w:gridCol w:w="421"/>
        <w:gridCol w:w="109"/>
        <w:gridCol w:w="109"/>
        <w:gridCol w:w="109"/>
        <w:gridCol w:w="109"/>
        <w:gridCol w:w="196"/>
        <w:gridCol w:w="43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OSB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revenue</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revenues</w:t>
            </w:r>
            <w:r>
              <w:rPr>
                <w:rFonts w:ascii="Times New Roman;serif" w:hAnsi="Times New Roman;serif"/>
                <w:b w:val="false"/>
                <w:color w:val="000000"/>
                <w:sz w:val="12"/>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consolidated revenues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Less:</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OSB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revenue</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revenues</w:t>
            </w:r>
            <w:r>
              <w:rPr>
                <w:rFonts w:ascii="Times New Roman;serif" w:hAnsi="Times New Roman;serif"/>
                <w:b w:val="false"/>
                <w:color w:val="000000"/>
                <w:sz w:val="12"/>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consolidated revenues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Less:</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 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Other revenues include sales from the Company's South American operations and other products and services that are not individually significant.</w:t>
      </w:r>
    </w:p>
    <w:p>
      <w:pPr>
        <w:pStyle w:val="TextBody"/>
        <w:bidi w:val="0"/>
        <w:spacing w:lineRule="auto" w:line="288" w:before="40" w:after="40"/>
        <w:jc w:val="both"/>
        <w:rPr/>
      </w:pPr>
      <w:r>
        <w:rPr>
          <w:rFonts w:ascii="Times New Roman;serif" w:hAnsi="Times New Roman;serif"/>
          <w:b w:val="false"/>
          <w:color w:val="000000"/>
          <w:sz w:val="13"/>
        </w:rPr>
        <w:t xml:space="preserve">2 </w:t>
      </w:r>
      <w:r>
        <w:rPr>
          <w:rFonts w:ascii="Times New Roman;serif" w:hAnsi="Times New Roman;serif"/>
          <w:b w:val="false"/>
          <w:color w:val="000000"/>
          <w:sz w:val="16"/>
        </w:rPr>
        <w:t>Other segment items include stock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6327" w:type="dxa"/>
        <w:jc w:val="left"/>
        <w:tblInd w:w="0" w:type="dxa"/>
        <w:tblLayout w:type="fixed"/>
        <w:tblCellMar>
          <w:top w:w="28" w:type="dxa"/>
          <w:left w:w="28" w:type="dxa"/>
          <w:bottom w:w="28" w:type="dxa"/>
          <w:right w:w="28" w:type="dxa"/>
        </w:tblCellMar>
      </w:tblPr>
      <w:tblGrid>
        <w:gridCol w:w="1188"/>
        <w:gridCol w:w="1047"/>
        <w:gridCol w:w="1050"/>
        <w:gridCol w:w="196"/>
        <w:gridCol w:w="436"/>
        <w:gridCol w:w="109"/>
        <w:gridCol w:w="109"/>
        <w:gridCol w:w="109"/>
        <w:gridCol w:w="109"/>
        <w:gridCol w:w="196"/>
        <w:gridCol w:w="421"/>
        <w:gridCol w:w="109"/>
        <w:gridCol w:w="109"/>
        <w:gridCol w:w="109"/>
        <w:gridCol w:w="109"/>
        <w:gridCol w:w="196"/>
        <w:gridCol w:w="571"/>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OSB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revenue</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revenues</w:t>
            </w:r>
            <w:r>
              <w:rPr>
                <w:rFonts w:ascii="Times New Roman;serif" w:hAnsi="Times New Roman;serif"/>
                <w:b w:val="false"/>
                <w:color w:val="000000"/>
                <w:sz w:val="12"/>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consolidated revenues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Less:</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OSB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revenue</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revenues</w:t>
            </w:r>
            <w:r>
              <w:rPr>
                <w:rFonts w:ascii="Times New Roman;serif" w:hAnsi="Times New Roman;serif"/>
                <w:b w:val="false"/>
                <w:color w:val="000000"/>
                <w:sz w:val="12"/>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consolidated revenues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Less:</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 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Other revenues include sales from the Company's South American operations and other products and services that are not individually significant.</w:t>
      </w:r>
    </w:p>
    <w:p>
      <w:pPr>
        <w:pStyle w:val="TextBody"/>
        <w:bidi w:val="0"/>
        <w:spacing w:lineRule="auto" w:line="288" w:before="40" w:after="40"/>
        <w:jc w:val="both"/>
        <w:rPr/>
      </w:pPr>
      <w:r>
        <w:rPr>
          <w:rFonts w:ascii="Times New Roman;serif" w:hAnsi="Times New Roman;serif"/>
          <w:b w:val="false"/>
          <w:color w:val="000000"/>
          <w:sz w:val="13"/>
        </w:rPr>
        <w:t xml:space="preserve">2 </w:t>
      </w:r>
      <w:r>
        <w:rPr>
          <w:rFonts w:ascii="Times New Roman;serif" w:hAnsi="Times New Roman;serif"/>
          <w:b w:val="false"/>
          <w:color w:val="000000"/>
          <w:sz w:val="16"/>
        </w:rPr>
        <w:t>Other segment items include stock compensation expense.</w:t>
      </w:r>
    </w:p>
    <w:p>
      <w:pPr>
        <w:pStyle w:val="TextBody"/>
        <w:bidi w:val="0"/>
        <w:spacing w:before="4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significant items and reconciles reportable segment Adjusted EBITDA to income before income taxes (dollar amounts in millions):</w:t>
      </w:r>
    </w:p>
    <w:tbl>
      <w:tblPr>
        <w:tblW w:w="8213" w:type="dxa"/>
        <w:jc w:val="left"/>
        <w:tblInd w:w="0" w:type="dxa"/>
        <w:tblLayout w:type="fixed"/>
        <w:tblCellMar>
          <w:top w:w="28" w:type="dxa"/>
          <w:left w:w="28" w:type="dxa"/>
          <w:bottom w:w="28" w:type="dxa"/>
          <w:right w:w="28" w:type="dxa"/>
        </w:tblCellMar>
      </w:tblPr>
      <w:tblGrid>
        <w:gridCol w:w="1146"/>
        <w:gridCol w:w="1006"/>
        <w:gridCol w:w="1012"/>
        <w:gridCol w:w="278"/>
        <w:gridCol w:w="492"/>
        <w:gridCol w:w="155"/>
        <w:gridCol w:w="155"/>
        <w:gridCol w:w="155"/>
        <w:gridCol w:w="155"/>
        <w:gridCol w:w="278"/>
        <w:gridCol w:w="620"/>
        <w:gridCol w:w="155"/>
        <w:gridCol w:w="109"/>
        <w:gridCol w:w="109"/>
        <w:gridCol w:w="109"/>
        <w:gridCol w:w="241"/>
        <w:gridCol w:w="536"/>
        <w:gridCol w:w="134"/>
        <w:gridCol w:w="134"/>
        <w:gridCol w:w="134"/>
        <w:gridCol w:w="134"/>
        <w:gridCol w:w="241"/>
        <w:gridCol w:w="536"/>
        <w:gridCol w:w="189"/>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Reconciliation of profit (loss)</w:t>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Reportable segment Adjusted EBITDA</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Adjusted EBITDA</w:t>
            </w:r>
            <w:r>
              <w:rPr>
                <w:rFonts w:ascii="Times New Roman;serif" w:hAnsi="Times New Roman;serif"/>
                <w:b w:val="false"/>
                <w:color w:val="000000"/>
                <w:sz w:val="12"/>
              </w:rPr>
              <w:t>1</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unconsolidated affiliate</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Product-line discontinuance charges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non-operating (expense) income</w:t>
            </w:r>
            <w:r>
              <w:rPr>
                <w:rFonts w:ascii="Times New Roman;serif" w:hAnsi="Times New Roman;serif"/>
                <w:b w:val="false"/>
                <w:color w:val="000000"/>
                <w:sz w:val="12"/>
              </w:rPr>
              <w:t>2</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both"/>
        <w:rPr/>
      </w:pPr>
      <w:r>
        <w:rPr>
          <w:rFonts w:ascii="Times New Roman;serif" w:hAnsi="Times New Roman;serif"/>
          <w:b w:val="false"/>
          <w:color w:val="000000"/>
          <w:sz w:val="10"/>
        </w:rPr>
        <w:t>1</w:t>
      </w:r>
      <w:r>
        <w:rPr>
          <w:rFonts w:ascii="Times New Roman;serif" w:hAnsi="Times New Roman;serif"/>
          <w:b w:val="false"/>
          <w:color w:val="000000"/>
          <w:sz w:val="16"/>
        </w:rPr>
        <w:t>Other Adjusted EBITDA includes the Company's South American operations, unallocated corporate expenses, and other products and services that are not individually significant.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Information concerning identifiable assets by segment is as follows (dollar amounts in millions):</w:t>
      </w:r>
    </w:p>
    <w:tbl>
      <w:tblPr>
        <w:tblW w:w="4766" w:type="dxa"/>
        <w:jc w:val="left"/>
        <w:tblInd w:w="0" w:type="dxa"/>
        <w:tblLayout w:type="fixed"/>
        <w:tblCellMar>
          <w:top w:w="28" w:type="dxa"/>
          <w:left w:w="28" w:type="dxa"/>
          <w:bottom w:w="28" w:type="dxa"/>
          <w:right w:w="28" w:type="dxa"/>
        </w:tblCellMar>
      </w:tblPr>
      <w:tblGrid>
        <w:gridCol w:w="614"/>
        <w:gridCol w:w="539"/>
        <w:gridCol w:w="542"/>
        <w:gridCol w:w="258"/>
        <w:gridCol w:w="753"/>
        <w:gridCol w:w="143"/>
        <w:gridCol w:w="109"/>
        <w:gridCol w:w="109"/>
        <w:gridCol w:w="109"/>
        <w:gridCol w:w="338"/>
        <w:gridCol w:w="986"/>
        <w:gridCol w:w="26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Identifiable Assets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segment assets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1,950</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2,607</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assets include cash and cash equivalents, accounts receivable, South American assets, short-term and long-term investments, corporate assets, and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2025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 </w:t>
      </w:r>
    </w:p>
    <w:p>
      <w:pPr>
        <w:pStyle w:val="TextBody"/>
        <w:bidi w:val="0"/>
        <w:spacing w:lineRule="auto" w:line="288" w:before="240" w:after="240"/>
        <w:jc w:val="both"/>
        <w:rPr>
          <w:rFonts w:ascii="Times New Roman;serif" w:hAnsi="Times New Roman;serif"/>
          <w:b/>
          <w:color w:val="000000"/>
          <w:sz w:val="20"/>
          <w:u w:val="single"/>
        </w:rPr>
      </w:pPr>
      <w:r>
        <w:rPr>
          <w:rFonts w:ascii="Times New Roman;serif" w:hAnsi="Times New Roman;serif"/>
          <w:b/>
          <w:color w:val="000000"/>
          <w:sz w:val="20"/>
          <w:u w:val="single"/>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reliability, and sustainability. Our manufacturing facilities are located in the U.S., Canada, Chile, and Brazil. To serve these markets, we operate in two reportable segments: Siding and Oriented Strand Board (OSB).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Demand for Building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Demand for our products correlates positively with new home construction, especially new single-family home construction, and repair and remodeling activity in North America, which historically has been characterized by significant cyclicality. The U.S. Census Bureau published actual U.S. housing starts data on July 17, 2026. Actual single-family housing starts were approximately 4% and 5% lower for the three and six months ended June 30, 2026, respectively, as compared to the same periods in 2025. Actual multi-family housing starts for the three and six months ended June 30, 2026, were approximately 8% and 15% higher, respectively, as compared to the same periods in 2025. Repair and remodeling demand is difficult to measure precisely due to diversity of remodeling projects, however, available market indicators suggest activity is roughly flat compared to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Future economic conditions in the United States and the demand for homes are uncertain due to various macroeconomic factors, including interest rates, employment levels, changing trade policy in various jurisdictions, consumer confidence, and financial markets, among other things. Additionally, we have experienced fluctuating material prices, supply disruptions, and labor challenges, which we continue to address as we work to meet the demands of builders, remodelers, and homeowners worldwide.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Supply and Demand for Siding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Siding products are specialty building materials and are subject to competition from various siding and cladding technologies, including vinyl, stucco, wood, fiber cement, brick, and others. We believe we are the largest manufacturer of engineered wood siding in North America and South America. We have consistently grown our Siding segment above the underlying market growth rates. Our Siding segment is generally less sensitive to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Supply and Demand for OSB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OSB is a commodity product, and it is subject to competition from manufacturers worldwide. Product supply is influenced primarily by fluctuations in available manufacturing capacity and imports. The ratio of overall OSB demand to capacity generally drives prices. We cannot predict whether the prices of our OSB products will remain at current levels or fluctuate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Significant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Note 1 of the Notes to the Consolidated Financial Statements included in our 2025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the application of principles, methods, and assumptions used to determine our significant estimates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Measures and Other Key Performance Indicators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When evaluating the Company's performance on a U.S. GAAP basis, management utilizes certain non-GAAP financial measures as defined by SEC Regulation G and Regulation S-K Item 10(e). These measures exclude the impact of specific costs, expenses, gains, and losses to evaluate our overall operating performance. Management believes these non-GAAP measures provide users of the financial information with additional meaningful comparison to prior periods, as they generally exclude items that are outside of the normal course of our business or beyond management's control. It is important to note that non-GAAP financial measures do not have standardized definitions and are not defined by U.S. GAAP. In this quarterly report on Form 10-Q, Adjusted EBITDA, Adjusted Income, and Adjusted Diluted EPS (as each defined below) are non-GAAP measures that are used by management and external users of our condensed consolidated financial statements such as investors, industry analysts, and lenders.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Income is defined as net income, excluding loss on impairment,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net income attributed to noncontrolling interest, foreign currency gains and losses, and adjusting for a normalized tax rate. Adjusted Diluted EPS is calculated as Adjusted Income divided by diluted shares outstanding, which is a non-GAAP financial measure. We believe that Adjusted Diluted EPS and Adjusted Income are useful measures for evaluating our ability to generate earnings and that providing these measures should allow interested persons to more readily compare the earnings for past and future periods.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updated the definition of Adjusted Income to exclude foreign currency gains and losses. These gains and losses primarily arise from the remeasurement of all monetary assets and liabilities including intercompany notes that are denominated in a different currency than the entity's functional currency. The exclusion of these items helps management compare changes in operating results between periods that might otherwise be obscured due to currency fluctuations. The Company believes this exclusion provides investors with a clearer view of underlying operating performance by removing the effects of currency fluctuations that are largely outside of the Company's control and do not reflect its core business activities. For comparability and consistency, all prior period Adjusted Income and Adjusted Diluted EPS measures have been recast to conform to the current presentation. The impact of this update for the three and six months ended June 30, 2025, was an increase to Adjusted Income of $6 million and $9 million, respectively, and an increase to Adjusted Diluted EPS of $0.08 per share and $0.14 per share,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Reconciliations of Adjusted EBITDA, Adjusted Income, and Adjusted Diluted EPS to their most directly comparable U.S. GAAP financial measures, net income and net income per share of common stock - diluted, respectively, are presented below. 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Adjusted EBITDA (dollar amounts in millions):</w:t>
      </w:r>
    </w:p>
    <w:tbl>
      <w:tblPr>
        <w:tblW w:w="7973" w:type="dxa"/>
        <w:jc w:val="center"/>
        <w:tblInd w:w="0" w:type="dxa"/>
        <w:tblLayout w:type="fixed"/>
        <w:tblCellMar>
          <w:top w:w="28" w:type="dxa"/>
          <w:left w:w="28" w:type="dxa"/>
          <w:bottom w:w="28" w:type="dxa"/>
          <w:right w:w="28" w:type="dxa"/>
        </w:tblCellMar>
      </w:tblPr>
      <w:tblGrid>
        <w:gridCol w:w="1057"/>
        <w:gridCol w:w="931"/>
        <w:gridCol w:w="937"/>
        <w:gridCol w:w="267"/>
        <w:gridCol w:w="574"/>
        <w:gridCol w:w="148"/>
        <w:gridCol w:w="148"/>
        <w:gridCol w:w="148"/>
        <w:gridCol w:w="148"/>
        <w:gridCol w:w="267"/>
        <w:gridCol w:w="594"/>
        <w:gridCol w:w="148"/>
        <w:gridCol w:w="109"/>
        <w:gridCol w:w="109"/>
        <w:gridCol w:w="109"/>
        <w:gridCol w:w="241"/>
        <w:gridCol w:w="536"/>
        <w:gridCol w:w="134"/>
        <w:gridCol w:w="134"/>
        <w:gridCol w:w="134"/>
        <w:gridCol w:w="134"/>
        <w:gridCol w:w="241"/>
        <w:gridCol w:w="536"/>
        <w:gridCol w:w="189"/>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Product-line discontinuance charges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w:t>
            </w: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Adjusted Income (dollar amounts in millions, except per share amounts):</w:t>
      </w:r>
    </w:p>
    <w:tbl>
      <w:tblPr>
        <w:tblW w:w="8823" w:type="dxa"/>
        <w:jc w:val="center"/>
        <w:tblInd w:w="0" w:type="dxa"/>
        <w:tblLayout w:type="fixed"/>
        <w:tblCellMar>
          <w:top w:w="28" w:type="dxa"/>
          <w:left w:w="28" w:type="dxa"/>
          <w:bottom w:w="28" w:type="dxa"/>
          <w:right w:w="28" w:type="dxa"/>
        </w:tblCellMar>
      </w:tblPr>
      <w:tblGrid>
        <w:gridCol w:w="1370"/>
        <w:gridCol w:w="1200"/>
        <w:gridCol w:w="1210"/>
        <w:gridCol w:w="252"/>
        <w:gridCol w:w="619"/>
        <w:gridCol w:w="140"/>
        <w:gridCol w:w="140"/>
        <w:gridCol w:w="140"/>
        <w:gridCol w:w="140"/>
        <w:gridCol w:w="252"/>
        <w:gridCol w:w="619"/>
        <w:gridCol w:w="140"/>
        <w:gridCol w:w="109"/>
        <w:gridCol w:w="109"/>
        <w:gridCol w:w="109"/>
        <w:gridCol w:w="229"/>
        <w:gridCol w:w="564"/>
        <w:gridCol w:w="127"/>
        <w:gridCol w:w="127"/>
        <w:gridCol w:w="127"/>
        <w:gridCol w:w="127"/>
        <w:gridCol w:w="229"/>
        <w:gridCol w:w="564"/>
        <w:gridCol w:w="180"/>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of common stock - diluted</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0.38</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Product-line discontinuance charges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tax provision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income before tax</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tax provision at 25%</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Income</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outstanding</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EPS</w:t>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0.40</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0.78</w:t>
            </w:r>
            <w:r>
              <w:rPr>
                <w:color w:val="000000"/>
              </w:rPr>
              <w:t> </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Key Performance Indicators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management monitors certain key performance indicators to evaluate our business performance, which include our Overall Equipment Effectiveness (OEE) and our sales volume relative to housing starts, as provided by reports from the U.S. Census Bureau.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actual housing starts data reported by the U.S. Census Bureau, as published through July 17, 2026, for the three and six months ended June 30, 2026 and 2025 (in thousands):</w:t>
      </w:r>
    </w:p>
    <w:tbl>
      <w:tblPr>
        <w:tblW w:w="6170" w:type="dxa"/>
        <w:jc w:val="left"/>
        <w:tblInd w:w="0" w:type="dxa"/>
        <w:tblLayout w:type="fixed"/>
        <w:tblCellMar>
          <w:top w:w="28" w:type="dxa"/>
          <w:left w:w="28" w:type="dxa"/>
          <w:bottom w:w="28" w:type="dxa"/>
          <w:right w:w="28" w:type="dxa"/>
        </w:tblCellMar>
      </w:tblPr>
      <w:tblGrid>
        <w:gridCol w:w="408"/>
        <w:gridCol w:w="358"/>
        <w:gridCol w:w="360"/>
        <w:gridCol w:w="271"/>
        <w:gridCol w:w="271"/>
        <w:gridCol w:w="271"/>
        <w:gridCol w:w="271"/>
        <w:gridCol w:w="271"/>
        <w:gridCol w:w="271"/>
        <w:gridCol w:w="271"/>
        <w:gridCol w:w="271"/>
        <w:gridCol w:w="271"/>
        <w:gridCol w:w="109"/>
        <w:gridCol w:w="109"/>
        <w:gridCol w:w="109"/>
        <w:gridCol w:w="242"/>
        <w:gridCol w:w="242"/>
        <w:gridCol w:w="242"/>
        <w:gridCol w:w="242"/>
        <w:gridCol w:w="242"/>
        <w:gridCol w:w="242"/>
        <w:gridCol w:w="242"/>
        <w:gridCol w:w="242"/>
        <w:gridCol w:w="342"/>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w:t>
            </w: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w:t>
            </w: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696</w:t>
            </w: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692</w:t>
            </w:r>
            <w:r>
              <w:rPr>
                <w:color w:val="000000"/>
              </w:rPr>
              <w:t>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monitor sales volumes for our products in our Siding and OSB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sales volumes for the three and six months ended June 30, 2026 and 2025 (in MMSF):</w:t>
      </w:r>
    </w:p>
    <w:tbl>
      <w:tblPr>
        <w:tblW w:w="7287" w:type="dxa"/>
        <w:jc w:val="center"/>
        <w:tblInd w:w="0" w:type="dxa"/>
        <w:tblLayout w:type="fixed"/>
        <w:tblCellMar>
          <w:top w:w="28" w:type="dxa"/>
          <w:left w:w="28" w:type="dxa"/>
          <w:bottom w:w="28" w:type="dxa"/>
          <w:right w:w="28" w:type="dxa"/>
        </w:tblCellMar>
      </w:tblPr>
      <w:tblGrid>
        <w:gridCol w:w="747"/>
        <w:gridCol w:w="655"/>
        <w:gridCol w:w="667"/>
        <w:gridCol w:w="271"/>
        <w:gridCol w:w="271"/>
        <w:gridCol w:w="271"/>
        <w:gridCol w:w="271"/>
        <w:gridCol w:w="271"/>
        <w:gridCol w:w="271"/>
        <w:gridCol w:w="271"/>
        <w:gridCol w:w="271"/>
        <w:gridCol w:w="271"/>
        <w:gridCol w:w="109"/>
        <w:gridCol w:w="109"/>
        <w:gridCol w:w="109"/>
        <w:gridCol w:w="316"/>
        <w:gridCol w:w="255"/>
        <w:gridCol w:w="242"/>
        <w:gridCol w:w="242"/>
        <w:gridCol w:w="242"/>
        <w:gridCol w:w="242"/>
        <w:gridCol w:w="316"/>
        <w:gridCol w:w="255"/>
        <w:gridCol w:w="342"/>
      </w:tblGrid>
      <w:tr>
        <w:trP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Siding sales volume</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804</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935</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OSB - Structural Solutions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Commodity</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OSB sales volume</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1,468</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1,704</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on maintenance and reliability improvements, and improve overall equipment efficiency. It should be noted that other companies may present OEE data differently, and therefore, as presented by us, OEE data may not be comparable to similarly titled measures reported by other companies.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OEE for the three and six months ended June 30, 2026 and 2025, for each of our reportable segments is listed below:</w:t>
      </w:r>
    </w:p>
    <w:tbl>
      <w:tblPr>
        <w:tblW w:w="5636" w:type="dxa"/>
        <w:jc w:val="center"/>
        <w:tblInd w:w="0" w:type="dxa"/>
        <w:tblLayout w:type="fixed"/>
        <w:tblCellMar>
          <w:top w:w="28" w:type="dxa"/>
          <w:left w:w="28" w:type="dxa"/>
          <w:bottom w:w="28" w:type="dxa"/>
          <w:right w:w="28" w:type="dxa"/>
        </w:tblCellMar>
      </w:tblPr>
      <w:tblGrid>
        <w:gridCol w:w="212"/>
        <w:gridCol w:w="186"/>
        <w:gridCol w:w="188"/>
        <w:gridCol w:w="209"/>
        <w:gridCol w:w="209"/>
        <w:gridCol w:w="491"/>
        <w:gridCol w:w="209"/>
        <w:gridCol w:w="209"/>
        <w:gridCol w:w="209"/>
        <w:gridCol w:w="209"/>
        <w:gridCol w:w="209"/>
        <w:gridCol w:w="491"/>
        <w:gridCol w:w="109"/>
        <w:gridCol w:w="109"/>
        <w:gridCol w:w="109"/>
        <w:gridCol w:w="188"/>
        <w:gridCol w:w="188"/>
        <w:gridCol w:w="442"/>
        <w:gridCol w:w="188"/>
        <w:gridCol w:w="188"/>
        <w:gridCol w:w="188"/>
        <w:gridCol w:w="188"/>
        <w:gridCol w:w="188"/>
        <w:gridCol w:w="52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through two reportable segments: Siding and OSB. Other comprises our South American operations and other products and services that are not individually significant. See “Note 11. Selected Segment Data” of the Notes to the Condensed Consolidated Financial Statements included in “Item 1. Financial Statements” of this quarterly report on Form 10-Q for further information regarding our segments.</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Siding</w:t>
      </w:r>
    </w:p>
    <w:p>
      <w:pPr>
        <w:pStyle w:val="TextBody"/>
        <w:bidi w:val="0"/>
        <w:spacing w:lineRule="auto" w:line="288" w:before="240" w:after="120"/>
        <w:jc w:val="both"/>
        <w:rPr/>
      </w:pPr>
      <w:r>
        <w:rPr>
          <w:rFonts w:ascii="Times New Roman;serif" w:hAnsi="Times New Roman;serif"/>
          <w:b w:val="false"/>
          <w:color w:val="000000"/>
          <w:sz w:val="20"/>
        </w:rPr>
        <w:t>The Siding segment serves diverse end markets with a broad product portfolio of engineered wood siding, trim, soffit, and fascia. Our Siding is offered primed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 BuilderSeries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Lap Siding, and LP</w:t>
      </w:r>
      <w:r>
        <w:rPr>
          <w:rFonts w:ascii="Times New Roman;serif" w:hAnsi="Times New Roman;serif"/>
          <w:b w:val="false"/>
          <w:color w:val="000000"/>
          <w:sz w:val="13"/>
        </w:rPr>
        <w:t xml:space="preserve">® </w:t>
      </w:r>
      <w:r>
        <w:rPr>
          <w:rFonts w:ascii="Times New Roman;serif" w:hAnsi="Times New Roman;serif"/>
          <w:b w:val="false"/>
          <w:color w:val="000000"/>
          <w:sz w:val="20"/>
        </w:rPr>
        <w:t>Outdoor Building Solutions</w:t>
      </w:r>
      <w:r>
        <w:rPr>
          <w:rFonts w:ascii="Times New Roman;serif" w:hAnsi="Times New Roman;serif"/>
          <w:b w:val="false"/>
          <w:color w:val="000000"/>
          <w:sz w:val="13"/>
        </w:rPr>
        <w:t>®</w:t>
      </w:r>
      <w:r>
        <w:rPr>
          <w:rFonts w:ascii="Times New Roman;serif" w:hAnsi="Times New Roman;serif"/>
          <w:b w:val="false"/>
          <w:color w:val="000000"/>
          <w:sz w:val="20"/>
        </w:rPr>
        <w:t>) and prefinished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ExpertFinish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to meet the needs of builders and installers in new construction and repair and remodeling applications.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Segment net sales and Adjusted EBITDA for this segment were as follows (dollar amounts in millions):</w:t>
      </w:r>
    </w:p>
    <w:tbl>
      <w:tblPr>
        <w:tblW w:w="7916" w:type="dxa"/>
        <w:jc w:val="left"/>
        <w:tblInd w:w="0" w:type="dxa"/>
        <w:tblLayout w:type="fixed"/>
        <w:tblCellMar>
          <w:top w:w="28" w:type="dxa"/>
          <w:left w:w="28" w:type="dxa"/>
          <w:bottom w:w="28" w:type="dxa"/>
          <w:right w:w="28" w:type="dxa"/>
        </w:tblCellMar>
      </w:tblPr>
      <w:tblGrid>
        <w:gridCol w:w="529"/>
        <w:gridCol w:w="467"/>
        <w:gridCol w:w="474"/>
        <w:gridCol w:w="196"/>
        <w:gridCol w:w="421"/>
        <w:gridCol w:w="109"/>
        <w:gridCol w:w="109"/>
        <w:gridCol w:w="109"/>
        <w:gridCol w:w="109"/>
        <w:gridCol w:w="196"/>
        <w:gridCol w:w="421"/>
        <w:gridCol w:w="109"/>
        <w:gridCol w:w="109"/>
        <w:gridCol w:w="109"/>
        <w:gridCol w:w="109"/>
        <w:gridCol w:w="214"/>
        <w:gridCol w:w="214"/>
        <w:gridCol w:w="503"/>
        <w:gridCol w:w="109"/>
        <w:gridCol w:w="109"/>
        <w:gridCol w:w="109"/>
        <w:gridCol w:w="196"/>
        <w:gridCol w:w="421"/>
        <w:gridCol w:w="109"/>
        <w:gridCol w:w="109"/>
        <w:gridCol w:w="109"/>
        <w:gridCol w:w="109"/>
        <w:gridCol w:w="196"/>
        <w:gridCol w:w="421"/>
        <w:gridCol w:w="109"/>
        <w:gridCol w:w="109"/>
        <w:gridCol w:w="109"/>
        <w:gridCol w:w="109"/>
        <w:gridCol w:w="204"/>
        <w:gridCol w:w="204"/>
        <w:gridCol w:w="568"/>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in this segment by product line were as follows (dollar amounts in millions):</w:t>
      </w:r>
    </w:p>
    <w:tbl>
      <w:tblPr>
        <w:tblW w:w="7116" w:type="dxa"/>
        <w:jc w:val="left"/>
        <w:tblInd w:w="0" w:type="dxa"/>
        <w:tblLayout w:type="fixed"/>
        <w:tblCellMar>
          <w:top w:w="28" w:type="dxa"/>
          <w:left w:w="28" w:type="dxa"/>
          <w:bottom w:w="28" w:type="dxa"/>
          <w:right w:w="28" w:type="dxa"/>
        </w:tblCellMar>
      </w:tblPr>
      <w:tblGrid>
        <w:gridCol w:w="212"/>
        <w:gridCol w:w="186"/>
        <w:gridCol w:w="188"/>
        <w:gridCol w:w="196"/>
        <w:gridCol w:w="436"/>
        <w:gridCol w:w="109"/>
        <w:gridCol w:w="109"/>
        <w:gridCol w:w="109"/>
        <w:gridCol w:w="109"/>
        <w:gridCol w:w="196"/>
        <w:gridCol w:w="436"/>
        <w:gridCol w:w="109"/>
        <w:gridCol w:w="109"/>
        <w:gridCol w:w="109"/>
        <w:gridCol w:w="109"/>
        <w:gridCol w:w="203"/>
        <w:gridCol w:w="203"/>
        <w:gridCol w:w="529"/>
        <w:gridCol w:w="109"/>
        <w:gridCol w:w="109"/>
        <w:gridCol w:w="109"/>
        <w:gridCol w:w="196"/>
        <w:gridCol w:w="436"/>
        <w:gridCol w:w="109"/>
        <w:gridCol w:w="109"/>
        <w:gridCol w:w="109"/>
        <w:gridCol w:w="109"/>
        <w:gridCol w:w="196"/>
        <w:gridCol w:w="436"/>
        <w:gridCol w:w="109"/>
        <w:gridCol w:w="109"/>
        <w:gridCol w:w="109"/>
        <w:gridCol w:w="109"/>
        <w:gridCol w:w="203"/>
        <w:gridCol w:w="203"/>
        <w:gridCol w:w="59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Percent changes in average net sales prices and unit shipments in Siding for the three and six months ended June 30, 2026, compared to the corresponding periods in 2025, were as follows: </w:t>
      </w:r>
    </w:p>
    <w:tbl>
      <w:tblPr>
        <w:tblW w:w="5836" w:type="dxa"/>
        <w:jc w:val="left"/>
        <w:tblInd w:w="0" w:type="dxa"/>
        <w:tblLayout w:type="fixed"/>
        <w:tblCellMar>
          <w:top w:w="28" w:type="dxa"/>
          <w:left w:w="28" w:type="dxa"/>
          <w:bottom w:w="28" w:type="dxa"/>
          <w:right w:w="28" w:type="dxa"/>
        </w:tblCellMar>
      </w:tblPr>
      <w:tblGrid>
        <w:gridCol w:w="228"/>
        <w:gridCol w:w="200"/>
        <w:gridCol w:w="202"/>
        <w:gridCol w:w="231"/>
        <w:gridCol w:w="231"/>
        <w:gridCol w:w="544"/>
        <w:gridCol w:w="179"/>
        <w:gridCol w:w="179"/>
        <w:gridCol w:w="179"/>
        <w:gridCol w:w="203"/>
        <w:gridCol w:w="203"/>
        <w:gridCol w:w="464"/>
        <w:gridCol w:w="109"/>
        <w:gridCol w:w="109"/>
        <w:gridCol w:w="109"/>
        <w:gridCol w:w="231"/>
        <w:gridCol w:w="231"/>
        <w:gridCol w:w="544"/>
        <w:gridCol w:w="177"/>
        <w:gridCol w:w="177"/>
        <w:gridCol w:w="177"/>
        <w:gridCol w:w="203"/>
        <w:gridCol w:w="203"/>
        <w:gridCol w:w="523"/>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 versus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 2026 versus 2025</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Siding </w:t>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Siding net sales decreased for the three and six months ended June 30, 2026 due to lower volumes, partially offset by higher prices. The increase in pricing was attributable to both the annual price increase and favorable mix.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declined by $12 million in the quarter and $16 million year to date compared with the same periods in 2025. Net price increases contributed $27 million in the quarter and $54 million year to date, while lower volumes reduced results by $24 million and $59 million, respectively. Raw material, freight, and labor costs also increased by $10 million in the quarter and $15 million year to date, including a $4 million impact from higher crude oil costs in the second quarter.$16 million, respectively. Net price increases contributed $27 million in the quarter and $54 million year to date, which were offset by lower volumes of $24 million for the quarter and $59 million year to date. For the three and six months ended June 30, 2026, costs for raw materials, freight, and labor increased by $10 million and $12 million, respectively, including $4 million related to higher crude oil prices in the second quarter.</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OSB</w:t>
      </w:r>
    </w:p>
    <w:p>
      <w:pPr>
        <w:pStyle w:val="TextBody"/>
        <w:bidi w:val="0"/>
        <w:spacing w:lineRule="auto" w:line="288" w:before="240" w:after="120"/>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OSB segment manufactures and distributes OSB structural panel products, including the innovative value-added OSB product portfolio known as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Structural Solutions (which includes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FlameBlock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Fire-Rated Sheathing, LP BurnGuard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FRT OSB, LP WeatherLogic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Air &amp; Water Barrier,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Radiant Barrier Sheathing, LP Legacy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Premium Sub-Flooring,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TopNotch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350 Durable Sub-Flooring).</w:t>
      </w:r>
    </w:p>
    <w:p>
      <w:pPr>
        <w:pStyle w:val="TextBody"/>
        <w:bidi w:val="0"/>
        <w:spacing w:lineRule="auto" w:line="288" w:before="120" w:after="120"/>
        <w:jc w:val="both"/>
        <w:rPr/>
      </w:pPr>
      <w:r>
        <w:rPr>
          <w:rFonts w:ascii="Times New Roman;serif" w:hAnsi="Times New Roman;serif"/>
          <w:b w:val="false"/>
          <w:color w:val="000000"/>
          <w:sz w:val="20"/>
        </w:rPr>
        <w:t>Segment net sales and Adjusted EBITDA for this segment were as follows</w:t>
      </w:r>
      <w:r>
        <w:rPr>
          <w:color w:val="000000"/>
        </w:rPr>
        <w:t xml:space="preserve"> </w:t>
      </w:r>
      <w:r>
        <w:rPr>
          <w:rFonts w:ascii="Times New Roman;serif" w:hAnsi="Times New Roman;serif"/>
          <w:b w:val="false"/>
          <w:color w:val="000000"/>
          <w:sz w:val="20"/>
        </w:rPr>
        <w:t>(dollar amounts in millions):</w:t>
      </w:r>
    </w:p>
    <w:tbl>
      <w:tblPr>
        <w:tblW w:w="8072" w:type="dxa"/>
        <w:jc w:val="center"/>
        <w:tblInd w:w="0" w:type="dxa"/>
        <w:tblLayout w:type="fixed"/>
        <w:tblCellMar>
          <w:top w:w="28" w:type="dxa"/>
          <w:left w:w="28" w:type="dxa"/>
          <w:bottom w:w="28" w:type="dxa"/>
          <w:right w:w="28" w:type="dxa"/>
        </w:tblCellMar>
      </w:tblPr>
      <w:tblGrid>
        <w:gridCol w:w="529"/>
        <w:gridCol w:w="467"/>
        <w:gridCol w:w="474"/>
        <w:gridCol w:w="196"/>
        <w:gridCol w:w="421"/>
        <w:gridCol w:w="109"/>
        <w:gridCol w:w="109"/>
        <w:gridCol w:w="109"/>
        <w:gridCol w:w="109"/>
        <w:gridCol w:w="196"/>
        <w:gridCol w:w="421"/>
        <w:gridCol w:w="109"/>
        <w:gridCol w:w="109"/>
        <w:gridCol w:w="109"/>
        <w:gridCol w:w="109"/>
        <w:gridCol w:w="248"/>
        <w:gridCol w:w="248"/>
        <w:gridCol w:w="503"/>
        <w:gridCol w:w="109"/>
        <w:gridCol w:w="109"/>
        <w:gridCol w:w="109"/>
        <w:gridCol w:w="196"/>
        <w:gridCol w:w="421"/>
        <w:gridCol w:w="109"/>
        <w:gridCol w:w="109"/>
        <w:gridCol w:w="109"/>
        <w:gridCol w:w="109"/>
        <w:gridCol w:w="196"/>
        <w:gridCol w:w="421"/>
        <w:gridCol w:w="109"/>
        <w:gridCol w:w="109"/>
        <w:gridCol w:w="109"/>
        <w:gridCol w:w="109"/>
        <w:gridCol w:w="248"/>
        <w:gridCol w:w="248"/>
        <w:gridCol w:w="568"/>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jc w:val="left"/>
        <w:rPr/>
      </w:pPr>
      <w:r>
        <w:rPr>
          <w:rFonts w:ascii="Times New Roman;serif" w:hAnsi="Times New Roman;serif"/>
          <w:b w:val="false"/>
          <w:color w:val="000000"/>
          <w:sz w:val="20"/>
        </w:rPr>
        <w:t>Net sales in this segment by product line were as follows</w:t>
      </w:r>
      <w:r>
        <w:rPr>
          <w:color w:val="000000"/>
        </w:rPr>
        <w:t xml:space="preserve"> </w:t>
      </w:r>
      <w:r>
        <w:rPr>
          <w:rFonts w:ascii="Times New Roman;serif" w:hAnsi="Times New Roman;serif"/>
          <w:b w:val="false"/>
          <w:color w:val="000000"/>
          <w:sz w:val="20"/>
        </w:rPr>
        <w:t xml:space="preserve">(dollar amounts in millions): </w:t>
      </w:r>
    </w:p>
    <w:tbl>
      <w:tblPr>
        <w:tblW w:w="8569" w:type="dxa"/>
        <w:jc w:val="left"/>
        <w:tblInd w:w="0" w:type="dxa"/>
        <w:tblLayout w:type="fixed"/>
        <w:tblCellMar>
          <w:top w:w="28" w:type="dxa"/>
          <w:left w:w="28" w:type="dxa"/>
          <w:bottom w:w="28" w:type="dxa"/>
          <w:right w:w="28" w:type="dxa"/>
        </w:tblCellMar>
      </w:tblPr>
      <w:tblGrid>
        <w:gridCol w:w="739"/>
        <w:gridCol w:w="648"/>
        <w:gridCol w:w="652"/>
        <w:gridCol w:w="196"/>
        <w:gridCol w:w="436"/>
        <w:gridCol w:w="109"/>
        <w:gridCol w:w="109"/>
        <w:gridCol w:w="109"/>
        <w:gridCol w:w="109"/>
        <w:gridCol w:w="196"/>
        <w:gridCol w:w="436"/>
        <w:gridCol w:w="109"/>
        <w:gridCol w:w="109"/>
        <w:gridCol w:w="109"/>
        <w:gridCol w:w="109"/>
        <w:gridCol w:w="203"/>
        <w:gridCol w:w="203"/>
        <w:gridCol w:w="529"/>
        <w:gridCol w:w="109"/>
        <w:gridCol w:w="109"/>
        <w:gridCol w:w="109"/>
        <w:gridCol w:w="196"/>
        <w:gridCol w:w="436"/>
        <w:gridCol w:w="109"/>
        <w:gridCol w:w="109"/>
        <w:gridCol w:w="109"/>
        <w:gridCol w:w="109"/>
        <w:gridCol w:w="196"/>
        <w:gridCol w:w="436"/>
        <w:gridCol w:w="109"/>
        <w:gridCol w:w="109"/>
        <w:gridCol w:w="109"/>
        <w:gridCol w:w="109"/>
        <w:gridCol w:w="203"/>
        <w:gridCol w:w="203"/>
        <w:gridCol w:w="590"/>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Structural Solutions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OSB - Commodity</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Percent changes in average net sales prices and unit shipments in OSB for the three and six months ended June 30, 2026, compared to the corresponding periods in 2025, were as follows: </w:t>
      </w:r>
    </w:p>
    <w:tbl>
      <w:tblPr>
        <w:tblW w:w="7245" w:type="dxa"/>
        <w:jc w:val="left"/>
        <w:tblInd w:w="0" w:type="dxa"/>
        <w:tblLayout w:type="fixed"/>
        <w:tblCellMar>
          <w:top w:w="28" w:type="dxa"/>
          <w:left w:w="28" w:type="dxa"/>
          <w:bottom w:w="28" w:type="dxa"/>
          <w:right w:w="28" w:type="dxa"/>
        </w:tblCellMar>
      </w:tblPr>
      <w:tblGrid>
        <w:gridCol w:w="739"/>
        <w:gridCol w:w="648"/>
        <w:gridCol w:w="652"/>
        <w:gridCol w:w="231"/>
        <w:gridCol w:w="231"/>
        <w:gridCol w:w="544"/>
        <w:gridCol w:w="179"/>
        <w:gridCol w:w="179"/>
        <w:gridCol w:w="179"/>
        <w:gridCol w:w="203"/>
        <w:gridCol w:w="203"/>
        <w:gridCol w:w="464"/>
        <w:gridCol w:w="109"/>
        <w:gridCol w:w="109"/>
        <w:gridCol w:w="109"/>
        <w:gridCol w:w="231"/>
        <w:gridCol w:w="231"/>
        <w:gridCol w:w="544"/>
        <w:gridCol w:w="177"/>
        <w:gridCol w:w="177"/>
        <w:gridCol w:w="177"/>
        <w:gridCol w:w="203"/>
        <w:gridCol w:w="203"/>
        <w:gridCol w:w="52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br/>
              <w:t>June 30, 2026 versus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br/>
              <w:t>June 30, 2026 versus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Structural Solutions</w:t>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OSB - Commodity</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OSB net sales decreased year over year by $68 million and $167 million, respectively, primarily driven by lower OSB prices and a decline in sales volumes.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for the same periods decreased year over year by $40 million and $106 million, respectively, reflecting the impact of lower OSB prices and a decline in sales volumes.</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operations include our South American business that manufactures and distributes OSB structural panels and siding products in South America and certain export markets. Other operations also include timber and timberlands as well as other products, services, and closed operations, which do not qualify as discontinued operations. Additionally, Other includes unallocated corporate expenses.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net sales decreased by $3 million and $12 million, for the three and six months ended June 30, 2026, respectively, primarily due to a decline in OSB selling prices in South America. Adjusted EBITDA for the same periods decreased year over year by $12 million and $20 million, respectively, driven by a decline in South America net sales along with higher costs incurred in that market.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$80 million and $158 million for the three and six months ended June 30, 2026, respectively, compared to $79 million and $154 million for the corresponding periods in 2025. The year-over-year increase in selling, general, and administrative expenses was due to higher inflationary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recognized a total tax provision of $8 million and $17 million in the three and six months ended June 30, 2026, respectively, compared to $19 million and $45 million for the corresponding periods in 2025. Each quarter, the income tax accrual is updated based on the latest estimate, and any difference from the previously accrued year-to-date balance is recorded in the current quarter. For the six months ended June 30, 2026, the primary differences between the U.S. statutory rate of 21% and the total effective tax rate of 24% relate to foreign income tax and inflationary and foreign currency exchange-related adjustments. For the six months ended June 30, 2025, the primary differences between the U.S. statutory rate of 21% and the total effective tax rate of 24% relate to state income tax and inflationary and foreign currency exchange-related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Legal and Environmental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 discussion of legal and environmental matters involving us and the potential impact thereof on our financial position, results of operations, and cash flows, see Items 3, 7, and 8 in our 2025 Annual Report on Form 10-K and “Note 9. Commitments and Contingencies” of the Notes to the Condensed Consolidated Financial Statements included in “Item 1.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that long-term cash uses may also include strategic acquisitions. On a long-term basis, we expect to rely on our credit facilities in effect from time to time for any long-term funding not provided by operating cash flows. We may also, from time to time, issue and sell equity, debt, or hybrid securities or engage in other capital market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 fund our capital expenditures over at least the next 12 months through cash on hand, cash generated from operations, and available borrowing under our Amended Credit Facility, as necessary.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provided by operations was $102 million. During the same period in 2025, cash provided by operations was $226 million. The decrease in cash provided by operations was primarily related to lower net income and changes in working capital.</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cash used in investing activities was $120 million and $132 million, respectively, relating to capital expenditures.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Capital expenditures in 2026 are expected to be approximately $320 million. We expect to fund our short-term and long-term capital expenditures in 2026 through cash on hand, cash generated from operations, and available borrowing under our Amended Credit Facility, as necessary.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in financing activities was $47 million, which included $42 million of cash dividends paid and $5 million to repurchase stock from employees in connection with income tax withholding requirements associated with our employee stock-based compensation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cash used in financing activities was $105 million, which included $61 million for share repurchases of LP common stock under the 2024 Share Repurchase Program (as defined below). Additionally, we paid cash dividends of $39 million and used $3 million to repurchase stock from employees in connection with income tax withholding requirements associated with our employee stock-based compensation plans. In connection with other financing activities, we paid $2 million of debt issuance costs related to the amendment of our credit facility.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Credit Facility and Letter of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2022, LP entered into a Credit Agreement with American AgCredit, PCA, as administrative agent and sole lead arranger, CoBank, ACB, as letter of credit issuer, and certain other lender parties (the Credit Agreement), relating to its revolving credit facility. On March 26, 2025, LP entered into the First Amendment to Second Amended and Restated Credit Agreement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from $550 million to $750 million (the Amended Credit Facility), (2) increase the sub-limit for letters of credit from $60 million to $75 million, (3) change the interest rate for revolving borrowing, (4) change the capitalization ratio limit, and (5) extend the maturity date to March 26, 2032. As of June 30, 2026, there were no outstanding borrowings under the Amended Credit Facility.</w:t>
      </w:r>
    </w:p>
    <w:p>
      <w:pPr>
        <w:pStyle w:val="TextBody"/>
        <w:bidi w:val="0"/>
        <w:spacing w:lineRule="auto" w:line="288" w:before="120" w:after="120"/>
        <w:jc w:val="both"/>
        <w:rPr/>
      </w:pPr>
      <w:r>
        <w:rPr>
          <w:rFonts w:ascii="Times New Roman;serif" w:hAnsi="Times New Roman;serif"/>
          <w:b w:val="false"/>
          <w:color w:val="000000"/>
          <w:sz w:val="20"/>
        </w:rPr>
        <w:t>The Amended Credit Agreement contains various restrictive covenants and customary events of default, the occurrence of which could result in the acceleration of our obligation to repay the indebtedness outstanding thereunder. The Amended Credit Agreement also contains financial covenants that, among other things, require us and our consolidated subsidiaries to have, as of the end of each quarter, a capitalization ratio (</w:t>
      </w:r>
      <w:r>
        <w:rPr>
          <w:rFonts w:ascii="Times New Roman;serif" w:hAnsi="Times New Roman;serif"/>
          <w:b w:val="false"/>
          <w:i/>
          <w:color w:val="000000"/>
          <w:sz w:val="20"/>
        </w:rPr>
        <w:t>i.e.</w:t>
      </w:r>
      <w:r>
        <w:rPr>
          <w:rFonts w:ascii="Times New Roman;serif" w:hAnsi="Times New Roman;serif"/>
          <w:b w:val="false"/>
          <w:color w:val="000000"/>
          <w:sz w:val="20"/>
        </w:rPr>
        <w:t xml:space="preserve">, funded debt less unrestricted cash to total capitalization) of no more than 65%. As of June 30, 2026, we were in compliance with all financial covenants under the Amended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 As of June 30, 2026, we were in compliance with all covenants under the Letter of Credit Facility.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Liquidity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standby letters of credit of $15 million outstanding related to collateral for environmental impact on owned properties, a deposit for a forestry license, and insurance collateral, including workers’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Potential Impairments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fall to levels significantly below cycle-average demand and pricing, should we decide to invest capital in alternative projects, or should changes occur related to our wood supply for our mills, it is possible that future impairment charges will be required.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Potential changes to our strategic plans, including decisions regarding the continued use or disposition of specific assets, are also periodically evaluated, taking into account current and anticipated economic and industry conditions, and other relevant factors. Such decisions may require management to revise assumptions regarding expected future cash flows or estimated recoverable values. If revised estimates indicate that the carrying amount of an asset is not recoverable, impairment charges may be required.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was recognized during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exposed to fluctuations in foreign currency exchange rates, commodity prices and interest rates which could impact our results of operations and financial condition.</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Commodity Price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2025 Annual Report on Form 10-K. We historically have not entered into material commodity futures and swaps, but we may do so in the future.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could be exposed to market risk associated with changes in interest rates on our variable rate credit facility. As of June 30, 2026, there were no outstanding borrowings under our Amended Credit Facility. We do not currently have any derivative or hedging arrangements, or other known exposures, to changes in interest rates. There have been no material changes to the interest rate sensitivity analysis previously disclosed under the caption “Item 7A. Quantitative and Qualitative Disclosures about Market Risk”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color w:val="000000"/>
          <w:sz w:val="20"/>
        </w:rPr>
        <w:t>ITEM 4.</w:t>
      </w:r>
      <w:r>
        <w:rPr>
          <w:rFonts w:ascii="Times New Roman;serif" w:hAnsi="Times New Roman;serif"/>
          <w:b/>
          <w:color w:val="000000"/>
          <w:sz w:val="20"/>
        </w:rPr>
        <w:t xml:space="preserve">CONTROLS AND PROCEDURES </w:t>
      </w:r>
    </w:p>
    <w:p>
      <w:pPr>
        <w:pStyle w:val="TextBody"/>
        <w:bidi w:val="0"/>
        <w:spacing w:lineRule="auto" w:line="288" w:before="240" w:after="240"/>
        <w:jc w:val="both"/>
        <w:rPr>
          <w:rFonts w:ascii="Times New Roman;serif" w:hAnsi="Times New Roman;serif"/>
          <w:b/>
          <w:color w:val="000000"/>
          <w:sz w:val="20"/>
          <w:u w:val="single"/>
        </w:rPr>
      </w:pPr>
      <w:r>
        <w:rPr>
          <w:rFonts w:ascii="Times New Roman;serif" w:hAnsi="Times New Roman;serif"/>
          <w:b/>
          <w:color w:val="000000"/>
          <w:sz w:val="20"/>
          <w:u w:val="single"/>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June 30, 2026, LP’s disclosure controls and procedures were effective.</w:t>
      </w:r>
    </w:p>
    <w:p>
      <w:pPr>
        <w:pStyle w:val="TextBody"/>
        <w:bidi w:val="0"/>
        <w:spacing w:lineRule="auto" w:line="288" w:before="240" w:after="240"/>
        <w:jc w:val="both"/>
        <w:rPr/>
      </w:pPr>
      <w:r>
        <w:rPr>
          <w:rFonts w:ascii="Times New Roman;serif" w:hAnsi="Times New Roman;serif"/>
          <w:b/>
          <w:color w:val="000000"/>
          <w:sz w:val="20"/>
          <w:u w:val="single"/>
        </w:rPr>
        <w:t>Changes in Internal Control Over Financial Reporting</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most recently completed fiscal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of certain legal and environmental matters involving LP set forth in “Item 1. Financial Statements” of this quarterly report on Form 10-Q under “Note 9. Commitments and Contingencies” of the Notes to the Condensed Consolidated Financial Statements contained herein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an investor should carefully consider the factors discussed in Part I, “Item 1A. Risk Factors” of the Company’s 2025 Annual Report on Form 10-K. There have been no material changes to the risk factors previously disclosed under the caption “Item 1A. Risk Factors” in Part I of our 2025 Annual Report on Form 10-K.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risks described in our 2025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June 30, 2026. At June 30, 2026, we had an aggregate of $177 million of repurchase authorization remaining under the 2024 Share Repurchase Program. LP may initiate, discontinue, or resume purchases of its common stock under the 2024 Share Repurchase Program in the open market, in block, and in privately negotiated transactions, including under Rule 10b5-1 plans, at such times and in such amounts as management deems appropriate without prior notice, subject to market and business conditions, regulatory requirements,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Section 16 of the Exchange Act) adopted, modified or terminated a “Rule 10b5-1 trading arrangement” or a “non-Rule 10b5-1 trading arrangement” (each as defined in Item 408 of Regulation S-K)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2"/>
        <w:gridCol w:w="230"/>
        <w:gridCol w:w="232"/>
        <w:gridCol w:w="2814"/>
        <w:gridCol w:w="2752"/>
        <w:gridCol w:w="3905"/>
      </w:tblGrid>
      <w:tr>
        <w:trPr/>
        <w:tc>
          <w:tcPr>
            <w:tcW w:w="2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vAlign w:val="center"/>
          </w:tcPr>
          <w:p>
            <w:pPr>
              <w:pStyle w:val="TableContents"/>
              <w:bidi w:val="0"/>
              <w:spacing w:before="0" w:after="283"/>
              <w:jc w:val="left"/>
              <w:rPr>
                <w:sz w:val="4"/>
                <w:szCs w:val="4"/>
              </w:rPr>
            </w:pPr>
            <w:r>
              <w:rPr>
                <w:sz w:val="4"/>
                <w:szCs w:val="4"/>
              </w:rPr>
            </w:r>
          </w:p>
        </w:tc>
        <w:tc>
          <w:tcPr>
            <w:tcW w:w="9471" w:type="dxa"/>
            <w:gridSpan w:val="3"/>
            <w:tcBorders/>
            <w:vAlign w:val="center"/>
          </w:tcPr>
          <w:p>
            <w:pPr>
              <w:pStyle w:val="TableContents"/>
              <w:bidi w:val="0"/>
              <w:spacing w:before="0" w:after="283"/>
              <w:jc w:val="left"/>
              <w:rPr>
                <w:sz w:val="4"/>
                <w:szCs w:val="4"/>
              </w:rPr>
            </w:pPr>
            <w:r>
              <w:rPr>
                <w:sz w:val="4"/>
                <w:szCs w:val="4"/>
              </w:rPr>
            </w:r>
          </w:p>
        </w:tc>
      </w:tr>
      <w:tr>
        <w:trPr/>
        <w:tc>
          <w:tcPr>
            <w:tcW w:w="734" w:type="dxa"/>
            <w:gridSpan w:val="3"/>
            <w:tcBorders/>
            <w:vAlign w:val="center"/>
          </w:tcPr>
          <w:p>
            <w:pPr>
              <w:pStyle w:val="TableContents"/>
              <w:bidi w:val="0"/>
              <w:spacing w:before="0" w:after="283"/>
              <w:jc w:val="left"/>
              <w:rPr>
                <w:sz w:val="4"/>
                <w:szCs w:val="4"/>
              </w:rPr>
            </w:pPr>
            <w:r>
              <w:rPr>
                <w:sz w:val="4"/>
                <w:szCs w:val="4"/>
              </w:rPr>
            </w:r>
          </w:p>
        </w:tc>
        <w:tc>
          <w:tcPr>
            <w:tcW w:w="9471" w:type="dxa"/>
            <w:gridSpan w:val="3"/>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10-qexhibit311.htm">
              <w:r>
                <w:rPr>
                  <w:rStyle w:val="InternetLink"/>
                  <w:rFonts w:ascii="Times New Roman;serif" w:hAnsi="Times New Roman;serif"/>
                  <w:b w:val="false"/>
                  <w:color w:val="0E32E1"/>
                  <w:sz w:val="20"/>
                  <w:u w:val="single"/>
                </w:rPr>
                <w:t>31.1</w:t>
              </w:r>
            </w:hyperlink>
          </w:p>
        </w:tc>
        <w:tc>
          <w:tcPr>
            <w:tcW w:w="94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htm">
              <w:r>
                <w:rPr>
                  <w:rStyle w:val="InternetLink"/>
                  <w:rFonts w:ascii="Times New Roman;serif" w:hAnsi="Times New Roman;serif"/>
                  <w:b w:val="false"/>
                  <w:color w:val="0E32E1"/>
                  <w:sz w:val="20"/>
                  <w:u w:val="single"/>
                </w:rPr>
                <w:t>Certifications of Chief Executive Officer Pursuant to Rule 13a-14(a) under the Securities Exchange Act of 1934.</w:t>
              </w:r>
            </w:hyperlink>
            <w:r>
              <w:rPr>
                <w:color w:val="0E32E1"/>
              </w:rPr>
              <w:t xml:space="preserve"> </w:t>
            </w:r>
            <w:r>
              <w:rPr>
                <w:rFonts w:ascii="Times New Roman;serif" w:hAnsi="Times New Roman;serif"/>
                <w:b w:val="false"/>
                <w:color w:val="0E32E1"/>
                <w:sz w:val="20"/>
              </w:rPr>
              <w: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10-qexhibit312.htm">
              <w:r>
                <w:rPr>
                  <w:rStyle w:val="InternetLink"/>
                  <w:rFonts w:ascii="Times New Roman;serif" w:hAnsi="Times New Roman;serif"/>
                  <w:b w:val="false"/>
                  <w:color w:val="0E32E1"/>
                  <w:sz w:val="20"/>
                  <w:u w:val="single"/>
                </w:rPr>
                <w:t>31.2</w:t>
              </w:r>
            </w:hyperlink>
          </w:p>
        </w:tc>
        <w:tc>
          <w:tcPr>
            <w:tcW w:w="94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2.htm">
              <w:r>
                <w:rPr>
                  <w:rStyle w:val="InternetLink"/>
                  <w:rFonts w:ascii="Times New Roman;serif" w:hAnsi="Times New Roman;serif"/>
                  <w:b w:val="false"/>
                  <w:color w:val="0E32E1"/>
                  <w:sz w:val="20"/>
                  <w:u w:val="single"/>
                </w:rPr>
                <w:t xml:space="preserve">Certifications of Chief Financial Officer Pursuant to Rule 13a-14(a) under the Securities Exchange Act of 1934. </w:t>
              </w:r>
            </w:hyperlink>
            <w:r>
              <w:rPr>
                <w:rFonts w:ascii="Times New Roman;serif" w:hAnsi="Times New Roman;serif"/>
                <w:b w:val="false"/>
                <w:color w:val="0E32E1"/>
                <w:sz w:val="20"/>
              </w:rPr>
              <w: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10-qexhibit32.htm">
              <w:r>
                <w:rPr>
                  <w:rStyle w:val="InternetLink"/>
                  <w:rFonts w:ascii="Times New Roman;serif" w:hAnsi="Times New Roman;serif"/>
                  <w:b w:val="false"/>
                  <w:color w:val="0E32E1"/>
                  <w:sz w:val="20"/>
                  <w:u w:val="single"/>
                </w:rPr>
                <w:t>32</w:t>
              </w:r>
            </w:hyperlink>
          </w:p>
        </w:tc>
        <w:tc>
          <w:tcPr>
            <w:tcW w:w="94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htm">
              <w:r>
                <w:rPr>
                  <w:rStyle w:val="InternetLink"/>
                  <w:rFonts w:ascii="Times New Roman;serif" w:hAnsi="Times New Roman;serif"/>
                  <w:b w:val="false"/>
                  <w:color w:val="0E32E1"/>
                  <w:sz w:val="20"/>
                  <w:u w:val="single"/>
                </w:rPr>
                <w:t>Certifications pursuant to § 906 of the Sarbanes-Oxley Act of 2002.</w:t>
              </w:r>
            </w:hyperlink>
            <w:r>
              <w:rPr>
                <w:color w:val="0E32E1"/>
              </w:rPr>
              <w:t xml:space="preserve"> </w:t>
            </w:r>
            <w:r>
              <w:rPr>
                <w:rFonts w:ascii="Times New Roman;serif" w:hAnsi="Times New Roman;serif"/>
                <w:b w:val="false"/>
                <w:color w:val="0E32E1"/>
                <w:sz w:val="20"/>
              </w:rPr>
              <w: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 and contained in Exhibit 101)*</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on Form 10-Q to be signed on its behalf by the undersigned thereunto duly authorized.</w:t>
      </w:r>
    </w:p>
    <w:tbl>
      <w:tblPr>
        <w:tblW w:w="5729"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525"/>
        <w:gridCol w:w="525"/>
        <w:gridCol w:w="525"/>
        <w:gridCol w:w="657"/>
        <w:gridCol w:w="657"/>
        <w:gridCol w:w="9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Jason P. Ringblom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Jason P. Ringblom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Alan J.M. Haughie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Alan J.M. Haughie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Jason P. Ringblom,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Louisiana-Pacific Corporation;</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97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P. Ringblom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P. Ringblom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Alan J.M. Haughie,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Louisiana-Pacific Corporation;</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43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41"/>
        <w:gridCol w:w="741"/>
        <w:gridCol w:w="10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Alan J.M. Haughie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Alan J.M. Haughie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 Pursuant to 18 U.S.C. § 1350 as Adopted Pursuant to Section 906 of the Sarbanes-Oxley Act of 2002</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in connection with the Quarterly Report on Form 10-Q of Louisiana-Pacific Corporation (the “Company”) for the quarter ended June 30, 2026, as filed with the Securities and Exchange Commission on the date hereof (the “Report”), each of the undersigned officers of the Company certifies, that, to such officer’s knowledge:</w:t>
      </w:r>
    </w:p>
    <w:p>
      <w:pPr>
        <w:pStyle w:val="TextBody"/>
        <w:bidi w:val="0"/>
        <w:spacing w:lineRule="auto" w:line="288" w:before="0" w:after="6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6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the dates and for the periods expressed in the Report.</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2579" w:type="dxa"/>
        <w:jc w:val="right"/>
        <w:tblInd w:w="0" w:type="dxa"/>
        <w:tblLayout w:type="fixed"/>
        <w:tblCellMar>
          <w:top w:w="28" w:type="dxa"/>
          <w:left w:w="28" w:type="dxa"/>
          <w:bottom w:w="28" w:type="dxa"/>
          <w:right w:w="28" w:type="dxa"/>
        </w:tblCellMar>
      </w:tblPr>
      <w:tblGrid>
        <w:gridCol w:w="825"/>
        <w:gridCol w:w="726"/>
        <w:gridCol w:w="1028"/>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Ringblom</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Jason P. Ringblom</w:t>
              <w:br/>
              <w:t>Title: Chief Executive Officer</w:t>
            </w:r>
          </w:p>
        </w:tc>
      </w:tr>
    </w:tbl>
    <w:p>
      <w:pPr>
        <w:pStyle w:val="TextBody"/>
        <w:bidi w:val="0"/>
        <w:spacing w:lineRule="auto" w:line="288" w:before="0" w:after="0"/>
        <w:jc w:val="left"/>
        <w:rPr>
          <w:color w:val="000000"/>
        </w:rPr>
      </w:pPr>
      <w:r>
        <w:rPr>
          <w:color w:val="000000"/>
        </w:rPr>
        <w:t> </w:t>
      </w:r>
    </w:p>
    <w:tbl>
      <w:tblPr>
        <w:tblW w:w="4950" w:type="dxa"/>
        <w:jc w:val="right"/>
        <w:tblInd w:w="0" w:type="dxa"/>
        <w:tblLayout w:type="fixed"/>
        <w:tblCellMar>
          <w:top w:w="28" w:type="dxa"/>
          <w:left w:w="28" w:type="dxa"/>
          <w:bottom w:w="28" w:type="dxa"/>
          <w:right w:w="28" w:type="dxa"/>
        </w:tblCellMar>
      </w:tblPr>
      <w:tblGrid>
        <w:gridCol w:w="1584"/>
        <w:gridCol w:w="1393"/>
        <w:gridCol w:w="1973"/>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Alan J.M. Haughie</w:t>
            </w:r>
          </w:p>
        </w:tc>
      </w:tr>
      <w:tr>
        <w:trPr/>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Alan J.M. Haughie</w:t>
              <w:br/>
              <w:t>Title: Executive Vice President and 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Louisiana-Pacific Corporation and will be retained by Louisiana-Pacific Corporation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14226</Words>
  <Characters>78138</Characters>
  <CharactersWithSpaces>91225</CharactersWithSpaces>
  <Paragraphs>2177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