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8-K/A</w:t>
      </w:r>
    </w:p>
    <w:p>
      <w:pPr>
        <w:spacing w:after="0" w:line="185"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AMENDMENT NO. 1</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CURRENT REPORT</w:t>
      </w:r>
    </w:p>
    <w:p>
      <w:pPr>
        <w:spacing w:after="0" w:line="185"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PURSUANT TO SECTION 13 OR 15(D) OF</w:t>
      </w:r>
    </w:p>
    <w:p>
      <w:pPr>
        <w:spacing w:after="0" w:line="36"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57"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SEPTEMBER 14, 1999</w:t>
      </w:r>
    </w:p>
    <w:p>
      <w:pPr>
        <w:spacing w:after="0" w:line="185"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36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LOUISIANA-PACIFIC CORPORATION</w:t>
      </w:r>
    </w:p>
    <w:p>
      <w:pPr>
        <w:spacing w:after="0" w:line="185"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6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072" w:right="1440" w:bottom="1440" w:gutter="0" w:footer="0" w:header="0"/>
        </w:sectPr>
      </w:pPr>
    </w:p>
    <w:p>
      <w:pPr>
        <w:spacing w:after="0" w:line="185"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480"/>
        <w:spacing w:after="0"/>
        <w:rPr>
          <w:sz w:val="20"/>
          <w:szCs w:val="20"/>
          <w:color w:val="auto"/>
        </w:rPr>
      </w:pPr>
      <w:r>
        <w:rPr>
          <w:rFonts w:ascii="Courier New" w:cs="Courier New" w:eastAsia="Courier New" w:hAnsi="Courier New"/>
          <w:sz w:val="14"/>
          <w:szCs w:val="14"/>
          <w:color w:val="auto"/>
        </w:rPr>
        <w:t>1-7107</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660"/>
        <w:spacing w:after="0"/>
        <w:rPr>
          <w:sz w:val="20"/>
          <w:szCs w:val="20"/>
          <w:color w:val="auto"/>
        </w:rPr>
      </w:pPr>
      <w:r>
        <w:rPr>
          <w:rFonts w:ascii="Courier New" w:cs="Courier New" w:eastAsia="Courier New" w:hAnsi="Courier New"/>
          <w:sz w:val="15"/>
          <w:szCs w:val="15"/>
          <w:color w:val="auto"/>
        </w:rPr>
        <w:t>93-0609074</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85" w:lineRule="exact"/>
        <w:rPr>
          <w:sz w:val="24"/>
          <w:szCs w:val="24"/>
          <w:color w:val="auto"/>
        </w:rPr>
      </w:pPr>
    </w:p>
    <w:p>
      <w:pPr>
        <w:sectPr>
          <w:pgSz w:w="11900" w:h="16838" w:orient="portrait"/>
          <w:cols w:equalWidth="0" w:num="3">
            <w:col w:w="2880" w:space="720"/>
            <w:col w:w="1020" w:space="720"/>
            <w:col w:w="4879"/>
          </w:cols>
          <w:pgMar w:left="240" w:top="1072"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111 S.W. FIFTH AVENUE, PORTLAND, OREGON 97204</w:t>
      </w:r>
    </w:p>
    <w:p>
      <w:pPr>
        <w:spacing w:after="0" w:line="36"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57"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(503) 221-0800</w:t>
      </w:r>
    </w:p>
    <w:p>
      <w:pPr>
        <w:spacing w:after="0" w:line="36"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072" w:right="1440" w:bottom="1440" w:gutter="0" w:footer="0" w:header="0"/>
          <w:type w:val="continuous"/>
        </w:sectPr>
      </w:pPr>
    </w:p>
    <w:bookmarkStart w:id="1" w:name="page2"/>
    <w:bookmarkEnd w:id="1"/>
    <w:p>
      <w:pPr>
        <w:ind w:right="2939" w:firstLine="830"/>
        <w:spacing w:after="0" w:line="282" w:lineRule="auto"/>
        <w:rPr>
          <w:sz w:val="20"/>
          <w:szCs w:val="20"/>
          <w:color w:val="auto"/>
        </w:rPr>
      </w:pPr>
      <w:r>
        <w:rPr>
          <w:rFonts w:ascii="Courier New" w:cs="Courier New" w:eastAsia="Courier New" w:hAnsi="Courier New"/>
          <w:sz w:val="15"/>
          <w:szCs w:val="15"/>
          <w:color w:val="auto"/>
        </w:rPr>
        <w:t>Louisiana-Pacific Corporation ("Louisiana-Pacific") hereby amends Item 7 of, and the exhibits to, its Current Report on Form 8-K dated September 14, 1999. Exhibits 2.1, 2.2, 99.1, 99.2, 99.3 and 99.4 listed below were previously filed with Louisiana-Pacific's Current Report dated September 14, 1999 and are not being changed by this amendment.</w:t>
      </w:r>
    </w:p>
    <w:p>
      <w:pPr>
        <w:spacing w:after="0" w:line="6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7.</w:t>
        <w:tab/>
        <w:t>Financial Statements, Pro Forma Financial Information and Exhibits.</w:t>
      </w:r>
    </w:p>
    <w:p>
      <w:pPr>
        <w:spacing w:after="0" w:line="185" w:lineRule="exact"/>
        <w:rPr>
          <w:sz w:val="20"/>
          <w:szCs w:val="20"/>
          <w:color w:val="auto"/>
        </w:rPr>
      </w:pPr>
    </w:p>
    <w:p>
      <w:pPr>
        <w:ind w:left="1660" w:right="3219" w:hanging="835"/>
        <w:spacing w:after="0" w:line="314" w:lineRule="auto"/>
        <w:tabs>
          <w:tab w:leader="none" w:pos="16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 The financial statements and accountants' report required to be filed by Item 7(a) of Form 8-K are filed herewith as Exhibit 99.5.</w:t>
      </w:r>
    </w:p>
    <w:p>
      <w:pPr>
        <w:spacing w:after="0" w:line="42" w:lineRule="exact"/>
        <w:rPr>
          <w:rFonts w:ascii="Courier New" w:cs="Courier New" w:eastAsia="Courier New" w:hAnsi="Courier New"/>
          <w:sz w:val="15"/>
          <w:szCs w:val="15"/>
          <w:color w:val="auto"/>
        </w:rPr>
      </w:pPr>
    </w:p>
    <w:p>
      <w:pPr>
        <w:ind w:left="1660" w:right="3019" w:hanging="835"/>
        <w:spacing w:after="0" w:line="314" w:lineRule="auto"/>
        <w:tabs>
          <w:tab w:leader="none" w:pos="16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 The pro forma financial information required to be filed by Item 7(b) of Form 8-K is filed herewith as Exhibit 99.6.</w:t>
      </w:r>
    </w:p>
    <w:p>
      <w:pPr>
        <w:spacing w:after="0" w:line="42" w:lineRule="exact"/>
        <w:rPr>
          <w:rFonts w:ascii="Courier New" w:cs="Courier New" w:eastAsia="Courier New" w:hAnsi="Courier New"/>
          <w:sz w:val="15"/>
          <w:szCs w:val="15"/>
          <w:color w:val="auto"/>
        </w:rPr>
      </w:pPr>
    </w:p>
    <w:p>
      <w:pPr>
        <w:ind w:left="1660" w:right="3019" w:hanging="835"/>
        <w:spacing w:after="0" w:line="375" w:lineRule="auto"/>
        <w:tabs>
          <w:tab w:leader="none" w:pos="16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with this report, as amended:</w:t>
      </w:r>
    </w:p>
    <w:p>
      <w:pPr>
        <w:spacing w:after="0" w:line="1" w:lineRule="exact"/>
        <w:rPr>
          <w:sz w:val="20"/>
          <w:szCs w:val="20"/>
          <w:color w:val="auto"/>
        </w:rPr>
      </w:pPr>
    </w:p>
    <w:p>
      <w:pPr>
        <w:ind w:left="820" w:right="2939" w:hanging="829"/>
        <w:spacing w:after="0" w:line="293" w:lineRule="auto"/>
        <w:tabs>
          <w:tab w:leader="none" w:pos="8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Amended and Restated Support Agreement, dated August 12, 1999, between Louisiana-Pacific and Forex (incorporated herein by reference to Exhibit 2.1 to the Current Report on Form 8-K filed by Louisiana-Pacific on August 18, 1999).</w:t>
      </w:r>
    </w:p>
    <w:p>
      <w:pPr>
        <w:spacing w:after="0" w:line="57" w:lineRule="exact"/>
        <w:rPr>
          <w:sz w:val="20"/>
          <w:szCs w:val="20"/>
          <w:color w:val="auto"/>
        </w:rPr>
      </w:pPr>
    </w:p>
    <w:p>
      <w:pPr>
        <w:ind w:left="820" w:right="2839" w:hanging="829"/>
        <w:spacing w:after="0" w:line="293" w:lineRule="auto"/>
        <w:tabs>
          <w:tab w:leader="none" w:pos="8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Amended and Restated Lock-up Agreement, dated August 12, 1999, among Louisiana-Pacific and each of the parties identified in Schedule B thereof (incorporated herein by reference to Exhibit 2.2 to the Current Report on Form 8-K filed by Louisiana-Pacific on August 18, 1999).</w:t>
      </w:r>
    </w:p>
    <w:p>
      <w:pPr>
        <w:spacing w:after="0" w:line="5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KPMG LLP.</w:t>
      </w:r>
    </w:p>
    <w:p>
      <w:pPr>
        <w:spacing w:after="0" w:line="185" w:lineRule="exact"/>
        <w:rPr>
          <w:sz w:val="20"/>
          <w:szCs w:val="20"/>
          <w:color w:val="auto"/>
        </w:rPr>
      </w:pPr>
    </w:p>
    <w:p>
      <w:pPr>
        <w:ind w:left="820" w:right="3019" w:hanging="829"/>
        <w:spacing w:after="0" w:line="314" w:lineRule="auto"/>
        <w:tabs>
          <w:tab w:leader="none" w:pos="80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Circular Bid, dated August 16, 1999, of the Offeror (incorporated herein by reference to Exhibit 99.1 to the Current Report on Form 8-K filed by Louisiana-Pacific on August 18, 1999).</w:t>
      </w:r>
    </w:p>
    <w:p>
      <w:pPr>
        <w:spacing w:after="0" w:line="43" w:lineRule="exact"/>
        <w:rPr>
          <w:sz w:val="20"/>
          <w:szCs w:val="20"/>
          <w:color w:val="auto"/>
        </w:rPr>
      </w:pPr>
    </w:p>
    <w:p>
      <w:pPr>
        <w:ind w:left="820" w:right="2839" w:hanging="829"/>
        <w:spacing w:after="0" w:line="314" w:lineRule="auto"/>
        <w:tabs>
          <w:tab w:leader="none" w:pos="80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Letter Agreement, dated September 8, 1999, between the Offeror and Bank of America, N.A., together with related Guaranty Agreement by Louisiana-Pacific in favor of Bank of America, N.A. (previously filed).</w:t>
      </w:r>
    </w:p>
    <w:p>
      <w:pPr>
        <w:spacing w:after="0" w:line="43" w:lineRule="exact"/>
        <w:rPr>
          <w:sz w:val="20"/>
          <w:szCs w:val="20"/>
          <w:color w:val="auto"/>
        </w:rPr>
      </w:pPr>
    </w:p>
    <w:p>
      <w:pPr>
        <w:ind w:left="820" w:right="3019" w:hanging="829"/>
        <w:spacing w:after="0" w:line="293" w:lineRule="auto"/>
        <w:tabs>
          <w:tab w:leader="none" w:pos="80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Loan Agreement, dated September 10, 1999, between the Offeror and Centric Capital Corporation, together with related Guaranty of Louisiana-Pacific in favor of Centric Capital Corporation (previously filed).</w:t>
      </w:r>
    </w:p>
    <w:p>
      <w:pPr>
        <w:spacing w:after="0" w:line="57" w:lineRule="exact"/>
        <w:rPr>
          <w:sz w:val="20"/>
          <w:szCs w:val="20"/>
          <w:color w:val="auto"/>
        </w:rPr>
      </w:pPr>
    </w:p>
    <w:p>
      <w:pPr>
        <w:ind w:left="820" w:right="3399" w:hanging="829"/>
        <w:spacing w:after="0" w:line="375" w:lineRule="auto"/>
        <w:tabs>
          <w:tab w:leader="none" w:pos="800"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5"/>
          <w:szCs w:val="15"/>
          <w:color w:val="auto"/>
        </w:rPr>
        <w:t>Press release, dated August 24, 1999, issued by Louisiana-Pacific (previously filed).</w:t>
      </w:r>
    </w:p>
    <w:p>
      <w:pPr>
        <w:spacing w:after="0" w:line="1" w:lineRule="exact"/>
        <w:rPr>
          <w:sz w:val="20"/>
          <w:szCs w:val="20"/>
          <w:color w:val="auto"/>
        </w:rPr>
      </w:pPr>
    </w:p>
    <w:p>
      <w:pPr>
        <w:ind w:left="820" w:right="2939" w:hanging="829"/>
        <w:spacing w:after="0" w:line="282" w:lineRule="auto"/>
        <w:tabs>
          <w:tab w:leader="none" w:pos="800" w:val="left"/>
        </w:tabs>
        <w:rPr>
          <w:sz w:val="20"/>
          <w:szCs w:val="20"/>
          <w:color w:val="auto"/>
        </w:rPr>
      </w:pPr>
      <w:r>
        <w:rPr>
          <w:rFonts w:ascii="Courier New" w:cs="Courier New" w:eastAsia="Courier New" w:hAnsi="Courier New"/>
          <w:sz w:val="15"/>
          <w:szCs w:val="15"/>
          <w:color w:val="auto"/>
        </w:rPr>
        <w:t>99.5</w:t>
      </w:r>
      <w:r>
        <w:rPr>
          <w:sz w:val="20"/>
          <w:szCs w:val="20"/>
          <w:color w:val="auto"/>
        </w:rPr>
        <w:tab/>
      </w:r>
      <w:r>
        <w:rPr>
          <w:rFonts w:ascii="Courier New" w:cs="Courier New" w:eastAsia="Courier New" w:hAnsi="Courier New"/>
          <w:sz w:val="15"/>
          <w:szCs w:val="15"/>
          <w:color w:val="auto"/>
        </w:rPr>
        <w:t>Unaudited Financial Statements of Le Groupe Forex Inc. as at June 30, 1999 and for the six months ended June 30, 1999 and 1998; and Audited Financial Statements of Le Groupe Forex Inc. as at December 31, 1998 and 1997 and for the years ended December 31, 1998, 1997 and 1996 with Auditors' Report.</w:t>
      </w:r>
    </w:p>
    <w:p>
      <w:pPr>
        <w:spacing w:after="0" w:line="66" w:lineRule="exact"/>
        <w:rPr>
          <w:sz w:val="20"/>
          <w:szCs w:val="20"/>
          <w:color w:val="auto"/>
        </w:rPr>
      </w:pPr>
    </w:p>
    <w:p>
      <w:pPr>
        <w:ind w:left="820" w:right="2939" w:hanging="829"/>
        <w:spacing w:after="0" w:line="282" w:lineRule="auto"/>
        <w:tabs>
          <w:tab w:leader="none" w:pos="800" w:val="left"/>
        </w:tabs>
        <w:rPr>
          <w:sz w:val="20"/>
          <w:szCs w:val="20"/>
          <w:color w:val="auto"/>
        </w:rPr>
      </w:pPr>
      <w:r>
        <w:rPr>
          <w:rFonts w:ascii="Courier New" w:cs="Courier New" w:eastAsia="Courier New" w:hAnsi="Courier New"/>
          <w:sz w:val="15"/>
          <w:szCs w:val="15"/>
          <w:color w:val="auto"/>
        </w:rPr>
        <w:t>99.6</w:t>
      </w:r>
      <w:r>
        <w:rPr>
          <w:sz w:val="20"/>
          <w:szCs w:val="20"/>
          <w:color w:val="auto"/>
        </w:rPr>
        <w:tab/>
      </w:r>
      <w:r>
        <w:rPr>
          <w:rFonts w:ascii="Courier New" w:cs="Courier New" w:eastAsia="Courier New" w:hAnsi="Courier New"/>
          <w:sz w:val="15"/>
          <w:szCs w:val="15"/>
          <w:color w:val="auto"/>
        </w:rPr>
        <w:t>Unaudited Pro Forma Condensed Consolidated Balance Sheet of Louisiana-Pacific Corporation as of June 30, 1999; and Unaudited Pro Forma Condensed Consolidated Statements of Income of Louisiana-Pacific Corporation for the six months ended June 30, 1999 and for the year ended December 31, 1998.</w:t>
      </w:r>
    </w:p>
    <w:p>
      <w:pPr>
        <w:sectPr>
          <w:pgSz w:w="11900" w:h="16838" w:orient="portrait"/>
          <w:cols w:equalWidth="0" w:num="1">
            <w:col w:w="10219"/>
          </w:cols>
          <w:pgMar w:left="240" w:top="800" w:right="1440" w:bottom="1440" w:gutter="0" w:footer="0" w:header="0"/>
        </w:sectPr>
      </w:pPr>
    </w:p>
    <w:bookmarkStart w:id="2" w:name="page3"/>
    <w:bookmarkEnd w:id="2"/>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right="3119" w:firstLine="830"/>
        <w:spacing w:after="0" w:line="31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4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LOUISIANA-PACIFIC CORPORATION</w:t>
      </w:r>
    </w:p>
    <w:p>
      <w:pPr>
        <w:spacing w:after="0" w:line="18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By: /s/ Gary C. Wilkerson</w:t>
      </w:r>
    </w:p>
    <w:p>
      <w:pPr>
        <w:spacing w:after="0" w:line="36"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Gary C. Wilkerson</w:t>
      </w:r>
    </w:p>
    <w:p>
      <w:pPr>
        <w:spacing w:after="0" w:line="157"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Vice President and General Counsel</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November 29, 1999</w:t>
      </w:r>
    </w:p>
    <w:p>
      <w:pPr>
        <w:sectPr>
          <w:pgSz w:w="11900" w:h="16838" w:orient="portrait"/>
          <w:cols w:equalWidth="0" w:num="1">
            <w:col w:w="10219"/>
          </w:cols>
          <w:pgMar w:left="240" w:top="800" w:right="1440" w:bottom="1440" w:gutter="0" w:footer="0" w:header="0"/>
        </w:sectPr>
      </w:pPr>
    </w:p>
    <w:bookmarkStart w:id="3" w:name="page4"/>
    <w:bookmarkEnd w:id="3"/>
    <w:p>
      <w:pPr>
        <w:jc w:val="right"/>
        <w:ind w:right="2839"/>
        <w:spacing w:after="0"/>
        <w:rPr>
          <w:sz w:val="20"/>
          <w:szCs w:val="20"/>
          <w:color w:val="auto"/>
        </w:rPr>
      </w:pPr>
      <w:r>
        <w:rPr>
          <w:rFonts w:ascii="Courier New" w:cs="Courier New" w:eastAsia="Courier New" w:hAnsi="Courier New"/>
          <w:sz w:val="15"/>
          <w:szCs w:val="15"/>
          <w:color w:val="auto"/>
        </w:rPr>
        <w:t>EXHIBIT 23.1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5" w:lineRule="exact"/>
        <w:rPr>
          <w:sz w:val="20"/>
          <w:szCs w:val="20"/>
          <w:color w:val="auto"/>
        </w:rPr>
      </w:pPr>
    </w:p>
    <w:p>
      <w:pPr>
        <w:ind w:right="2939" w:firstLine="830"/>
        <w:spacing w:after="0" w:line="276"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2-97014, 33-42276, 33-62944, 333-10987, 333-53695, 333-53715, 333-73157, 333-87771, 333-87775, and 333-87803 of Louisiana-Pacific Corporation of our report dated January 29, 1999, with respect to the financial statements of Le Groupe Forex Inc. appearing in this Current Report on Form 8-K of Louisiana-Pacific Corporation dated September 14, 1999, as amended.</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Val-d'Or, Quebec</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29, 1999</w:t>
      </w:r>
    </w:p>
    <w:p>
      <w:pPr>
        <w:sectPr>
          <w:pgSz w:w="11900" w:h="16838" w:orient="portrait"/>
          <w:cols w:equalWidth="0" w:num="1">
            <w:col w:w="10219"/>
          </w:cols>
          <w:pgMar w:left="240" w:top="977" w:right="1440" w:bottom="1440" w:gutter="0" w:footer="0" w:header="0"/>
        </w:sectPr>
      </w:pPr>
    </w:p>
    <w:bookmarkStart w:id="4" w:name="page5"/>
    <w:bookmarkEnd w:id="4"/>
    <w:p>
      <w:pPr>
        <w:jc w:val="right"/>
        <w:ind w:right="2839"/>
        <w:spacing w:after="0"/>
        <w:rPr>
          <w:sz w:val="20"/>
          <w:szCs w:val="20"/>
          <w:color w:val="auto"/>
        </w:rPr>
      </w:pPr>
      <w:r>
        <w:rPr>
          <w:rFonts w:ascii="Courier New" w:cs="Courier New" w:eastAsia="Courier New" w:hAnsi="Courier New"/>
          <w:sz w:val="15"/>
          <w:szCs w:val="15"/>
          <w:color w:val="auto"/>
        </w:rPr>
        <w:t>EXHIBIT 99.5</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Unaudited Consolidated Financial Statements of</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360" w:right="2939"/>
        <w:spacing w:after="0" w:line="377" w:lineRule="auto"/>
        <w:rPr>
          <w:sz w:val="20"/>
          <w:szCs w:val="20"/>
          <w:color w:val="auto"/>
        </w:rPr>
      </w:pPr>
      <w:r>
        <w:rPr>
          <w:rFonts w:ascii="Courier New" w:cs="Courier New" w:eastAsia="Courier New" w:hAnsi="Courier New"/>
          <w:sz w:val="15"/>
          <w:szCs w:val="15"/>
          <w:color w:val="auto"/>
        </w:rPr>
        <w:t>As at June 30, 1999 and for the six months ended June 30, 1999 and 1998</w:t>
      </w:r>
    </w:p>
    <w:p>
      <w:pPr>
        <w:sectPr>
          <w:pgSz w:w="11900" w:h="16838" w:orient="portrait"/>
          <w:cols w:equalWidth="0" w:num="1">
            <w:col w:w="9019"/>
          </w:cols>
          <w:pgMar w:left="1440" w:top="800" w:right="1440" w:bottom="1440" w:gutter="0" w:footer="0" w:header="0"/>
        </w:sectPr>
      </w:pPr>
    </w:p>
    <w:bookmarkStart w:id="5" w:name="page6"/>
    <w:bookmarkEnd w:id="5"/>
    <w:p>
      <w:pPr>
        <w:ind w:left="2680"/>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CONSOLIDATED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BALANCE SHEET</w:t>
      </w:r>
    </w:p>
    <w:p>
      <w:pPr>
        <w:spacing w:after="0" w:line="15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UNAUDITED, PREPARED IN ACCORDANCE WITH GENERALLY</w:t>
      </w:r>
    </w:p>
    <w:p>
      <w:pPr>
        <w:spacing w:after="0" w:line="3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ACCEPTED ACCOUNTING PRINCIPLES IN CANADA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 THOUSANDS OF CANADIAN DOLLARS)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AS AT JUNE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55"/>
        </w:trPr>
        <w:tc>
          <w:tcPr>
            <w:tcW w:w="414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24"/>
                <w:szCs w:val="24"/>
                <w:color w:val="auto"/>
              </w:rPr>
            </w:pPr>
          </w:p>
        </w:tc>
      </w:tr>
    </w:tbl>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8,423</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Cash</w:t>
            </w:r>
          </w:p>
        </w:tc>
        <w:tc>
          <w:tcPr>
            <w:tcW w:w="4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Short-Term Investments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90,051</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Accounts receivable</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33,515</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Income taxes receivable</w:t>
            </w:r>
          </w:p>
        </w:tc>
        <w:tc>
          <w:tcPr>
            <w:tcW w:w="40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Inventories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39,359</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Prepaid expenses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2,980</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660" w:type="dxa"/>
            <w:vAlign w:val="bottom"/>
          </w:tcPr>
          <w:p>
            <w:pPr>
              <w:spacing w:after="0"/>
              <w:rPr>
                <w:sz w:val="22"/>
                <w:szCs w:val="22"/>
                <w:color w:val="auto"/>
              </w:rPr>
            </w:pP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$ 174,328</w:t>
            </w:r>
          </w:p>
        </w:tc>
        <w:tc>
          <w:tcPr>
            <w:tcW w:w="0" w:type="dxa"/>
            <w:vAlign w:val="bottom"/>
          </w:tcPr>
          <w:p>
            <w:pPr>
              <w:spacing w:after="0"/>
              <w:rPr>
                <w:sz w:val="1"/>
                <w:szCs w:val="1"/>
                <w:color w:val="auto"/>
              </w:rPr>
            </w:pPr>
          </w:p>
        </w:tc>
      </w:tr>
      <w:tr>
        <w:trPr>
          <w:trHeight w:val="2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2,224</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297,206</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10,137</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$ 483,895</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660" w:type="dxa"/>
            <w:vAlign w:val="bottom"/>
          </w:tcPr>
          <w:p>
            <w:pPr>
              <w:spacing w:after="0"/>
              <w:rPr>
                <w:sz w:val="22"/>
                <w:szCs w:val="22"/>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0" w:type="dxa"/>
            <w:vAlign w:val="bottom"/>
            <w:vMerge w:val="restart"/>
          </w:tcPr>
          <w:p>
            <w:pPr>
              <w:jc w:val="right"/>
              <w:ind w:right="92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Bank indebtedness</w:t>
            </w:r>
          </w:p>
        </w:tc>
        <w:tc>
          <w:tcPr>
            <w:tcW w:w="4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Accounts payable and accrued</w:t>
            </w:r>
          </w:p>
        </w:tc>
        <w:tc>
          <w:tcPr>
            <w:tcW w:w="400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33,158</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liabilities</w:t>
            </w:r>
          </w:p>
        </w:tc>
        <w:tc>
          <w:tcPr>
            <w:tcW w:w="4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Income taxes payable</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10,519</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Current portion of long-term debt</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8,612</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660" w:type="dxa"/>
            <w:vAlign w:val="bottom"/>
          </w:tcPr>
          <w:p>
            <w:pPr>
              <w:spacing w:after="0"/>
              <w:rPr>
                <w:sz w:val="22"/>
                <w:szCs w:val="22"/>
                <w:color w:val="auto"/>
              </w:rPr>
            </w:pP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$ 52,289</w:t>
            </w:r>
          </w:p>
        </w:tc>
        <w:tc>
          <w:tcPr>
            <w:tcW w:w="0" w:type="dxa"/>
            <w:vAlign w:val="bottom"/>
          </w:tcPr>
          <w:p>
            <w:pPr>
              <w:spacing w:after="0"/>
              <w:rPr>
                <w:sz w:val="1"/>
                <w:szCs w:val="1"/>
                <w:color w:val="auto"/>
              </w:rPr>
            </w:pPr>
          </w:p>
        </w:tc>
      </w:tr>
      <w:tr>
        <w:trPr>
          <w:trHeight w:val="2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196,903</w:t>
            </w:r>
          </w:p>
        </w:tc>
        <w:tc>
          <w:tcPr>
            <w:tcW w:w="0" w:type="dxa"/>
            <w:vAlign w:val="bottom"/>
          </w:tcPr>
          <w:p>
            <w:pPr>
              <w:spacing w:after="0"/>
              <w:rPr>
                <w:sz w:val="1"/>
                <w:szCs w:val="1"/>
                <w:color w:val="auto"/>
              </w:rPr>
            </w:pPr>
          </w:p>
        </w:tc>
      </w:tr>
      <w:tr>
        <w:trPr>
          <w:trHeight w:val="260"/>
        </w:trPr>
        <w:tc>
          <w:tcPr>
            <w:tcW w:w="46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43,746</w:t>
            </w:r>
          </w:p>
        </w:tc>
        <w:tc>
          <w:tcPr>
            <w:tcW w:w="0" w:type="dxa"/>
            <w:vAlign w:val="bottom"/>
          </w:tcPr>
          <w:p>
            <w:pPr>
              <w:spacing w:after="0"/>
              <w:rPr>
                <w:sz w:val="1"/>
                <w:szCs w:val="1"/>
                <w:color w:val="auto"/>
              </w:rPr>
            </w:pPr>
          </w:p>
        </w:tc>
      </w:tr>
      <w:tr>
        <w:trPr>
          <w:trHeight w:val="2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400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14,983</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Convertible debentures</w:t>
            </w:r>
          </w:p>
        </w:tc>
        <w:tc>
          <w:tcPr>
            <w:tcW w:w="4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Capital stock</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17,805</w:t>
            </w:r>
          </w:p>
        </w:tc>
        <w:tc>
          <w:tcPr>
            <w:tcW w:w="0" w:type="dxa"/>
            <w:vAlign w:val="bottom"/>
          </w:tcPr>
          <w:p>
            <w:pPr>
              <w:spacing w:after="0"/>
              <w:rPr>
                <w:sz w:val="1"/>
                <w:szCs w:val="1"/>
                <w:color w:val="auto"/>
              </w:rPr>
            </w:pPr>
          </w:p>
        </w:tc>
      </w:tr>
      <w:tr>
        <w:trPr>
          <w:trHeight w:val="177"/>
        </w:trPr>
        <w:tc>
          <w:tcPr>
            <w:tcW w:w="4660" w:type="dxa"/>
            <w:vAlign w:val="bottom"/>
          </w:tcPr>
          <w:p>
            <w:pPr>
              <w:ind w:left="1100"/>
              <w:spacing w:after="0"/>
              <w:rPr>
                <w:sz w:val="20"/>
                <w:szCs w:val="20"/>
                <w:color w:val="auto"/>
              </w:rPr>
            </w:pPr>
            <w:r>
              <w:rPr>
                <w:rFonts w:ascii="Courier New" w:cs="Courier New" w:eastAsia="Courier New" w:hAnsi="Courier New"/>
                <w:sz w:val="15"/>
                <w:szCs w:val="15"/>
                <w:color w:val="auto"/>
              </w:rPr>
              <w:t>Retained earnings</w:t>
            </w: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158,169</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660" w:type="dxa"/>
            <w:vAlign w:val="bottom"/>
          </w:tcPr>
          <w:p>
            <w:pPr>
              <w:spacing w:after="0"/>
              <w:rPr>
                <w:sz w:val="22"/>
                <w:szCs w:val="22"/>
                <w:color w:val="auto"/>
              </w:rPr>
            </w:pP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$ 190,957</w:t>
            </w:r>
          </w:p>
        </w:tc>
        <w:tc>
          <w:tcPr>
            <w:tcW w:w="0" w:type="dxa"/>
            <w:vAlign w:val="bottom"/>
          </w:tcPr>
          <w:p>
            <w:pPr>
              <w:spacing w:after="0"/>
              <w:rPr>
                <w:sz w:val="1"/>
                <w:szCs w:val="1"/>
                <w:color w:val="auto"/>
              </w:rPr>
            </w:pPr>
          </w:p>
        </w:tc>
      </w:tr>
      <w:tr>
        <w:trPr>
          <w:trHeight w:val="272"/>
        </w:trPr>
        <w:tc>
          <w:tcPr>
            <w:tcW w:w="4660" w:type="dxa"/>
            <w:vAlign w:val="bottom"/>
          </w:tcPr>
          <w:p>
            <w:pPr>
              <w:spacing w:after="0"/>
              <w:rPr>
                <w:sz w:val="23"/>
                <w:szCs w:val="23"/>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660" w:type="dxa"/>
            <w:vAlign w:val="bottom"/>
          </w:tcPr>
          <w:p>
            <w:pPr>
              <w:spacing w:after="0"/>
              <w:rPr>
                <w:sz w:val="22"/>
                <w:szCs w:val="22"/>
                <w:color w:val="auto"/>
              </w:rPr>
            </w:pPr>
          </w:p>
        </w:tc>
        <w:tc>
          <w:tcPr>
            <w:tcW w:w="40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$ 483,895</w:t>
            </w:r>
          </w:p>
        </w:tc>
        <w:tc>
          <w:tcPr>
            <w:tcW w:w="0" w:type="dxa"/>
            <w:vAlign w:val="bottom"/>
          </w:tcPr>
          <w:p>
            <w:pPr>
              <w:spacing w:after="0"/>
              <w:rPr>
                <w:sz w:val="1"/>
                <w:szCs w:val="1"/>
                <w:color w:val="auto"/>
              </w:rPr>
            </w:pPr>
          </w:p>
        </w:tc>
      </w:tr>
      <w:tr>
        <w:trPr>
          <w:trHeight w:val="272"/>
        </w:trPr>
        <w:tc>
          <w:tcPr>
            <w:tcW w:w="4660" w:type="dxa"/>
            <w:vAlign w:val="bottom"/>
          </w:tcPr>
          <w:p>
            <w:pPr>
              <w:spacing w:after="0"/>
              <w:rPr>
                <w:sz w:val="23"/>
                <w:szCs w:val="23"/>
                <w:color w:val="auto"/>
              </w:rPr>
            </w:pPr>
          </w:p>
        </w:tc>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0"/>
        </w:trPr>
        <w:tc>
          <w:tcPr>
            <w:tcW w:w="4660" w:type="dxa"/>
            <w:vAlign w:val="bottom"/>
          </w:tcPr>
          <w:p>
            <w:pPr>
              <w:spacing w:after="0" w:line="20" w:lineRule="exact"/>
              <w:rPr>
                <w:sz w:val="1"/>
                <w:szCs w:val="1"/>
                <w:color w:val="auto"/>
              </w:rPr>
            </w:pPr>
          </w:p>
        </w:tc>
        <w:tc>
          <w:tcPr>
            <w:tcW w:w="4000" w:type="dxa"/>
            <w:vAlign w:val="bottom"/>
          </w:tcPr>
          <w:p>
            <w:pPr>
              <w:jc w:val="right"/>
              <w:spacing w:after="0" w:line="150"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62" w:lineRule="exact"/>
        <w:rPr>
          <w:sz w:val="20"/>
          <w:szCs w:val="20"/>
          <w:color w:val="auto"/>
        </w:rPr>
      </w:pPr>
    </w:p>
    <w:p>
      <w:pPr>
        <w:spacing w:after="0"/>
        <w:tabs>
          <w:tab w:leader="none" w:pos="7180" w:val="left"/>
        </w:tabs>
        <w:rPr>
          <w:sz w:val="20"/>
          <w:szCs w:val="20"/>
          <w:color w:val="auto"/>
        </w:rPr>
      </w:pPr>
      <w:r>
        <w:rPr>
          <w:rFonts w:ascii="Courier New" w:cs="Courier New" w:eastAsia="Courier New" w:hAnsi="Courier New"/>
          <w:sz w:val="15"/>
          <w:szCs w:val="15"/>
          <w:color w:val="auto"/>
        </w:rPr>
        <w:t>WORKING CAPITAL</w:t>
      </w:r>
      <w:r>
        <w:rPr>
          <w:sz w:val="20"/>
          <w:szCs w:val="20"/>
          <w:color w:val="auto"/>
        </w:rPr>
        <w:tab/>
      </w:r>
      <w:r>
        <w:rPr>
          <w:rFonts w:ascii="Courier New" w:cs="Courier New" w:eastAsia="Courier New" w:hAnsi="Courier New"/>
          <w:sz w:val="15"/>
          <w:szCs w:val="15"/>
          <w:color w:val="auto"/>
        </w:rPr>
        <w:t>$ 122,039</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800" w:right="1440" w:bottom="1440" w:gutter="0" w:footer="0" w:header="0"/>
        </w:sectPr>
      </w:pPr>
    </w:p>
    <w:bookmarkStart w:id="6" w:name="page7"/>
    <w:bookmarkEnd w:id="6"/>
    <w:p>
      <w:pPr>
        <w:ind w:left="2685"/>
        <w:spacing w:after="0"/>
        <w:rPr>
          <w:sz w:val="20"/>
          <w:szCs w:val="20"/>
          <w:color w:val="auto"/>
        </w:rPr>
      </w:pPr>
      <w:r>
        <w:rPr>
          <w:rFonts w:ascii="Courier New" w:cs="Courier New" w:eastAsia="Courier New" w:hAnsi="Courier New"/>
          <w:sz w:val="15"/>
          <w:szCs w:val="15"/>
          <w:color w:val="auto"/>
        </w:rPr>
        <w:t>LE GROUP FOREX INC.</w:t>
      </w:r>
    </w:p>
    <w:p>
      <w:pPr>
        <w:spacing w:after="0" w:line="36"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CONSOLIDATED STATEMENT</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OF EARNINGS</w:t>
      </w:r>
    </w:p>
    <w:p>
      <w:pPr>
        <w:spacing w:after="0" w:line="157"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UNAUDITED, PREPARED IN ACCORDANCE WITH GENERALLY</w:t>
      </w:r>
    </w:p>
    <w:p>
      <w:pPr>
        <w:spacing w:after="0" w:line="36"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ACCEPTED ACCOUNTING PRINCIPLES IN CANADA</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(IN THOUSANDS OF CANADIAN DOLLARS, EXCEPT AMOUNTS</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PER SHARE)</w:t>
      </w:r>
    </w:p>
    <w:p>
      <w:pPr>
        <w:spacing w:after="0" w:line="200" w:lineRule="exact"/>
        <w:rPr>
          <w:sz w:val="20"/>
          <w:szCs w:val="20"/>
          <w:color w:val="auto"/>
        </w:rPr>
      </w:pPr>
    </w:p>
    <w:p>
      <w:pPr>
        <w:spacing w:after="0" w:line="31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3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SIX MONTHS ENDED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37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JUNE 30</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60"/>
        </w:trPr>
        <w:tc>
          <w:tcPr>
            <w:tcW w:w="2900" w:type="dxa"/>
            <w:vAlign w:val="bottom"/>
          </w:tcPr>
          <w:p>
            <w:pPr>
              <w:spacing w:after="0"/>
              <w:rPr>
                <w:sz w:val="22"/>
                <w:szCs w:val="22"/>
                <w:color w:val="auto"/>
              </w:rPr>
            </w:pPr>
          </w:p>
        </w:tc>
        <w:tc>
          <w:tcPr>
            <w:tcW w:w="3780" w:type="dxa"/>
            <w:vAlign w:val="bottom"/>
          </w:tcPr>
          <w:p>
            <w:pPr>
              <w:jc w:val="right"/>
              <w:ind w:right="1063"/>
              <w:spacing w:after="0"/>
              <w:rPr>
                <w:sz w:val="20"/>
                <w:szCs w:val="20"/>
                <w:color w:val="auto"/>
              </w:rPr>
            </w:pPr>
            <w:r>
              <w:rPr>
                <w:rFonts w:ascii="Courier New" w:cs="Courier New" w:eastAsia="Courier New" w:hAnsi="Courier New"/>
                <w:sz w:val="15"/>
                <w:szCs w:val="15"/>
                <w:color w:val="auto"/>
              </w:rPr>
              <w:t>1999</w:t>
            </w: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Sales</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204,548</w:t>
            </w: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87,870</w:t>
            </w:r>
          </w:p>
        </w:tc>
        <w:tc>
          <w:tcPr>
            <w:tcW w:w="0" w:type="dxa"/>
            <w:vAlign w:val="bottom"/>
          </w:tcPr>
          <w:p>
            <w:pPr>
              <w:spacing w:after="0"/>
              <w:rPr>
                <w:sz w:val="1"/>
                <w:szCs w:val="1"/>
                <w:color w:val="auto"/>
              </w:rPr>
            </w:pPr>
          </w:p>
        </w:tc>
      </w:tr>
      <w:tr>
        <w:trPr>
          <w:trHeight w:val="177"/>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Interest</w:t>
            </w:r>
          </w:p>
        </w:tc>
        <w:tc>
          <w:tcPr>
            <w:tcW w:w="880" w:type="dxa"/>
            <w:vAlign w:val="bottom"/>
          </w:tcPr>
          <w:p>
            <w:pPr>
              <w:spacing w:after="0"/>
              <w:rPr>
                <w:sz w:val="15"/>
                <w:szCs w:val="15"/>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1,348</w:t>
            </w:r>
          </w:p>
        </w:tc>
        <w:tc>
          <w:tcPr>
            <w:tcW w:w="60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442</w:t>
            </w: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205,896</w:t>
            </w:r>
          </w:p>
        </w:tc>
        <w:tc>
          <w:tcPr>
            <w:tcW w:w="600" w:type="dxa"/>
            <w:vAlign w:val="bottom"/>
          </w:tcPr>
          <w:p>
            <w:pPr>
              <w:spacing w:after="0"/>
              <w:rPr>
                <w:sz w:val="22"/>
                <w:szCs w:val="22"/>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88,312</w:t>
            </w:r>
          </w:p>
        </w:tc>
        <w:tc>
          <w:tcPr>
            <w:tcW w:w="0" w:type="dxa"/>
            <w:vAlign w:val="bottom"/>
          </w:tcPr>
          <w:p>
            <w:pPr>
              <w:spacing w:after="0"/>
              <w:rPr>
                <w:sz w:val="1"/>
                <w:szCs w:val="1"/>
                <w:color w:val="auto"/>
              </w:rPr>
            </w:pP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Cost of goods sold</w:t>
            </w:r>
          </w:p>
        </w:tc>
        <w:tc>
          <w:tcPr>
            <w:tcW w:w="880" w:type="dxa"/>
            <w:vAlign w:val="bottom"/>
          </w:tcPr>
          <w:p>
            <w:pPr>
              <w:spacing w:after="0"/>
              <w:rPr>
                <w:sz w:val="23"/>
                <w:szCs w:val="23"/>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111,981</w:t>
            </w:r>
          </w:p>
        </w:tc>
        <w:tc>
          <w:tcPr>
            <w:tcW w:w="60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67,354</w:t>
            </w:r>
          </w:p>
        </w:tc>
        <w:tc>
          <w:tcPr>
            <w:tcW w:w="0" w:type="dxa"/>
            <w:vAlign w:val="bottom"/>
          </w:tcPr>
          <w:p>
            <w:pPr>
              <w:spacing w:after="0"/>
              <w:rPr>
                <w:sz w:val="1"/>
                <w:szCs w:val="1"/>
                <w:color w:val="auto"/>
              </w:rPr>
            </w:pPr>
          </w:p>
        </w:tc>
      </w:tr>
      <w:tr>
        <w:trPr>
          <w:trHeight w:val="177"/>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Selling and administrative expenses</w:t>
            </w:r>
          </w:p>
        </w:tc>
        <w:tc>
          <w:tcPr>
            <w:tcW w:w="880" w:type="dxa"/>
            <w:vAlign w:val="bottom"/>
          </w:tcPr>
          <w:p>
            <w:pPr>
              <w:spacing w:after="0"/>
              <w:rPr>
                <w:sz w:val="15"/>
                <w:szCs w:val="15"/>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6,257</w:t>
            </w:r>
          </w:p>
        </w:tc>
        <w:tc>
          <w:tcPr>
            <w:tcW w:w="60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5,338</w:t>
            </w:r>
          </w:p>
        </w:tc>
        <w:tc>
          <w:tcPr>
            <w:tcW w:w="0" w:type="dxa"/>
            <w:vAlign w:val="bottom"/>
          </w:tcPr>
          <w:p>
            <w:pPr>
              <w:spacing w:after="0"/>
              <w:rPr>
                <w:sz w:val="1"/>
                <w:szCs w:val="1"/>
                <w:color w:val="auto"/>
              </w:rPr>
            </w:pPr>
          </w:p>
        </w:tc>
      </w:tr>
      <w:tr>
        <w:trPr>
          <w:trHeight w:val="177"/>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Financial expenses</w:t>
            </w:r>
          </w:p>
        </w:tc>
        <w:tc>
          <w:tcPr>
            <w:tcW w:w="880" w:type="dxa"/>
            <w:vAlign w:val="bottom"/>
          </w:tcPr>
          <w:p>
            <w:pPr>
              <w:spacing w:after="0"/>
              <w:rPr>
                <w:sz w:val="15"/>
                <w:szCs w:val="15"/>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8,437</w:t>
            </w:r>
          </w:p>
        </w:tc>
        <w:tc>
          <w:tcPr>
            <w:tcW w:w="60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6,233</w:t>
            </w:r>
          </w:p>
        </w:tc>
        <w:tc>
          <w:tcPr>
            <w:tcW w:w="0" w:type="dxa"/>
            <w:vAlign w:val="bottom"/>
          </w:tcPr>
          <w:p>
            <w:pPr>
              <w:spacing w:after="0"/>
              <w:rPr>
                <w:sz w:val="1"/>
                <w:szCs w:val="1"/>
                <w:color w:val="auto"/>
              </w:rPr>
            </w:pPr>
          </w:p>
        </w:tc>
      </w:tr>
      <w:tr>
        <w:trPr>
          <w:trHeight w:val="177"/>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Other expenses (revenues)</w:t>
            </w:r>
          </w:p>
        </w:tc>
        <w:tc>
          <w:tcPr>
            <w:tcW w:w="880" w:type="dxa"/>
            <w:vAlign w:val="bottom"/>
          </w:tcPr>
          <w:p>
            <w:pPr>
              <w:spacing w:after="0"/>
              <w:rPr>
                <w:sz w:val="15"/>
                <w:szCs w:val="15"/>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903</w:t>
            </w:r>
          </w:p>
        </w:tc>
        <w:tc>
          <w:tcPr>
            <w:tcW w:w="6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(959)</w:t>
            </w: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127,578</w:t>
            </w:r>
          </w:p>
        </w:tc>
        <w:tc>
          <w:tcPr>
            <w:tcW w:w="600" w:type="dxa"/>
            <w:vAlign w:val="bottom"/>
          </w:tcPr>
          <w:p>
            <w:pPr>
              <w:spacing w:after="0"/>
              <w:rPr>
                <w:sz w:val="22"/>
                <w:szCs w:val="22"/>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77,966</w:t>
            </w:r>
          </w:p>
        </w:tc>
        <w:tc>
          <w:tcPr>
            <w:tcW w:w="0" w:type="dxa"/>
            <w:vAlign w:val="bottom"/>
          </w:tcPr>
          <w:p>
            <w:pPr>
              <w:spacing w:after="0"/>
              <w:rPr>
                <w:sz w:val="1"/>
                <w:szCs w:val="1"/>
                <w:color w:val="auto"/>
              </w:rPr>
            </w:pPr>
          </w:p>
        </w:tc>
      </w:tr>
      <w:tr>
        <w:trPr>
          <w:trHeight w:val="272"/>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86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78,318</w:t>
            </w:r>
          </w:p>
        </w:tc>
        <w:tc>
          <w:tcPr>
            <w:tcW w:w="600" w:type="dxa"/>
            <w:vAlign w:val="bottom"/>
          </w:tcPr>
          <w:p>
            <w:pPr>
              <w:spacing w:after="0"/>
              <w:rPr>
                <w:sz w:val="22"/>
                <w:szCs w:val="22"/>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10,346</w:t>
            </w:r>
          </w:p>
        </w:tc>
        <w:tc>
          <w:tcPr>
            <w:tcW w:w="0" w:type="dxa"/>
            <w:vAlign w:val="bottom"/>
          </w:tcPr>
          <w:p>
            <w:pPr>
              <w:spacing w:after="0"/>
              <w:rPr>
                <w:sz w:val="1"/>
                <w:szCs w:val="1"/>
                <w:color w:val="auto"/>
              </w:rPr>
            </w:pP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CURRENT</w:t>
            </w:r>
          </w:p>
        </w:tc>
        <w:tc>
          <w:tcPr>
            <w:tcW w:w="880" w:type="dxa"/>
            <w:vAlign w:val="bottom"/>
          </w:tcPr>
          <w:p>
            <w:pPr>
              <w:spacing w:after="0"/>
              <w:rPr>
                <w:sz w:val="23"/>
                <w:szCs w:val="23"/>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17,318</w:t>
            </w:r>
          </w:p>
        </w:tc>
        <w:tc>
          <w:tcPr>
            <w:tcW w:w="600" w:type="dxa"/>
            <w:vAlign w:val="bottom"/>
          </w:tcPr>
          <w:p>
            <w:pPr>
              <w:spacing w:after="0"/>
              <w:rPr>
                <w:sz w:val="23"/>
                <w:szCs w:val="23"/>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3,096</w:t>
            </w:r>
          </w:p>
        </w:tc>
        <w:tc>
          <w:tcPr>
            <w:tcW w:w="0" w:type="dxa"/>
            <w:vAlign w:val="bottom"/>
          </w:tcPr>
          <w:p>
            <w:pPr>
              <w:spacing w:after="0"/>
              <w:rPr>
                <w:sz w:val="1"/>
                <w:szCs w:val="1"/>
                <w:color w:val="auto"/>
              </w:rPr>
            </w:pPr>
          </w:p>
        </w:tc>
      </w:tr>
      <w:tr>
        <w:trPr>
          <w:trHeight w:val="177"/>
        </w:trPr>
        <w:tc>
          <w:tcPr>
            <w:tcW w:w="3860" w:type="dxa"/>
            <w:vAlign w:val="bottom"/>
          </w:tcPr>
          <w:p>
            <w:pPr>
              <w:ind w:left="280"/>
              <w:spacing w:after="0"/>
              <w:rPr>
                <w:sz w:val="20"/>
                <w:szCs w:val="20"/>
                <w:color w:val="auto"/>
              </w:rPr>
            </w:pPr>
            <w:r>
              <w:rPr>
                <w:rFonts w:ascii="Courier New" w:cs="Courier New" w:eastAsia="Courier New" w:hAnsi="Courier New"/>
                <w:sz w:val="15"/>
                <w:szCs w:val="15"/>
                <w:color w:val="auto"/>
              </w:rPr>
              <w:t>DEFERRED</w:t>
            </w:r>
          </w:p>
        </w:tc>
        <w:tc>
          <w:tcPr>
            <w:tcW w:w="880" w:type="dxa"/>
            <w:vAlign w:val="bottom"/>
          </w:tcPr>
          <w:p>
            <w:pPr>
              <w:spacing w:after="0"/>
              <w:rPr>
                <w:sz w:val="15"/>
                <w:szCs w:val="15"/>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8,292</w:t>
            </w:r>
          </w:p>
        </w:tc>
        <w:tc>
          <w:tcPr>
            <w:tcW w:w="60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756</w:t>
            </w: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25,610</w:t>
            </w:r>
          </w:p>
        </w:tc>
        <w:tc>
          <w:tcPr>
            <w:tcW w:w="600" w:type="dxa"/>
            <w:vAlign w:val="bottom"/>
          </w:tcPr>
          <w:p>
            <w:pPr>
              <w:spacing w:after="0"/>
              <w:rPr>
                <w:sz w:val="22"/>
                <w:szCs w:val="22"/>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3,852</w:t>
            </w:r>
          </w:p>
        </w:tc>
        <w:tc>
          <w:tcPr>
            <w:tcW w:w="0" w:type="dxa"/>
            <w:vAlign w:val="bottom"/>
          </w:tcPr>
          <w:p>
            <w:pPr>
              <w:spacing w:after="0"/>
              <w:rPr>
                <w:sz w:val="1"/>
                <w:szCs w:val="1"/>
                <w:color w:val="auto"/>
              </w:rPr>
            </w:pPr>
          </w:p>
        </w:tc>
      </w:tr>
      <w:tr>
        <w:trPr>
          <w:trHeight w:val="272"/>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NET EARNINGS BEFORE MINORITY INTEREST</w:t>
            </w: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86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52,708</w:t>
            </w:r>
          </w:p>
        </w:tc>
        <w:tc>
          <w:tcPr>
            <w:tcW w:w="600" w:type="dxa"/>
            <w:vAlign w:val="bottom"/>
          </w:tcPr>
          <w:p>
            <w:pPr>
              <w:spacing w:after="0"/>
              <w:rPr>
                <w:sz w:val="22"/>
                <w:szCs w:val="22"/>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6,494</w:t>
            </w:r>
          </w:p>
        </w:tc>
        <w:tc>
          <w:tcPr>
            <w:tcW w:w="0" w:type="dxa"/>
            <w:vAlign w:val="bottom"/>
          </w:tcPr>
          <w:p>
            <w:pPr>
              <w:spacing w:after="0"/>
              <w:rPr>
                <w:sz w:val="1"/>
                <w:szCs w:val="1"/>
                <w:color w:val="auto"/>
              </w:rPr>
            </w:pP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(508)</w:t>
            </w:r>
          </w:p>
        </w:tc>
        <w:tc>
          <w:tcPr>
            <w:tcW w:w="0" w:type="dxa"/>
            <w:vAlign w:val="bottom"/>
          </w:tcPr>
          <w:p>
            <w:pPr>
              <w:spacing w:after="0"/>
              <w:rPr>
                <w:sz w:val="1"/>
                <w:szCs w:val="1"/>
                <w:color w:val="auto"/>
              </w:rPr>
            </w:pPr>
          </w:p>
        </w:tc>
      </w:tr>
      <w:tr>
        <w:trPr>
          <w:trHeight w:val="272"/>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NET EARNINGS</w:t>
            </w: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52,708</w:t>
            </w: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5,986</w:t>
            </w: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2"/>
                <w:szCs w:val="22"/>
                <w:color w:val="auto"/>
              </w:rPr>
            </w:pP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3.25</w:t>
            </w: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0.35</w:t>
            </w:r>
          </w:p>
        </w:tc>
        <w:tc>
          <w:tcPr>
            <w:tcW w:w="0" w:type="dxa"/>
            <w:vAlign w:val="bottom"/>
          </w:tcPr>
          <w:p>
            <w:pPr>
              <w:spacing w:after="0"/>
              <w:rPr>
                <w:sz w:val="1"/>
                <w:szCs w:val="1"/>
                <w:color w:val="auto"/>
              </w:rPr>
            </w:pPr>
          </w:p>
        </w:tc>
      </w:tr>
      <w:tr>
        <w:trPr>
          <w:trHeight w:val="30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EARNINGS PER SHARE FULLY DILUTED</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2.32</w:t>
            </w:r>
          </w:p>
        </w:tc>
        <w:tc>
          <w:tcPr>
            <w:tcW w:w="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0.29</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25"/>
          </w:cols>
          <w:pgMar w:left="235" w:top="800" w:right="1440" w:bottom="1440" w:gutter="0" w:footer="0" w:header="0"/>
        </w:sectPr>
      </w:pPr>
    </w:p>
    <w:bookmarkStart w:id="7" w:name="page8"/>
    <w:bookmarkEnd w:id="7"/>
    <w:p>
      <w:pPr>
        <w:ind w:left="2685"/>
        <w:spacing w:after="0"/>
        <w:rPr>
          <w:sz w:val="20"/>
          <w:szCs w:val="20"/>
          <w:color w:val="auto"/>
        </w:rPr>
      </w:pPr>
      <w:r>
        <w:rPr>
          <w:rFonts w:ascii="Courier New" w:cs="Courier New" w:eastAsia="Courier New" w:hAnsi="Courier New"/>
          <w:sz w:val="15"/>
          <w:szCs w:val="15"/>
          <w:color w:val="auto"/>
        </w:rPr>
        <w:t>LE GROUP FOREX INC.</w:t>
      </w:r>
    </w:p>
    <w:p>
      <w:pPr>
        <w:spacing w:after="0" w:line="36"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CONSOLIDATED STATEMENT</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OF CHANGES IN FINANCIAL</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POSITION</w:t>
      </w:r>
    </w:p>
    <w:p>
      <w:pPr>
        <w:spacing w:after="0" w:line="157"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UNAUDITED, PREPARED IN ACCORDANCE WITH GENERALLY</w:t>
      </w:r>
    </w:p>
    <w:p>
      <w:pPr>
        <w:spacing w:after="0" w:line="36"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ACCEPTED ACCOUNTING PRINCIPLES IN CANADA</w:t>
      </w:r>
    </w:p>
    <w:p>
      <w:pPr>
        <w:spacing w:after="0" w:line="8"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200" w:lineRule="exact"/>
        <w:rPr>
          <w:sz w:val="20"/>
          <w:szCs w:val="20"/>
          <w:color w:val="auto"/>
        </w:rPr>
      </w:pPr>
    </w:p>
    <w:p>
      <w:pPr>
        <w:spacing w:after="0" w:line="31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CHANGES IN FINANCIAL POSITION</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28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JUNE 30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2"/>
                <w:szCs w:val="22"/>
                <w:color w:val="auto"/>
              </w:rPr>
            </w:pPr>
          </w:p>
        </w:tc>
        <w:tc>
          <w:tcPr>
            <w:tcW w:w="2880" w:type="dxa"/>
            <w:vAlign w:val="bottom"/>
          </w:tcPr>
          <w:p>
            <w:pPr>
              <w:jc w:val="right"/>
              <w:ind w:right="1223"/>
              <w:spacing w:after="0"/>
              <w:rPr>
                <w:sz w:val="20"/>
                <w:szCs w:val="20"/>
                <w:color w:val="auto"/>
              </w:rPr>
            </w:pPr>
            <w:r>
              <w:rPr>
                <w:rFonts w:ascii="Courier New" w:cs="Courier New" w:eastAsia="Courier New" w:hAnsi="Courier New"/>
                <w:sz w:val="15"/>
                <w:szCs w:val="15"/>
                <w:color w:val="auto"/>
              </w:rPr>
              <w:t>1999</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84" w:lineRule="exact"/>
        <w:rPr>
          <w:rFonts w:ascii="Courier New" w:cs="Courier New" w:eastAsia="Courier New" w:hAnsi="Courier New"/>
          <w:sz w:val="15"/>
          <w:szCs w:val="15"/>
          <w:color w:val="auto"/>
        </w:rPr>
      </w:pPr>
    </w:p>
    <w:p>
      <w:pPr>
        <w:ind w:left="5" w:right="7739"/>
        <w:spacing w:after="0" w:line="5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PROVIDED BY (USED IN): OPERATIONS:</w:t>
      </w:r>
    </w:p>
    <w:tbl>
      <w:tblPr>
        <w:tblLayout w:type="fixed"/>
        <w:tblInd w:w="5" w:type="dxa"/>
        <w:tblCellMar>
          <w:top w:w="0" w:type="dxa"/>
          <w:left w:w="0" w:type="dxa"/>
          <w:bottom w:w="0" w:type="dxa"/>
          <w:right w:w="0" w:type="dxa"/>
        </w:tblCellMar>
      </w:tblP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NET EARNINGS</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52,708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5,986</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ITEMS NOT INVOLVING CASH:</w:t>
            </w: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640"/>
              <w:spacing w:after="0"/>
              <w:rPr>
                <w:sz w:val="20"/>
                <w:szCs w:val="20"/>
                <w:color w:val="auto"/>
              </w:rPr>
            </w:pPr>
            <w:r>
              <w:rPr>
                <w:rFonts w:ascii="Courier New" w:cs="Courier New" w:eastAsia="Courier New" w:hAnsi="Courier New"/>
                <w:sz w:val="15"/>
                <w:szCs w:val="15"/>
                <w:color w:val="auto"/>
              </w:rPr>
              <w:t>DEPRECIATION OF FIXED ASSETS</w:t>
            </w:r>
          </w:p>
        </w:tc>
        <w:tc>
          <w:tcPr>
            <w:tcW w:w="780" w:type="dxa"/>
            <w:vAlign w:val="bottom"/>
          </w:tcPr>
          <w:p>
            <w:pPr>
              <w:spacing w:after="0"/>
              <w:rPr>
                <w:sz w:val="15"/>
                <w:szCs w:val="15"/>
                <w:color w:val="auto"/>
              </w:rPr>
            </w:pPr>
          </w:p>
        </w:tc>
        <w:tc>
          <w:tcPr>
            <w:tcW w:w="116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10,218</w:t>
            </w:r>
          </w:p>
        </w:tc>
        <w:tc>
          <w:tcPr>
            <w:tcW w:w="460" w:type="dxa"/>
            <w:vAlign w:val="bottom"/>
          </w:tcPr>
          <w:p>
            <w:pPr>
              <w:spacing w:after="0"/>
              <w:rPr>
                <w:sz w:val="15"/>
                <w:szCs w:val="15"/>
                <w:color w:val="auto"/>
              </w:rPr>
            </w:pP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6,024</w:t>
            </w:r>
          </w:p>
        </w:tc>
        <w:tc>
          <w:tcPr>
            <w:tcW w:w="0" w:type="dxa"/>
            <w:vAlign w:val="bottom"/>
          </w:tcPr>
          <w:p>
            <w:pPr>
              <w:spacing w:after="0"/>
              <w:rPr>
                <w:sz w:val="1"/>
                <w:szCs w:val="1"/>
                <w:color w:val="auto"/>
              </w:rPr>
            </w:pPr>
          </w:p>
        </w:tc>
      </w:tr>
      <w:tr>
        <w:trPr>
          <w:trHeight w:val="177"/>
        </w:trPr>
        <w:tc>
          <w:tcPr>
            <w:tcW w:w="3920" w:type="dxa"/>
            <w:vAlign w:val="bottom"/>
          </w:tcPr>
          <w:p>
            <w:pPr>
              <w:ind w:left="820"/>
              <w:spacing w:after="0"/>
              <w:rPr>
                <w:sz w:val="20"/>
                <w:szCs w:val="20"/>
                <w:color w:val="auto"/>
              </w:rPr>
            </w:pPr>
            <w:r>
              <w:rPr>
                <w:rFonts w:ascii="Courier New" w:cs="Courier New" w:eastAsia="Courier New" w:hAnsi="Courier New"/>
                <w:sz w:val="15"/>
                <w:szCs w:val="15"/>
                <w:color w:val="auto"/>
              </w:rPr>
              <w:t>AND OTHER ASSETS</w:t>
            </w:r>
          </w:p>
        </w:tc>
        <w:tc>
          <w:tcPr>
            <w:tcW w:w="7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640"/>
              <w:spacing w:after="0"/>
              <w:rPr>
                <w:sz w:val="20"/>
                <w:szCs w:val="20"/>
                <w:color w:val="auto"/>
              </w:rPr>
            </w:pPr>
            <w:r>
              <w:rPr>
                <w:rFonts w:ascii="Courier New" w:cs="Courier New" w:eastAsia="Courier New" w:hAnsi="Courier New"/>
                <w:sz w:val="15"/>
                <w:szCs w:val="15"/>
                <w:color w:val="auto"/>
              </w:rPr>
              <w:t>DEFERRED INCOME TAXES</w:t>
            </w:r>
          </w:p>
        </w:tc>
        <w:tc>
          <w:tcPr>
            <w:tcW w:w="7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8,292</w:t>
            </w:r>
          </w:p>
        </w:tc>
        <w:tc>
          <w:tcPr>
            <w:tcW w:w="46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756</w:t>
            </w:r>
          </w:p>
        </w:tc>
        <w:tc>
          <w:tcPr>
            <w:tcW w:w="0" w:type="dxa"/>
            <w:vAlign w:val="bottom"/>
          </w:tcPr>
          <w:p>
            <w:pPr>
              <w:spacing w:after="0"/>
              <w:rPr>
                <w:sz w:val="1"/>
                <w:szCs w:val="1"/>
                <w:color w:val="auto"/>
              </w:rPr>
            </w:pPr>
          </w:p>
        </w:tc>
      </w:tr>
      <w:tr>
        <w:trPr>
          <w:trHeight w:val="177"/>
        </w:trPr>
        <w:tc>
          <w:tcPr>
            <w:tcW w:w="3920" w:type="dxa"/>
            <w:vAlign w:val="bottom"/>
          </w:tcPr>
          <w:p>
            <w:pPr>
              <w:ind w:left="640"/>
              <w:spacing w:after="0"/>
              <w:rPr>
                <w:sz w:val="20"/>
                <w:szCs w:val="20"/>
                <w:color w:val="auto"/>
              </w:rPr>
            </w:pPr>
            <w:r>
              <w:rPr>
                <w:rFonts w:ascii="Courier New" w:cs="Courier New" w:eastAsia="Courier New" w:hAnsi="Courier New"/>
                <w:sz w:val="15"/>
                <w:szCs w:val="15"/>
                <w:color w:val="auto"/>
              </w:rPr>
              <w:t>LOSS ON DISPOSAL OF INVESTMENT</w:t>
            </w:r>
          </w:p>
        </w:tc>
        <w:tc>
          <w:tcPr>
            <w:tcW w:w="780" w:type="dxa"/>
            <w:vAlign w:val="bottom"/>
          </w:tcPr>
          <w:p>
            <w:pPr>
              <w:spacing w:after="0"/>
              <w:rPr>
                <w:sz w:val="15"/>
                <w:szCs w:val="15"/>
                <w:color w:val="auto"/>
              </w:rPr>
            </w:pPr>
          </w:p>
        </w:tc>
        <w:tc>
          <w:tcPr>
            <w:tcW w:w="116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453</w:t>
            </w:r>
          </w:p>
        </w:tc>
        <w:tc>
          <w:tcPr>
            <w:tcW w:w="460" w:type="dxa"/>
            <w:vAlign w:val="bottom"/>
          </w:tcPr>
          <w:p>
            <w:pPr>
              <w:spacing w:after="0"/>
              <w:rPr>
                <w:sz w:val="15"/>
                <w:szCs w:val="15"/>
                <w:color w:val="auto"/>
              </w:rPr>
            </w:pPr>
          </w:p>
        </w:tc>
        <w:tc>
          <w:tcPr>
            <w:tcW w:w="10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920" w:type="dxa"/>
            <w:vAlign w:val="bottom"/>
          </w:tcPr>
          <w:p>
            <w:pPr>
              <w:ind w:left="820"/>
              <w:spacing w:after="0"/>
              <w:rPr>
                <w:sz w:val="20"/>
                <w:szCs w:val="20"/>
                <w:color w:val="auto"/>
              </w:rPr>
            </w:pPr>
            <w:r>
              <w:rPr>
                <w:rFonts w:ascii="Courier New" w:cs="Courier New" w:eastAsia="Courier New" w:hAnsi="Courier New"/>
                <w:sz w:val="15"/>
                <w:szCs w:val="15"/>
                <w:color w:val="auto"/>
              </w:rPr>
              <w:t>AND FIXED ASSETS</w:t>
            </w:r>
          </w:p>
        </w:tc>
        <w:tc>
          <w:tcPr>
            <w:tcW w:w="7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640"/>
              <w:spacing w:after="0"/>
              <w:rPr>
                <w:sz w:val="20"/>
                <w:szCs w:val="20"/>
                <w:color w:val="auto"/>
              </w:rPr>
            </w:pPr>
            <w:r>
              <w:rPr>
                <w:rFonts w:ascii="Courier New" w:cs="Courier New" w:eastAsia="Courier New" w:hAnsi="Courier New"/>
                <w:sz w:val="15"/>
                <w:szCs w:val="15"/>
                <w:color w:val="auto"/>
              </w:rPr>
              <w:t>MINORITY INTEREST</w:t>
            </w:r>
          </w:p>
        </w:tc>
        <w:tc>
          <w:tcPr>
            <w:tcW w:w="780" w:type="dxa"/>
            <w:vAlign w:val="bottom"/>
          </w:tcPr>
          <w:p>
            <w:pPr>
              <w:spacing w:after="0"/>
              <w:rPr>
                <w:sz w:val="15"/>
                <w:szCs w:val="15"/>
                <w:color w:val="auto"/>
              </w:rPr>
            </w:pP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508</w:t>
            </w:r>
          </w:p>
        </w:tc>
        <w:tc>
          <w:tcPr>
            <w:tcW w:w="0" w:type="dxa"/>
            <w:vAlign w:val="bottom"/>
          </w:tcPr>
          <w:p>
            <w:pPr>
              <w:spacing w:after="0"/>
              <w:rPr>
                <w:sz w:val="1"/>
                <w:szCs w:val="1"/>
                <w:color w:val="auto"/>
              </w:rPr>
            </w:pPr>
          </w:p>
        </w:tc>
      </w:tr>
      <w:tr>
        <w:trPr>
          <w:trHeight w:val="177"/>
        </w:trPr>
        <w:tc>
          <w:tcPr>
            <w:tcW w:w="3920" w:type="dxa"/>
            <w:vAlign w:val="bottom"/>
          </w:tcPr>
          <w:p>
            <w:pPr>
              <w:ind w:left="640"/>
              <w:spacing w:after="0"/>
              <w:rPr>
                <w:sz w:val="20"/>
                <w:szCs w:val="20"/>
                <w:color w:val="auto"/>
              </w:rPr>
            </w:pPr>
            <w:r>
              <w:rPr>
                <w:rFonts w:ascii="Courier New" w:cs="Courier New" w:eastAsia="Courier New" w:hAnsi="Courier New"/>
                <w:sz w:val="15"/>
                <w:szCs w:val="15"/>
                <w:color w:val="auto"/>
              </w:rPr>
              <w:t>INTEREST ON THE EQUITY COMPONENT</w:t>
            </w:r>
          </w:p>
        </w:tc>
        <w:tc>
          <w:tcPr>
            <w:tcW w:w="7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(623)</w:t>
            </w:r>
          </w:p>
        </w:tc>
        <w:tc>
          <w:tcPr>
            <w:tcW w:w="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(437)</w:t>
            </w:r>
          </w:p>
        </w:tc>
        <w:tc>
          <w:tcPr>
            <w:tcW w:w="0" w:type="dxa"/>
            <w:vAlign w:val="bottom"/>
          </w:tcPr>
          <w:p>
            <w:pPr>
              <w:spacing w:after="0"/>
              <w:rPr>
                <w:sz w:val="1"/>
                <w:szCs w:val="1"/>
                <w:color w:val="auto"/>
              </w:rPr>
            </w:pPr>
          </w:p>
        </w:tc>
      </w:tr>
      <w:tr>
        <w:trPr>
          <w:trHeight w:val="177"/>
        </w:trPr>
        <w:tc>
          <w:tcPr>
            <w:tcW w:w="3920" w:type="dxa"/>
            <w:vAlign w:val="bottom"/>
          </w:tcPr>
          <w:p>
            <w:pPr>
              <w:ind w:left="820"/>
              <w:spacing w:after="0"/>
              <w:rPr>
                <w:sz w:val="20"/>
                <w:szCs w:val="20"/>
                <w:color w:val="auto"/>
              </w:rPr>
            </w:pPr>
            <w:r>
              <w:rPr>
                <w:rFonts w:ascii="Courier New" w:cs="Courier New" w:eastAsia="Courier New" w:hAnsi="Courier New"/>
                <w:sz w:val="15"/>
                <w:szCs w:val="15"/>
                <w:color w:val="auto"/>
              </w:rPr>
              <w:t>OF THE CONVERTIBLE DEBENTURE</w:t>
            </w: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NET CHANGE IN NON-CASH WORKING</w:t>
            </w:r>
          </w:p>
        </w:tc>
        <w:tc>
          <w:tcPr>
            <w:tcW w:w="780" w:type="dxa"/>
            <w:vAlign w:val="bottom"/>
          </w:tcPr>
          <w:p>
            <w:pPr>
              <w:spacing w:after="0"/>
              <w:rPr>
                <w:sz w:val="15"/>
                <w:szCs w:val="15"/>
                <w:color w:val="auto"/>
              </w:rPr>
            </w:pPr>
          </w:p>
        </w:tc>
        <w:tc>
          <w:tcPr>
            <w:tcW w:w="116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11,045</w:t>
            </w:r>
          </w:p>
        </w:tc>
        <w:tc>
          <w:tcPr>
            <w:tcW w:w="460" w:type="dxa"/>
            <w:vAlign w:val="bottom"/>
          </w:tcPr>
          <w:p>
            <w:pPr>
              <w:spacing w:after="0"/>
              <w:rPr>
                <w:sz w:val="15"/>
                <w:szCs w:val="15"/>
                <w:color w:val="auto"/>
              </w:rPr>
            </w:pPr>
          </w:p>
        </w:tc>
        <w:tc>
          <w:tcPr>
            <w:tcW w:w="10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(3,357)</w:t>
            </w:r>
          </w:p>
        </w:tc>
        <w:tc>
          <w:tcPr>
            <w:tcW w:w="0" w:type="dxa"/>
            <w:vAlign w:val="bottom"/>
          </w:tcPr>
          <w:p>
            <w:pPr>
              <w:spacing w:after="0"/>
              <w:rPr>
                <w:sz w:val="1"/>
                <w:szCs w:val="1"/>
                <w:color w:val="auto"/>
              </w:rPr>
            </w:pPr>
          </w:p>
        </w:tc>
      </w:tr>
      <w:tr>
        <w:trPr>
          <w:trHeight w:val="177"/>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CAPITAL ITEMS</w:t>
            </w:r>
          </w:p>
        </w:tc>
        <w:tc>
          <w:tcPr>
            <w:tcW w:w="7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92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82,093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9,470</w:t>
            </w:r>
          </w:p>
        </w:tc>
        <w:tc>
          <w:tcPr>
            <w:tcW w:w="0" w:type="dxa"/>
            <w:vAlign w:val="bottom"/>
          </w:tcPr>
          <w:p>
            <w:pPr>
              <w:spacing w:after="0"/>
              <w:rPr>
                <w:sz w:val="1"/>
                <w:szCs w:val="1"/>
                <w:color w:val="auto"/>
              </w:rPr>
            </w:pPr>
          </w:p>
        </w:tc>
      </w:tr>
      <w:tr>
        <w:trPr>
          <w:trHeight w:val="45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780" w:type="dxa"/>
            <w:vAlign w:val="bottom"/>
          </w:tcPr>
          <w:p>
            <w:pPr>
              <w:spacing w:after="0"/>
              <w:rPr>
                <w:sz w:val="24"/>
                <w:szCs w:val="24"/>
                <w:color w:val="auto"/>
              </w:rPr>
            </w:pPr>
          </w:p>
        </w:tc>
        <w:tc>
          <w:tcPr>
            <w:tcW w:w="116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(9,734)</w:t>
            </w:r>
          </w:p>
        </w:tc>
        <w:tc>
          <w:tcPr>
            <w:tcW w:w="460" w:type="dxa"/>
            <w:vAlign w:val="bottom"/>
          </w:tcPr>
          <w:p>
            <w:pPr>
              <w:spacing w:after="0"/>
              <w:rPr>
                <w:sz w:val="24"/>
                <w:szCs w:val="24"/>
                <w:color w:val="auto"/>
              </w:rPr>
            </w:pPr>
          </w:p>
        </w:tc>
        <w:tc>
          <w:tcPr>
            <w:tcW w:w="10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(2,842)</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ACQUISITION OF FIXED ASSETS</w:t>
            </w:r>
          </w:p>
        </w:tc>
        <w:tc>
          <w:tcPr>
            <w:tcW w:w="7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PROCEEDS ON SALE OF FIXED ASSETS</w:t>
            </w:r>
          </w:p>
        </w:tc>
        <w:tc>
          <w:tcPr>
            <w:tcW w:w="780" w:type="dxa"/>
            <w:vAlign w:val="bottom"/>
          </w:tcPr>
          <w:p>
            <w:pPr>
              <w:spacing w:after="0"/>
              <w:rPr>
                <w:sz w:val="15"/>
                <w:szCs w:val="15"/>
                <w:color w:val="auto"/>
              </w:rPr>
            </w:pP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ACQUISITION OF INVESTMENTS</w:t>
            </w:r>
          </w:p>
        </w:tc>
        <w:tc>
          <w:tcPr>
            <w:tcW w:w="7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(59)</w:t>
            </w:r>
          </w:p>
        </w:tc>
        <w:tc>
          <w:tcPr>
            <w:tcW w:w="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PROCEEDS ON SALE OF INVESTMENTS</w:t>
            </w:r>
          </w:p>
        </w:tc>
        <w:tc>
          <w:tcPr>
            <w:tcW w:w="780" w:type="dxa"/>
            <w:vAlign w:val="bottom"/>
          </w:tcPr>
          <w:p>
            <w:pPr>
              <w:spacing w:after="0"/>
              <w:rPr>
                <w:sz w:val="15"/>
                <w:szCs w:val="15"/>
                <w:color w:val="auto"/>
              </w:rPr>
            </w:pP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ACQUISITION OF A MINORITY INTEREST</w:t>
            </w:r>
          </w:p>
        </w:tc>
        <w:tc>
          <w:tcPr>
            <w:tcW w:w="7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(49,908)</w:t>
            </w:r>
          </w:p>
        </w:tc>
        <w:tc>
          <w:tcPr>
            <w:tcW w:w="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(69,500)</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ACQUISITION OF OTHER ASSETS</w:t>
            </w:r>
          </w:p>
        </w:tc>
        <w:tc>
          <w:tcPr>
            <w:tcW w:w="7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(1,413)</w:t>
            </w:r>
          </w:p>
        </w:tc>
        <w:tc>
          <w:tcPr>
            <w:tcW w:w="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(5,911)</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DISPOSAL OF OTHER ASSETS</w:t>
            </w:r>
          </w:p>
        </w:tc>
        <w:tc>
          <w:tcPr>
            <w:tcW w:w="780" w:type="dxa"/>
            <w:vAlign w:val="bottom"/>
          </w:tcPr>
          <w:p>
            <w:pPr>
              <w:spacing w:after="0"/>
              <w:rPr>
                <w:sz w:val="15"/>
                <w:szCs w:val="15"/>
                <w:color w:val="auto"/>
              </w:rPr>
            </w:pP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2,870</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92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(61,114)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(75,424)</w:t>
            </w:r>
          </w:p>
        </w:tc>
        <w:tc>
          <w:tcPr>
            <w:tcW w:w="0" w:type="dxa"/>
            <w:vAlign w:val="bottom"/>
          </w:tcPr>
          <w:p>
            <w:pPr>
              <w:spacing w:after="0"/>
              <w:rPr>
                <w:sz w:val="1"/>
                <w:szCs w:val="1"/>
                <w:color w:val="auto"/>
              </w:rPr>
            </w:pPr>
          </w:p>
        </w:tc>
      </w:tr>
      <w:tr>
        <w:trPr>
          <w:trHeight w:val="450"/>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780" w:type="dxa"/>
            <w:vAlign w:val="bottom"/>
          </w:tcPr>
          <w:p>
            <w:pPr>
              <w:spacing w:after="0"/>
              <w:rPr>
                <w:sz w:val="24"/>
                <w:szCs w:val="24"/>
                <w:color w:val="auto"/>
              </w:rPr>
            </w:pPr>
          </w:p>
        </w:tc>
        <w:tc>
          <w:tcPr>
            <w:tcW w:w="116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46,500</w:t>
            </w:r>
          </w:p>
        </w:tc>
        <w:tc>
          <w:tcPr>
            <w:tcW w:w="460" w:type="dxa"/>
            <w:vAlign w:val="bottom"/>
          </w:tcPr>
          <w:p>
            <w:pPr>
              <w:spacing w:after="0"/>
              <w:rPr>
                <w:sz w:val="24"/>
                <w:szCs w:val="24"/>
                <w:color w:val="auto"/>
              </w:rPr>
            </w:pP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163,835</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REPAYMENTS OF LONG-TERM DEBT</w:t>
            </w:r>
          </w:p>
        </w:tc>
        <w:tc>
          <w:tcPr>
            <w:tcW w:w="780" w:type="dxa"/>
            <w:vAlign w:val="bottom"/>
          </w:tcPr>
          <w:p>
            <w:pPr>
              <w:spacing w:after="0"/>
              <w:rPr>
                <w:sz w:val="15"/>
                <w:szCs w:val="15"/>
                <w:color w:val="auto"/>
              </w:rPr>
            </w:pP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(2,573)</w:t>
            </w:r>
          </w:p>
        </w:tc>
        <w:tc>
          <w:tcPr>
            <w:tcW w:w="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(104,363)</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920" w:type="dxa"/>
            <w:vAlign w:val="bottom"/>
          </w:tcPr>
          <w:p>
            <w:pPr>
              <w:spacing w:after="0"/>
              <w:rPr>
                <w:sz w:val="22"/>
                <w:szCs w:val="22"/>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43,927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59,472</w:t>
            </w:r>
          </w:p>
        </w:tc>
        <w:tc>
          <w:tcPr>
            <w:tcW w:w="0" w:type="dxa"/>
            <w:vAlign w:val="bottom"/>
          </w:tcPr>
          <w:p>
            <w:pPr>
              <w:spacing w:after="0"/>
              <w:rPr>
                <w:sz w:val="1"/>
                <w:szCs w:val="1"/>
                <w:color w:val="auto"/>
              </w:rPr>
            </w:pPr>
          </w:p>
        </w:tc>
      </w:tr>
      <w:tr>
        <w:trPr>
          <w:trHeight w:val="53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INCREASE (DECREASE) IN CASH POSITION</w:t>
            </w:r>
          </w:p>
        </w:tc>
        <w:tc>
          <w:tcPr>
            <w:tcW w:w="780" w:type="dxa"/>
            <w:vAlign w:val="bottom"/>
          </w:tcPr>
          <w:p>
            <w:pPr>
              <w:spacing w:after="0"/>
              <w:rPr>
                <w:sz w:val="24"/>
                <w:szCs w:val="24"/>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64,906</w:t>
            </w:r>
          </w:p>
        </w:tc>
        <w:tc>
          <w:tcPr>
            <w:tcW w:w="4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(6,482)</w:t>
            </w:r>
          </w:p>
        </w:tc>
        <w:tc>
          <w:tcPr>
            <w:tcW w:w="0" w:type="dxa"/>
            <w:vAlign w:val="bottom"/>
          </w:tcPr>
          <w:p>
            <w:pPr>
              <w:spacing w:after="0"/>
              <w:rPr>
                <w:sz w:val="1"/>
                <w:szCs w:val="1"/>
                <w:color w:val="auto"/>
              </w:rPr>
            </w:pPr>
          </w:p>
        </w:tc>
      </w:tr>
      <w:tr>
        <w:trPr>
          <w:trHeight w:val="53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CASH POSITION, BEGINNING OF YEAR</w:t>
            </w:r>
          </w:p>
        </w:tc>
        <w:tc>
          <w:tcPr>
            <w:tcW w:w="780" w:type="dxa"/>
            <w:vAlign w:val="bottom"/>
          </w:tcPr>
          <w:p>
            <w:pPr>
              <w:spacing w:after="0"/>
              <w:rPr>
                <w:sz w:val="24"/>
                <w:szCs w:val="24"/>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33,568</w:t>
            </w:r>
          </w:p>
        </w:tc>
        <w:tc>
          <w:tcPr>
            <w:tcW w:w="460" w:type="dxa"/>
            <w:vAlign w:val="bottom"/>
          </w:tcPr>
          <w:p>
            <w:pPr>
              <w:spacing w:after="0"/>
              <w:rPr>
                <w:sz w:val="24"/>
                <w:szCs w:val="24"/>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19,100</w:t>
            </w:r>
          </w:p>
        </w:tc>
        <w:tc>
          <w:tcPr>
            <w:tcW w:w="0" w:type="dxa"/>
            <w:vAlign w:val="bottom"/>
          </w:tcPr>
          <w:p>
            <w:pPr>
              <w:spacing w:after="0"/>
              <w:rPr>
                <w:sz w:val="1"/>
                <w:szCs w:val="1"/>
                <w:color w:val="auto"/>
              </w:rPr>
            </w:pPr>
          </w:p>
        </w:tc>
      </w:tr>
      <w:tr>
        <w:trPr>
          <w:trHeight w:val="450"/>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rPr>
              <w:t>CASH POSITION, END OF YEAR</w:t>
            </w: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7"/>
        </w:trPr>
        <w:tc>
          <w:tcPr>
            <w:tcW w:w="3920" w:type="dxa"/>
            <w:vAlign w:val="bottom"/>
            <w:vMerge w:val="continue"/>
          </w:tcPr>
          <w:p>
            <w:pPr>
              <w:spacing w:after="0"/>
              <w:rPr>
                <w:sz w:val="15"/>
                <w:szCs w:val="15"/>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98,474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12,618</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0"/>
        </w:trPr>
        <w:tc>
          <w:tcPr>
            <w:tcW w:w="3920" w:type="dxa"/>
            <w:vAlign w:val="bottom"/>
          </w:tcPr>
          <w:p>
            <w:pPr>
              <w:spacing w:after="0"/>
              <w:rPr>
                <w:sz w:val="22"/>
                <w:szCs w:val="22"/>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CASH POSITION:</w:t>
            </w:r>
          </w:p>
        </w:tc>
        <w:tc>
          <w:tcPr>
            <w:tcW w:w="780" w:type="dxa"/>
            <w:vAlign w:val="bottom"/>
          </w:tcPr>
          <w:p>
            <w:pPr>
              <w:spacing w:after="0"/>
              <w:rPr>
                <w:sz w:val="23"/>
                <w:szCs w:val="23"/>
                <w:color w:val="auto"/>
              </w:rPr>
            </w:pPr>
          </w:p>
        </w:tc>
        <w:tc>
          <w:tcPr>
            <w:tcW w:w="116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8,423</w:t>
            </w:r>
          </w:p>
        </w:tc>
        <w:tc>
          <w:tcPr>
            <w:tcW w:w="460" w:type="dxa"/>
            <w:vAlign w:val="bottom"/>
          </w:tcPr>
          <w:p>
            <w:pPr>
              <w:spacing w:after="0"/>
              <w:rPr>
                <w:sz w:val="23"/>
                <w:szCs w:val="23"/>
                <w:color w:val="auto"/>
              </w:rPr>
            </w:pP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11,169</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CASH</w:t>
            </w:r>
          </w:p>
        </w:tc>
        <w:tc>
          <w:tcPr>
            <w:tcW w:w="7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BANK INDEBTEDNESS</w:t>
            </w:r>
          </w:p>
        </w:tc>
        <w:tc>
          <w:tcPr>
            <w:tcW w:w="780" w:type="dxa"/>
            <w:vAlign w:val="bottom"/>
          </w:tcPr>
          <w:p>
            <w:pPr>
              <w:spacing w:after="0"/>
              <w:rPr>
                <w:sz w:val="15"/>
                <w:szCs w:val="15"/>
                <w:color w:val="auto"/>
              </w:rPr>
            </w:pP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(3,150)</w:t>
            </w:r>
          </w:p>
        </w:tc>
        <w:tc>
          <w:tcPr>
            <w:tcW w:w="0" w:type="dxa"/>
            <w:vAlign w:val="bottom"/>
          </w:tcPr>
          <w:p>
            <w:pPr>
              <w:spacing w:after="0"/>
              <w:rPr>
                <w:sz w:val="1"/>
                <w:szCs w:val="1"/>
                <w:color w:val="auto"/>
              </w:rPr>
            </w:pPr>
          </w:p>
        </w:tc>
      </w:tr>
      <w:tr>
        <w:trPr>
          <w:trHeight w:val="177"/>
        </w:trPr>
        <w:tc>
          <w:tcPr>
            <w:tcW w:w="3920" w:type="dxa"/>
            <w:vAlign w:val="bottom"/>
          </w:tcPr>
          <w:p>
            <w:pPr>
              <w:ind w:left="280"/>
              <w:spacing w:after="0"/>
              <w:rPr>
                <w:sz w:val="20"/>
                <w:szCs w:val="20"/>
                <w:color w:val="auto"/>
              </w:rPr>
            </w:pPr>
            <w:r>
              <w:rPr>
                <w:rFonts w:ascii="Courier New" w:cs="Courier New" w:eastAsia="Courier New" w:hAnsi="Courier New"/>
                <w:sz w:val="15"/>
                <w:szCs w:val="15"/>
                <w:color w:val="auto"/>
              </w:rPr>
              <w:t>TEMPORARY INVESTMENTS</w:t>
            </w:r>
          </w:p>
        </w:tc>
        <w:tc>
          <w:tcPr>
            <w:tcW w:w="7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90,051</w:t>
            </w:r>
          </w:p>
        </w:tc>
        <w:tc>
          <w:tcPr>
            <w:tcW w:w="46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4,599</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98,474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12,618</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25"/>
          </w:cols>
          <w:pgMar w:left="235" w:top="800" w:right="1440" w:bottom="1440" w:gutter="0" w:footer="0" w:header="0"/>
        </w:sectPr>
      </w:pPr>
    </w:p>
    <w:bookmarkStart w:id="8" w:name="page9"/>
    <w:bookmarkEnd w:id="8"/>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57" w:lineRule="exact"/>
        <w:rPr>
          <w:sz w:val="20"/>
          <w:szCs w:val="20"/>
          <w:color w:val="auto"/>
        </w:rPr>
      </w:pPr>
    </w:p>
    <w:p>
      <w:pPr>
        <w:ind w:left="5" w:right="3040"/>
        <w:spacing w:after="0" w:line="375" w:lineRule="auto"/>
        <w:rPr>
          <w:sz w:val="20"/>
          <w:szCs w:val="20"/>
          <w:color w:val="auto"/>
        </w:rPr>
      </w:pPr>
      <w:r>
        <w:rPr>
          <w:rFonts w:ascii="Courier New" w:cs="Courier New" w:eastAsia="Courier New" w:hAnsi="Courier New"/>
          <w:sz w:val="15"/>
          <w:szCs w:val="15"/>
          <w:color w:val="auto"/>
        </w:rPr>
        <w:t>As at June 30, 1999 and for the six month periods ended June 30, 1999 and 1998 (in thousands of Canadian dollars)</w:t>
      </w:r>
    </w:p>
    <w:p>
      <w:pPr>
        <w:spacing w:after="0" w:line="1" w:lineRule="exact"/>
        <w:rPr>
          <w:sz w:val="20"/>
          <w:szCs w:val="20"/>
          <w:color w:val="auto"/>
        </w:rPr>
      </w:pPr>
    </w:p>
    <w:p>
      <w:pPr>
        <w:ind w:left="5" w:right="2960" w:firstLine="825"/>
        <w:spacing w:after="0" w:line="293" w:lineRule="auto"/>
        <w:tabs>
          <w:tab w:leader="none" w:pos="111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consolidated summary financial statements should be read in conjunction with the consolidated financial statements and the notes thereto as at and for the years ended December 31, 1998, 1997 and 1996 included elsewhere in this report.</w:t>
      </w:r>
    </w:p>
    <w:p>
      <w:pPr>
        <w:spacing w:after="0" w:line="57" w:lineRule="exact"/>
        <w:rPr>
          <w:sz w:val="20"/>
          <w:szCs w:val="20"/>
          <w:color w:val="auto"/>
        </w:rPr>
      </w:pPr>
    </w:p>
    <w:p>
      <w:pPr>
        <w:ind w:left="5" w:right="2860" w:firstLine="830"/>
        <w:spacing w:after="0" w:line="276" w:lineRule="auto"/>
        <w:rPr>
          <w:sz w:val="20"/>
          <w:szCs w:val="20"/>
          <w:color w:val="auto"/>
        </w:rPr>
      </w:pPr>
      <w:r>
        <w:rPr>
          <w:rFonts w:ascii="Courier New" w:cs="Courier New" w:eastAsia="Courier New" w:hAnsi="Courier New"/>
          <w:sz w:val="15"/>
          <w:szCs w:val="15"/>
          <w:color w:val="auto"/>
        </w:rPr>
        <w:t>These consolidated summary financial statements reflect all adjustments (consisting only of normal recurring adjustments) which are, in the opinion of the management, necessary to present fairly, in all material respects, the consolidated financial position and results of operations of Le Groupe Forex Inc. ("Forex") and its subsidiaries. Certain amounts have been reclassified to conform to the current period presentation.</w:t>
      </w:r>
    </w:p>
    <w:p>
      <w:pPr>
        <w:spacing w:after="0" w:line="70" w:lineRule="exact"/>
        <w:rPr>
          <w:sz w:val="20"/>
          <w:szCs w:val="20"/>
          <w:color w:val="auto"/>
        </w:rPr>
      </w:pPr>
    </w:p>
    <w:p>
      <w:pPr>
        <w:ind w:left="5" w:right="3780" w:firstLine="830"/>
        <w:spacing w:after="0" w:line="375" w:lineRule="auto"/>
        <w:rPr>
          <w:sz w:val="20"/>
          <w:szCs w:val="20"/>
          <w:color w:val="auto"/>
        </w:rPr>
      </w:pPr>
      <w:r>
        <w:rPr>
          <w:rFonts w:ascii="Courier New" w:cs="Courier New" w:eastAsia="Courier New" w:hAnsi="Courier New"/>
          <w:sz w:val="15"/>
          <w:szCs w:val="15"/>
          <w:color w:val="auto"/>
        </w:rPr>
        <w:t>Results of operations for interim periods are not necessarily indicative of results to be expected for an entire year.</w:t>
      </w:r>
    </w:p>
    <w:p>
      <w:pPr>
        <w:spacing w:after="0" w:line="1" w:lineRule="exact"/>
        <w:rPr>
          <w:sz w:val="20"/>
          <w:szCs w:val="20"/>
          <w:color w:val="auto"/>
        </w:rPr>
      </w:pPr>
    </w:p>
    <w:p>
      <w:pPr>
        <w:ind w:left="5" w:right="2860" w:firstLine="825"/>
        <w:spacing w:after="0" w:line="299" w:lineRule="auto"/>
        <w:tabs>
          <w:tab w:leader="none" w:pos="111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per share are based on the weighted average number of shares of common stock outstanding during the applicable period. Diluted earnings per share include the effects of potentially dilutive common stock equivalents.</w:t>
      </w:r>
    </w:p>
    <w:p>
      <w:pPr>
        <w:spacing w:after="0" w:line="252" w:lineRule="exact"/>
        <w:rPr>
          <w:rFonts w:ascii="Courier New" w:cs="Courier New" w:eastAsia="Courier New" w:hAnsi="Courier New"/>
          <w:sz w:val="15"/>
          <w:szCs w:val="15"/>
          <w:color w:val="auto"/>
        </w:rPr>
      </w:pPr>
    </w:p>
    <w:p>
      <w:pPr>
        <w:ind w:left="5" w:right="3040" w:firstLine="825"/>
        <w:spacing w:after="0" w:line="314" w:lineRule="auto"/>
        <w:tabs>
          <w:tab w:leader="none" w:pos="111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interim financial statements requires the estimation of Forex's effective income tax rate based on estimated annual amounts of taxable income and expenses. These estimates are updated quarterly.</w:t>
      </w:r>
    </w:p>
    <w:p>
      <w:pPr>
        <w:spacing w:after="0" w:line="42" w:lineRule="exact"/>
        <w:rPr>
          <w:rFonts w:ascii="Courier New" w:cs="Courier New" w:eastAsia="Courier New" w:hAnsi="Courier New"/>
          <w:sz w:val="15"/>
          <w:szCs w:val="15"/>
          <w:color w:val="auto"/>
        </w:rPr>
      </w:pPr>
    </w:p>
    <w:p>
      <w:pPr>
        <w:ind w:left="5" w:right="3040" w:firstLine="825"/>
        <w:spacing w:after="0" w:line="282" w:lineRule="auto"/>
        <w:tabs>
          <w:tab w:leader="none" w:pos="111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31, 1998, Forex acquired the minority interest in each of its subsidiaries Forex St-Michel Inc. and Forex Maniwaki Inc. for a cash consideration of $71,843, including acquisition costs. The excess of the price paid of $14,307 over the book value of the net assets acquired has been allocated to fixed assets.</w:t>
      </w:r>
    </w:p>
    <w:p>
      <w:pPr>
        <w:spacing w:after="0" w:line="66" w:lineRule="exact"/>
        <w:rPr>
          <w:sz w:val="20"/>
          <w:szCs w:val="20"/>
          <w:color w:val="auto"/>
        </w:rPr>
      </w:pPr>
    </w:p>
    <w:p>
      <w:pPr>
        <w:ind w:left="5" w:right="2960" w:firstLine="830"/>
        <w:spacing w:after="0" w:line="276" w:lineRule="auto"/>
        <w:rPr>
          <w:sz w:val="20"/>
          <w:szCs w:val="20"/>
          <w:color w:val="auto"/>
        </w:rPr>
      </w:pPr>
      <w:r>
        <w:rPr>
          <w:rFonts w:ascii="Courier New" w:cs="Courier New" w:eastAsia="Courier New" w:hAnsi="Courier New"/>
          <w:sz w:val="15"/>
          <w:szCs w:val="15"/>
          <w:color w:val="auto"/>
        </w:rPr>
        <w:t>On April 13, 1999, Forex acquired a joint venture partner's 50% interest in its subsidiary Panneaux Chambord Inc. for a total consideration of $63,560, including acquisition costs. Of the total consideration, $52,000 was paid in cash and $11,560 was paid through the issuance of promissory notes. The excess of the price paid of $23,046 over the book value of the net assets acquired has been allocated to fixed assets.</w:t>
      </w:r>
    </w:p>
    <w:p>
      <w:pPr>
        <w:spacing w:after="0" w:line="70"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5. Forex is organized along its product lines.</w:t>
      </w:r>
    </w:p>
    <w:p>
      <w:pPr>
        <w:spacing w:after="0" w:line="185" w:lineRule="exact"/>
        <w:rPr>
          <w:sz w:val="20"/>
          <w:szCs w:val="20"/>
          <w:color w:val="auto"/>
        </w:rPr>
      </w:pPr>
    </w:p>
    <w:p>
      <w:pPr>
        <w:ind w:left="5" w:right="2860" w:firstLine="1107"/>
        <w:spacing w:after="0" w:line="377" w:lineRule="auto"/>
        <w:rPr>
          <w:sz w:val="20"/>
          <w:szCs w:val="20"/>
          <w:color w:val="auto"/>
        </w:rPr>
      </w:pPr>
      <w:r>
        <w:rPr>
          <w:rFonts w:ascii="Courier New" w:cs="Courier New" w:eastAsia="Courier New" w:hAnsi="Courier New"/>
          <w:sz w:val="15"/>
          <w:szCs w:val="15"/>
          <w:color w:val="auto"/>
        </w:rPr>
        <w:t>The following table sets forth selected segment data for the periods ended June 30, 1999 and 1998:</w:t>
      </w:r>
    </w:p>
    <w:p>
      <w:pPr>
        <w:spacing w:after="0" w:line="353" w:lineRule="exact"/>
        <w:rPr>
          <w:sz w:val="20"/>
          <w:szCs w:val="20"/>
          <w:color w:val="auto"/>
        </w:rPr>
      </w:pPr>
    </w:p>
    <w:p>
      <w:pPr>
        <w:ind w:left="5"/>
        <w:spacing w:after="0"/>
        <w:tabs>
          <w:tab w:leader="none" w:pos="5425"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SIX MONTHS ENDED JUNE 30</w:t>
      </w:r>
    </w:p>
    <w:p>
      <w:pPr>
        <w:spacing w:after="0" w:line="36" w:lineRule="exact"/>
        <w:rPr>
          <w:sz w:val="20"/>
          <w:szCs w:val="20"/>
          <w:color w:val="auto"/>
        </w:rPr>
      </w:pPr>
    </w:p>
    <w:p>
      <w:pPr>
        <w:ind w:left="185" w:hanging="185"/>
        <w:spacing w:after="0"/>
        <w:tabs>
          <w:tab w:leader="none" w:pos="1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7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w:t>
      </w:r>
    </w:p>
    <w:p>
      <w:pPr>
        <w:spacing w:after="0" w:line="8" w:lineRule="exact"/>
        <w:rPr>
          <w:sz w:val="20"/>
          <w:szCs w:val="20"/>
          <w:color w:val="auto"/>
        </w:rPr>
      </w:pPr>
    </w:p>
    <w:p>
      <w:pPr>
        <w:ind w:left="3685"/>
        <w:spacing w:after="0"/>
        <w:tabs>
          <w:tab w:leader="none" w:pos="4965" w:val="left"/>
          <w:tab w:leader="none" w:pos="6165" w:val="left"/>
          <w:tab w:leader="none" w:pos="7445" w:val="left"/>
          <w:tab w:leader="none" w:pos="8925" w:val="left"/>
        </w:tabs>
        <w:rPr>
          <w:sz w:val="20"/>
          <w:szCs w:val="20"/>
          <w:color w:val="auto"/>
        </w:rPr>
      </w:pPr>
      <w:r>
        <w:rPr>
          <w:rFonts w:ascii="Courier New" w:cs="Courier New" w:eastAsia="Courier New" w:hAnsi="Courier New"/>
          <w:sz w:val="15"/>
          <w:szCs w:val="15"/>
          <w:color w:val="auto"/>
        </w:rPr>
        <w:t>OSB</w:t>
      </w:r>
      <w:r>
        <w:rPr>
          <w:sz w:val="20"/>
          <w:szCs w:val="20"/>
          <w:color w:val="auto"/>
        </w:rPr>
        <w:tab/>
      </w:r>
      <w:r>
        <w:rPr>
          <w:rFonts w:ascii="Courier New" w:cs="Courier New" w:eastAsia="Courier New" w:hAnsi="Courier New"/>
          <w:sz w:val="15"/>
          <w:szCs w:val="15"/>
          <w:color w:val="auto"/>
        </w:rPr>
        <w:t>LUMBER</w:t>
      </w:r>
      <w:r>
        <w:rPr>
          <w:sz w:val="20"/>
          <w:szCs w:val="20"/>
          <w:color w:val="auto"/>
        </w:rPr>
        <w:tab/>
      </w:r>
      <w:r>
        <w:rPr>
          <w:rFonts w:ascii="Courier New" w:cs="Courier New" w:eastAsia="Courier New" w:hAnsi="Courier New"/>
          <w:sz w:val="15"/>
          <w:szCs w:val="15"/>
          <w:color w:val="auto"/>
        </w:rPr>
        <w:t>ALL OTHERS</w:t>
      </w:r>
      <w:r>
        <w:rPr>
          <w:sz w:val="20"/>
          <w:szCs w:val="20"/>
          <w:color w:val="auto"/>
        </w:rPr>
        <w:tab/>
      </w:r>
      <w:r>
        <w:rPr>
          <w:rFonts w:ascii="Courier New" w:cs="Courier New" w:eastAsia="Courier New" w:hAnsi="Courier New"/>
          <w:sz w:val="15"/>
          <w:szCs w:val="15"/>
          <w:color w:val="auto"/>
        </w:rPr>
        <w:t>ELIMINATION</w:t>
      </w:r>
      <w:r>
        <w:rPr>
          <w:sz w:val="20"/>
          <w:szCs w:val="20"/>
          <w:color w:val="auto"/>
        </w:rPr>
        <w:tab/>
      </w:r>
      <w:r>
        <w:rPr>
          <w:rFonts w:ascii="Courier New" w:cs="Courier New" w:eastAsia="Courier New" w:hAnsi="Courier New"/>
          <w:sz w:val="15"/>
          <w:szCs w:val="15"/>
          <w:color w:val="auto"/>
        </w:rPr>
        <w:t>FINANCIAL</w:t>
      </w:r>
    </w:p>
    <w:p>
      <w:pPr>
        <w:spacing w:after="0" w:line="8" w:lineRule="exact"/>
        <w:rPr>
          <w:sz w:val="20"/>
          <w:szCs w:val="20"/>
          <w:color w:val="auto"/>
        </w:rPr>
      </w:pPr>
    </w:p>
    <w:p>
      <w:pPr>
        <w:ind w:left="8865"/>
        <w:spacing w:after="0"/>
        <w:rPr>
          <w:sz w:val="20"/>
          <w:szCs w:val="20"/>
          <w:color w:val="auto"/>
        </w:rPr>
      </w:pPr>
      <w:r>
        <w:rPr>
          <w:rFonts w:ascii="Courier New" w:cs="Courier New" w:eastAsia="Courier New" w:hAnsi="Courier New"/>
          <w:sz w:val="15"/>
          <w:szCs w:val="15"/>
          <w:color w:val="auto"/>
        </w:rPr>
        <w:t>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34" w:lineRule="exact"/>
        <w:rPr>
          <w:sz w:val="20"/>
          <w:szCs w:val="20"/>
          <w:color w:val="auto"/>
        </w:rPr>
      </w:pPr>
    </w:p>
    <w:p>
      <w:pPr>
        <w:ind w:left="5"/>
        <w:spacing w:after="0"/>
        <w:tabs>
          <w:tab w:leader="none" w:pos="3385" w:val="left"/>
          <w:tab w:leader="none" w:pos="3765" w:val="left"/>
          <w:tab w:leader="none" w:pos="4785" w:val="left"/>
          <w:tab w:leader="none" w:pos="5245" w:val="left"/>
          <w:tab w:leader="none" w:pos="6165" w:val="left"/>
          <w:tab w:leader="none" w:pos="6725" w:val="left"/>
          <w:tab w:leader="none" w:pos="7545" w:val="left"/>
          <w:tab w:leader="none" w:pos="8185" w:val="left"/>
          <w:tab w:leader="none" w:pos="8925" w:val="left"/>
          <w:tab w:leader="none" w:pos="9305" w:val="left"/>
        </w:tabs>
        <w:rPr>
          <w:sz w:val="20"/>
          <w:szCs w:val="20"/>
          <w:color w:val="auto"/>
        </w:rPr>
      </w:pPr>
      <w:r>
        <w:rPr>
          <w:rFonts w:ascii="Courier New" w:cs="Courier New" w:eastAsia="Courier New" w:hAnsi="Courier New"/>
          <w:sz w:val="15"/>
          <w:szCs w:val="15"/>
          <w:color w:val="auto"/>
        </w:rPr>
        <w:t>SALES FROM EXTERNAL CUSTOMERS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181,424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19,840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3,438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204,548</w:t>
      </w:r>
    </w:p>
    <w:p>
      <w:pPr>
        <w:spacing w:after="0" w:line="36" w:lineRule="exact"/>
        <w:rPr>
          <w:sz w:val="20"/>
          <w:szCs w:val="20"/>
          <w:color w:val="auto"/>
        </w:rPr>
      </w:pPr>
    </w:p>
    <w:p>
      <w:pPr>
        <w:ind w:left="185" w:hanging="185"/>
        <w:spacing w:after="0"/>
        <w:tabs>
          <w:tab w:leader="none" w:pos="1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748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SEGMENT EARNINGS (LOSS) BEFORE INCOME TAXES, DEPRECIATION, INTEREST AND MINORITY</w:t>
      </w:r>
    </w:p>
    <w:p>
      <w:pPr>
        <w:spacing w:after="0" w:line="1" w:lineRule="exact"/>
        <w:rPr>
          <w:sz w:val="20"/>
          <w:szCs w:val="20"/>
          <w:color w:val="auto"/>
        </w:rPr>
      </w:pPr>
    </w:p>
    <w:tbl>
      <w:tblPr>
        <w:tblLayout w:type="fixed"/>
        <w:tblInd w:w="185" w:type="dxa"/>
        <w:tblCellMar>
          <w:top w:w="0" w:type="dxa"/>
          <w:left w:w="0" w:type="dxa"/>
          <w:bottom w:w="0" w:type="dxa"/>
          <w:right w:w="0" w:type="dxa"/>
        </w:tblCellMar>
      </w:tblPr>
      <w:tr>
        <w:trPr>
          <w:trHeight w:val="260"/>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85,488</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707</w:t>
            </w:r>
          </w:p>
        </w:tc>
        <w:tc>
          <w:tcPr>
            <w:tcW w:w="13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13,654</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(4,009)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95,840</w:t>
            </w:r>
          </w:p>
        </w:tc>
      </w:tr>
    </w:tbl>
    <w:p>
      <w:pPr>
        <w:spacing w:after="0" w:line="6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2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310,403</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33,524</w:t>
            </w: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37,850</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102,118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483,895</w:t>
            </w:r>
          </w:p>
        </w:tc>
      </w:tr>
    </w:tbl>
    <w:p>
      <w:pPr>
        <w:ind w:left="185" w:hanging="185"/>
        <w:spacing w:after="0"/>
        <w:tabs>
          <w:tab w:leader="none" w:pos="1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SEGMENT ACQUISITION OF CAPITAL</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2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9,470</w:t>
            </w:r>
          </w:p>
        </w:tc>
        <w:tc>
          <w:tcPr>
            <w:tcW w:w="14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(217)</w:t>
            </w:r>
          </w:p>
        </w:tc>
        <w:tc>
          <w:tcPr>
            <w:tcW w:w="1940" w:type="dxa"/>
            <w:vAlign w:val="bottom"/>
          </w:tcPr>
          <w:p>
            <w:pPr>
              <w:jc w:val="right"/>
              <w:ind w:right="1063"/>
              <w:spacing w:after="0"/>
              <w:rPr>
                <w:sz w:val="20"/>
                <w:szCs w:val="20"/>
                <w:color w:val="auto"/>
              </w:rPr>
            </w:pPr>
            <w:r>
              <w:rPr>
                <w:rFonts w:ascii="Courier New" w:cs="Courier New" w:eastAsia="Courier New" w:hAnsi="Courier New"/>
                <w:sz w:val="15"/>
                <w:szCs w:val="15"/>
                <w:color w:val="auto"/>
              </w:rPr>
              <w:t>481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9,734</w:t>
            </w:r>
          </w:p>
        </w:tc>
      </w:tr>
    </w:tbl>
    <w:p>
      <w:pPr>
        <w:spacing w:after="0" w:line="67" w:lineRule="exact"/>
        <w:rPr>
          <w:sz w:val="20"/>
          <w:szCs w:val="20"/>
          <w:color w:val="auto"/>
        </w:rPr>
      </w:pPr>
    </w:p>
    <w:p>
      <w:pPr>
        <w:ind w:left="185" w:hanging="185"/>
        <w:spacing w:after="0"/>
        <w:tabs>
          <w:tab w:leader="none" w:pos="18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39" w:lineRule="exact"/>
        <w:rPr>
          <w:rFonts w:ascii="Courier New" w:cs="Courier New" w:eastAsia="Courier New" w:hAnsi="Courier New"/>
          <w:sz w:val="15"/>
          <w:szCs w:val="15"/>
          <w:color w:val="auto"/>
        </w:rPr>
      </w:pPr>
    </w:p>
    <w:p>
      <w:pPr>
        <w:ind w:left="35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w:t>
      </w:r>
    </w:p>
    <w:p>
      <w:pPr>
        <w:sectPr>
          <w:pgSz w:w="11900" w:h="16838" w:orient="portrait"/>
          <w:cols w:equalWidth="0" w:num="1">
            <w:col w:w="10245"/>
          </w:cols>
          <w:pgMar w:left="235" w:top="800" w:right="1419" w:bottom="1440" w:gutter="0" w:footer="0" w:header="0"/>
        </w:sectPr>
      </w:pPr>
    </w:p>
    <w:bookmarkStart w:id="9" w:name="page10"/>
    <w:bookmarkEnd w:id="9"/>
    <w:p>
      <w:pPr>
        <w:ind w:left="5"/>
        <w:spacing w:after="0"/>
        <w:tabs>
          <w:tab w:leader="none" w:pos="542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SIX MONTHS ENDED JUNE 30</w:t>
      </w:r>
    </w:p>
    <w:p>
      <w:pPr>
        <w:spacing w:after="0" w:line="36" w:lineRule="exact"/>
        <w:rPr>
          <w:sz w:val="20"/>
          <w:szCs w:val="20"/>
          <w:color w:val="auto"/>
        </w:rPr>
      </w:pPr>
    </w:p>
    <w:p>
      <w:pPr>
        <w:ind w:left="185" w:hanging="185"/>
        <w:spacing w:after="0"/>
        <w:tabs>
          <w:tab w:leader="none" w:pos="18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7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w:t>
      </w:r>
    </w:p>
    <w:p>
      <w:pPr>
        <w:spacing w:after="0" w:line="8" w:lineRule="exact"/>
        <w:rPr>
          <w:sz w:val="20"/>
          <w:szCs w:val="20"/>
          <w:color w:val="auto"/>
        </w:rPr>
      </w:pPr>
    </w:p>
    <w:p>
      <w:pPr>
        <w:ind w:left="3685"/>
        <w:spacing w:after="0"/>
        <w:tabs>
          <w:tab w:leader="none" w:pos="4965" w:val="left"/>
          <w:tab w:leader="none" w:pos="6165" w:val="left"/>
          <w:tab w:leader="none" w:pos="7445" w:val="left"/>
          <w:tab w:leader="none" w:pos="8925" w:val="left"/>
        </w:tabs>
        <w:rPr>
          <w:sz w:val="20"/>
          <w:szCs w:val="20"/>
          <w:color w:val="auto"/>
        </w:rPr>
      </w:pPr>
      <w:r>
        <w:rPr>
          <w:rFonts w:ascii="Courier New" w:cs="Courier New" w:eastAsia="Courier New" w:hAnsi="Courier New"/>
          <w:sz w:val="15"/>
          <w:szCs w:val="15"/>
          <w:color w:val="auto"/>
        </w:rPr>
        <w:t>OSB</w:t>
      </w:r>
      <w:r>
        <w:rPr>
          <w:sz w:val="20"/>
          <w:szCs w:val="20"/>
          <w:color w:val="auto"/>
        </w:rPr>
        <w:tab/>
      </w:r>
      <w:r>
        <w:rPr>
          <w:rFonts w:ascii="Courier New" w:cs="Courier New" w:eastAsia="Courier New" w:hAnsi="Courier New"/>
          <w:sz w:val="15"/>
          <w:szCs w:val="15"/>
          <w:color w:val="auto"/>
        </w:rPr>
        <w:t>LUMBER</w:t>
      </w:r>
      <w:r>
        <w:rPr>
          <w:sz w:val="20"/>
          <w:szCs w:val="20"/>
          <w:color w:val="auto"/>
        </w:rPr>
        <w:tab/>
      </w:r>
      <w:r>
        <w:rPr>
          <w:rFonts w:ascii="Courier New" w:cs="Courier New" w:eastAsia="Courier New" w:hAnsi="Courier New"/>
          <w:sz w:val="15"/>
          <w:szCs w:val="15"/>
          <w:color w:val="auto"/>
        </w:rPr>
        <w:t>ALL OTHERS</w:t>
      </w:r>
      <w:r>
        <w:rPr>
          <w:sz w:val="20"/>
          <w:szCs w:val="20"/>
          <w:color w:val="auto"/>
        </w:rPr>
        <w:tab/>
      </w:r>
      <w:r>
        <w:rPr>
          <w:rFonts w:ascii="Courier New" w:cs="Courier New" w:eastAsia="Courier New" w:hAnsi="Courier New"/>
          <w:sz w:val="15"/>
          <w:szCs w:val="15"/>
          <w:color w:val="auto"/>
        </w:rPr>
        <w:t>ELIMINATION</w:t>
      </w:r>
      <w:r>
        <w:rPr>
          <w:sz w:val="20"/>
          <w:szCs w:val="20"/>
          <w:color w:val="auto"/>
        </w:rPr>
        <w:tab/>
      </w:r>
      <w:r>
        <w:rPr>
          <w:rFonts w:ascii="Courier New" w:cs="Courier New" w:eastAsia="Courier New" w:hAnsi="Courier New"/>
          <w:sz w:val="15"/>
          <w:szCs w:val="15"/>
          <w:color w:val="auto"/>
        </w:rPr>
        <w:t>FINANCIAL</w:t>
      </w:r>
    </w:p>
    <w:p>
      <w:pPr>
        <w:spacing w:after="0" w:line="8" w:lineRule="exact"/>
        <w:rPr>
          <w:sz w:val="20"/>
          <w:szCs w:val="20"/>
          <w:color w:val="auto"/>
        </w:rPr>
      </w:pPr>
    </w:p>
    <w:p>
      <w:pPr>
        <w:ind w:left="8865"/>
        <w:spacing w:after="0"/>
        <w:rPr>
          <w:sz w:val="20"/>
          <w:szCs w:val="20"/>
          <w:color w:val="auto"/>
        </w:rPr>
      </w:pPr>
      <w:r>
        <w:rPr>
          <w:rFonts w:ascii="Courier New" w:cs="Courier New" w:eastAsia="Courier New" w:hAnsi="Courier New"/>
          <w:sz w:val="15"/>
          <w:szCs w:val="15"/>
          <w:color w:val="auto"/>
        </w:rPr>
        <w:t>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34" w:lineRule="exact"/>
        <w:rPr>
          <w:sz w:val="20"/>
          <w:szCs w:val="20"/>
          <w:color w:val="auto"/>
        </w:rPr>
      </w:pPr>
    </w:p>
    <w:p>
      <w:pPr>
        <w:ind w:left="5"/>
        <w:spacing w:after="0"/>
        <w:tabs>
          <w:tab w:leader="none" w:pos="3385" w:val="left"/>
          <w:tab w:leader="none" w:pos="3845" w:val="left"/>
          <w:tab w:leader="none" w:pos="4785" w:val="left"/>
          <w:tab w:leader="none" w:pos="5325" w:val="left"/>
          <w:tab w:leader="none" w:pos="6165" w:val="left"/>
          <w:tab w:leader="none" w:pos="6725" w:val="left"/>
          <w:tab w:leader="none" w:pos="7545" w:val="left"/>
          <w:tab w:leader="none" w:pos="8285" w:val="left"/>
          <w:tab w:leader="none" w:pos="8925" w:val="left"/>
          <w:tab w:leader="none" w:pos="9385" w:val="left"/>
        </w:tabs>
        <w:rPr>
          <w:sz w:val="20"/>
          <w:szCs w:val="20"/>
          <w:color w:val="auto"/>
        </w:rPr>
      </w:pPr>
      <w:r>
        <w:rPr>
          <w:rFonts w:ascii="Courier New" w:cs="Courier New" w:eastAsia="Courier New" w:hAnsi="Courier New"/>
          <w:sz w:val="15"/>
          <w:szCs w:val="15"/>
          <w:color w:val="auto"/>
        </w:rPr>
        <w:t>SALES FROM EXTERNAL CUSTOMERS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74,775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9,362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3,820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87,870</w:t>
      </w:r>
    </w:p>
    <w:p>
      <w:pPr>
        <w:spacing w:after="0" w:line="36" w:lineRule="exact"/>
        <w:rPr>
          <w:sz w:val="20"/>
          <w:szCs w:val="20"/>
          <w:color w:val="auto"/>
        </w:rPr>
      </w:pPr>
    </w:p>
    <w:p>
      <w:pPr>
        <w:ind w:left="185" w:hanging="185"/>
        <w:spacing w:after="0"/>
        <w:tabs>
          <w:tab w:leader="none" w:pos="18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748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SEGMENT EARNINGS (LOSS) BEFORE INCOME TAXES, DEPRECIATION, INTEREST AND MINORITY</w:t>
      </w:r>
    </w:p>
    <w:p>
      <w:pPr>
        <w:spacing w:after="0" w:line="1" w:lineRule="exact"/>
        <w:rPr>
          <w:sz w:val="20"/>
          <w:szCs w:val="20"/>
          <w:color w:val="auto"/>
        </w:rPr>
      </w:pPr>
    </w:p>
    <w:tbl>
      <w:tblPr>
        <w:tblLayout w:type="fixed"/>
        <w:tblInd w:w="185" w:type="dxa"/>
        <w:tblCellMar>
          <w:top w:w="0" w:type="dxa"/>
          <w:left w:w="0" w:type="dxa"/>
          <w:bottom w:w="0" w:type="dxa"/>
          <w:right w:w="0" w:type="dxa"/>
        </w:tblCellMar>
      </w:tblPr>
      <w:tr>
        <w:trPr>
          <w:trHeight w:val="260"/>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17,571</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(46)</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3,918</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(874)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20,569</w:t>
            </w:r>
          </w:p>
        </w:tc>
      </w:tr>
    </w:tbl>
    <w:p>
      <w:pPr>
        <w:spacing w:after="0" w:line="67"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SEGMENT ACQUISITION OF CAPITAL</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2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7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2,217</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389</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235</w:t>
            </w: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2,843</w:t>
            </w:r>
          </w:p>
        </w:tc>
      </w:tr>
    </w:tbl>
    <w:p>
      <w:pPr>
        <w:spacing w:after="0" w:line="6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665"/>
        <w:spacing w:after="0"/>
        <w:rPr>
          <w:sz w:val="20"/>
          <w:szCs w:val="20"/>
          <w:color w:val="auto"/>
        </w:rPr>
      </w:pPr>
      <w:r>
        <w:rPr>
          <w:rFonts w:ascii="Courier New" w:cs="Courier New" w:eastAsia="Courier New" w:hAnsi="Courier New"/>
          <w:sz w:val="15"/>
          <w:szCs w:val="15"/>
          <w:color w:val="auto"/>
        </w:rPr>
        <w:t>SIX MONTHS ENDED JUNE 30</w:t>
      </w:r>
    </w:p>
    <w:p>
      <w:pPr>
        <w:spacing w:after="0" w:line="185" w:lineRule="exact"/>
        <w:rPr>
          <w:sz w:val="20"/>
          <w:szCs w:val="20"/>
          <w:color w:val="auto"/>
        </w:rPr>
      </w:pPr>
    </w:p>
    <w:p>
      <w:pPr>
        <w:ind w:left="2685"/>
        <w:spacing w:after="0"/>
        <w:tabs>
          <w:tab w:leader="none" w:pos="7545" w:val="left"/>
          <w:tab w:leader="none" w:pos="8845" w:val="left"/>
        </w:tabs>
        <w:rPr>
          <w:sz w:val="20"/>
          <w:szCs w:val="20"/>
          <w:color w:val="auto"/>
        </w:rPr>
      </w:pPr>
      <w:r>
        <w:rPr>
          <w:rFonts w:ascii="Courier New" w:cs="Courier New" w:eastAsia="Courier New" w:hAnsi="Courier New"/>
          <w:sz w:val="15"/>
          <w:szCs w:val="15"/>
          <w:color w:val="auto"/>
        </w:rPr>
        <w:t>RECONCILIATION TO NET EARNINGS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6"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tbl>
      <w:tblPr>
        <w:tblLayout w:type="fixed"/>
        <w:tblInd w:w="2685" w:type="dxa"/>
        <w:tblCellMar>
          <w:top w:w="0" w:type="dxa"/>
          <w:left w:w="0" w:type="dxa"/>
          <w:bottom w:w="0" w:type="dxa"/>
          <w:right w:w="0" w:type="dxa"/>
        </w:tblCellMar>
      </w:tblPr>
      <w:tr>
        <w:trPr>
          <w:trHeight w:val="177"/>
        </w:trPr>
        <w:tc>
          <w:tcPr>
            <w:tcW w:w="39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SEGMENT EARNINGS BEFORE INCOME TAXES,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DEPRECIATION, INTERESTS AND MINORITY</w:t>
            </w:r>
          </w:p>
        </w:tc>
        <w:tc>
          <w:tcPr>
            <w:tcW w:w="82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95,840</w:t>
            </w:r>
          </w:p>
        </w:tc>
        <w:tc>
          <w:tcPr>
            <w:tcW w:w="46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20,569</w:t>
            </w:r>
          </w:p>
        </w:tc>
        <w:tc>
          <w:tcPr>
            <w:tcW w:w="0" w:type="dxa"/>
            <w:vAlign w:val="bottom"/>
          </w:tcPr>
          <w:p>
            <w:pPr>
              <w:spacing w:after="0"/>
              <w:rPr>
                <w:sz w:val="1"/>
                <w:szCs w:val="1"/>
                <w:color w:val="auto"/>
              </w:rPr>
            </w:pPr>
          </w:p>
        </w:tc>
      </w:tr>
      <w:tr>
        <w:trPr>
          <w:trHeight w:val="260"/>
        </w:trPr>
        <w:tc>
          <w:tcPr>
            <w:tcW w:w="3960" w:type="dxa"/>
            <w:vAlign w:val="bottom"/>
          </w:tcPr>
          <w:p>
            <w:pPr>
              <w:jc w:val="right"/>
              <w:ind w:right="3063"/>
              <w:spacing w:after="0"/>
              <w:rPr>
                <w:sz w:val="20"/>
                <w:szCs w:val="20"/>
                <w:color w:val="auto"/>
              </w:rPr>
            </w:pPr>
            <w:r>
              <w:rPr>
                <w:rFonts w:ascii="Courier New" w:cs="Courier New" w:eastAsia="Courier New" w:hAnsi="Courier New"/>
                <w:sz w:val="15"/>
                <w:szCs w:val="15"/>
                <w:color w:val="auto"/>
              </w:rPr>
              <w:t>INTEREST</w:t>
            </w:r>
          </w:p>
        </w:tc>
        <w:tc>
          <w:tcPr>
            <w:tcW w:w="82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tbl>
      <w:tblPr>
        <w:tblLayout w:type="fixed"/>
        <w:tblInd w:w="2685" w:type="dxa"/>
        <w:tblCellMar>
          <w:top w:w="0" w:type="dxa"/>
          <w:left w:w="0" w:type="dxa"/>
          <w:bottom w:w="0" w:type="dxa"/>
          <w:right w:w="0" w:type="dxa"/>
        </w:tblCellMar>
      </w:tblP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AMORTIZATION OF FIXED ASSETS AND OTHER ASSETS</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(10,101)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(6,024)</w:t>
            </w:r>
          </w:p>
        </w:tc>
      </w:tr>
    </w:tbl>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2685" w:type="dxa"/>
        <w:tblCellMar>
          <w:top w:w="0" w:type="dxa"/>
          <w:left w:w="0" w:type="dxa"/>
          <w:bottom w:w="0" w:type="dxa"/>
          <w:right w:w="0" w:type="dxa"/>
        </w:tblCellMar>
      </w:tblPr>
      <w:tr>
        <w:trPr>
          <w:trHeight w:val="177"/>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EXPENSES</w:t>
            </w:r>
          </w:p>
        </w:tc>
        <w:tc>
          <w:tcPr>
            <w:tcW w:w="27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(7,866)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(5,600)</w:t>
            </w:r>
          </w:p>
        </w:tc>
      </w:tr>
    </w:tbl>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2685" w:type="dxa"/>
        <w:tblCellMar>
          <w:top w:w="0" w:type="dxa"/>
          <w:left w:w="0" w:type="dxa"/>
          <w:bottom w:w="0" w:type="dxa"/>
          <w:right w:w="0" w:type="dxa"/>
        </w:tblCellMar>
      </w:tblP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INTEREST REVENUES</w:t>
            </w:r>
          </w:p>
        </w:tc>
        <w:tc>
          <w:tcPr>
            <w:tcW w:w="2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bl>
    <w:p>
      <w:pPr>
        <w:ind w:left="2685"/>
        <w:spacing w:after="0"/>
        <w:rPr>
          <w:sz w:val="20"/>
          <w:szCs w:val="20"/>
          <w:color w:val="auto"/>
        </w:rPr>
      </w:pPr>
      <w:r>
        <w:rPr>
          <w:rFonts w:ascii="Courier New" w:cs="Courier New" w:eastAsia="Courier New" w:hAnsi="Courier New"/>
          <w:sz w:val="15"/>
          <w:szCs w:val="15"/>
          <w:color w:val="auto"/>
        </w:rPr>
        <w:t>-----------------------------------------------------------------------------</w:t>
      </w:r>
    </w:p>
    <w:tbl>
      <w:tblPr>
        <w:tblLayout w:type="fixed"/>
        <w:tblInd w:w="2685" w:type="dxa"/>
        <w:tblCellMar>
          <w:top w:w="0" w:type="dxa"/>
          <w:left w:w="0" w:type="dxa"/>
          <w:bottom w:w="0" w:type="dxa"/>
          <w:right w:w="0" w:type="dxa"/>
        </w:tblCellMar>
      </w:tblPr>
      <w:tr>
        <w:trPr>
          <w:trHeight w:val="157"/>
        </w:trPr>
        <w:tc>
          <w:tcPr>
            <w:tcW w:w="3400" w:type="dxa"/>
            <w:vAlign w:val="bottom"/>
            <w:gridSpan w:val="2"/>
          </w:tcPr>
          <w:p>
            <w:pPr>
              <w:spacing w:after="0" w:line="157" w:lineRule="exact"/>
              <w:rPr>
                <w:sz w:val="20"/>
                <w:szCs w:val="20"/>
                <w:color w:val="auto"/>
              </w:rPr>
            </w:pPr>
            <w:r>
              <w:rPr>
                <w:rFonts w:ascii="Courier New" w:cs="Courier New" w:eastAsia="Courier New" w:hAnsi="Courier New"/>
                <w:sz w:val="15"/>
                <w:szCs w:val="15"/>
                <w:color w:val="auto"/>
              </w:rPr>
              <w:t>OTHER REVENUES (EXPENSES)</w:t>
            </w:r>
          </w:p>
        </w:tc>
        <w:tc>
          <w:tcPr>
            <w:tcW w:w="1380" w:type="dxa"/>
            <w:vAlign w:val="bottom"/>
          </w:tcPr>
          <w:p>
            <w:pPr>
              <w:spacing w:after="0"/>
              <w:rPr>
                <w:sz w:val="13"/>
                <w:szCs w:val="13"/>
                <w:color w:val="auto"/>
              </w:rPr>
            </w:pPr>
          </w:p>
        </w:tc>
        <w:tc>
          <w:tcPr>
            <w:tcW w:w="980" w:type="dxa"/>
            <w:vAlign w:val="bottom"/>
          </w:tcPr>
          <w:p>
            <w:pPr>
              <w:jc w:val="right"/>
              <w:ind w:right="63"/>
              <w:spacing w:after="0" w:line="157" w:lineRule="exact"/>
              <w:rPr>
                <w:sz w:val="20"/>
                <w:szCs w:val="20"/>
                <w:color w:val="auto"/>
              </w:rPr>
            </w:pPr>
            <w:r>
              <w:rPr>
                <w:rFonts w:ascii="Courier New" w:cs="Courier New" w:eastAsia="Courier New" w:hAnsi="Courier New"/>
                <w:sz w:val="15"/>
                <w:szCs w:val="15"/>
                <w:color w:val="auto"/>
              </w:rPr>
              <w:t>(903)</w:t>
            </w:r>
          </w:p>
        </w:tc>
        <w:tc>
          <w:tcPr>
            <w:tcW w:w="420" w:type="dxa"/>
            <w:vAlign w:val="bottom"/>
          </w:tcPr>
          <w:p>
            <w:pPr>
              <w:spacing w:after="0"/>
              <w:rPr>
                <w:sz w:val="13"/>
                <w:szCs w:val="13"/>
                <w:color w:val="auto"/>
              </w:rPr>
            </w:pPr>
          </w:p>
        </w:tc>
        <w:tc>
          <w:tcPr>
            <w:tcW w:w="920" w:type="dxa"/>
            <w:vAlign w:val="bottom"/>
          </w:tcPr>
          <w:p>
            <w:pPr>
              <w:jc w:val="right"/>
              <w:ind w:right="103"/>
              <w:spacing w:after="0" w:line="157" w:lineRule="exact"/>
              <w:rPr>
                <w:sz w:val="20"/>
                <w:szCs w:val="20"/>
                <w:color w:val="auto"/>
              </w:rPr>
            </w:pPr>
            <w:r>
              <w:rPr>
                <w:rFonts w:ascii="Courier New" w:cs="Courier New" w:eastAsia="Courier New" w:hAnsi="Courier New"/>
                <w:sz w:val="15"/>
                <w:szCs w:val="15"/>
                <w:color w:val="auto"/>
              </w:rPr>
              <w:t>959</w:t>
            </w:r>
          </w:p>
        </w:tc>
        <w:tc>
          <w:tcPr>
            <w:tcW w:w="0" w:type="dxa"/>
            <w:vAlign w:val="bottom"/>
          </w:tcPr>
          <w:p>
            <w:pPr>
              <w:spacing w:after="0"/>
              <w:rPr>
                <w:sz w:val="1"/>
                <w:szCs w:val="1"/>
                <w:color w:val="auto"/>
              </w:rPr>
            </w:pPr>
          </w:p>
        </w:tc>
      </w:tr>
      <w:tr>
        <w:trPr>
          <w:trHeight w:val="260"/>
        </w:trPr>
        <w:tc>
          <w:tcPr>
            <w:tcW w:w="2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EARNINGS BEFORE INCOME</w:t>
            </w:r>
          </w:p>
        </w:tc>
        <w:tc>
          <w:tcPr>
            <w:tcW w:w="13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TAXES</w:t>
            </w:r>
          </w:p>
        </w:tc>
        <w:tc>
          <w:tcPr>
            <w:tcW w:w="3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20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8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78,318</w:t>
            </w:r>
          </w:p>
        </w:tc>
        <w:tc>
          <w:tcPr>
            <w:tcW w:w="42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10,346</w:t>
            </w:r>
          </w:p>
        </w:tc>
        <w:tc>
          <w:tcPr>
            <w:tcW w:w="0" w:type="dxa"/>
            <w:vAlign w:val="bottom"/>
          </w:tcPr>
          <w:p>
            <w:pPr>
              <w:spacing w:after="0"/>
              <w:rPr>
                <w:sz w:val="1"/>
                <w:szCs w:val="1"/>
                <w:color w:val="auto"/>
              </w:rPr>
            </w:pPr>
          </w:p>
        </w:tc>
      </w:tr>
      <w:tr>
        <w:trPr>
          <w:trHeight w:val="205"/>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AND MINORITY INTEREST</w:t>
            </w:r>
          </w:p>
        </w:tc>
        <w:tc>
          <w:tcPr>
            <w:tcW w:w="13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68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45"/>
          </w:cols>
          <w:pgMar w:left="235" w:top="1154" w:right="1419" w:bottom="1440" w:gutter="0" w:footer="0" w:header="0"/>
        </w:sectPr>
      </w:pPr>
    </w:p>
    <w:bookmarkStart w:id="10" w:name="page11"/>
    <w:bookmarkEnd w:id="10"/>
    <w:p>
      <w:pPr>
        <w:ind w:left="645" w:right="3400" w:hanging="645"/>
        <w:spacing w:after="0" w:line="375" w:lineRule="auto"/>
        <w:tabs>
          <w:tab w:leader="none" w:pos="6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BETWEEN GENERALLY ACCEPTED ACCOUNTING PRINCIPLES IN CANADA AND IN THE UNITED STATES:</w:t>
      </w:r>
    </w:p>
    <w:p>
      <w:pPr>
        <w:spacing w:after="0" w:line="1" w:lineRule="exact"/>
        <w:rPr>
          <w:sz w:val="20"/>
          <w:szCs w:val="20"/>
          <w:color w:val="auto"/>
        </w:rPr>
      </w:pPr>
    </w:p>
    <w:p>
      <w:pPr>
        <w:ind w:left="5" w:right="3500" w:firstLine="830"/>
        <w:spacing w:after="0" w:line="276" w:lineRule="auto"/>
        <w:rPr>
          <w:sz w:val="20"/>
          <w:szCs w:val="20"/>
          <w:color w:val="auto"/>
        </w:rPr>
      </w:pPr>
      <w:r>
        <w:rPr>
          <w:rFonts w:ascii="Courier New" w:cs="Courier New" w:eastAsia="Courier New" w:hAnsi="Courier New"/>
          <w:sz w:val="15"/>
          <w:szCs w:val="15"/>
          <w:color w:val="auto"/>
        </w:rPr>
        <w:t>The Forex unaudited consolidated summary financial statements were prepared in accordance with generally accepted accounting principles in Canada, which differ in some respects from those applicable in the United States ("U.S."). The following tables set forth the impact of material differences between Canadian GAAP and U.S. GAAP on Forex's unaudited consolidated summary financial statements.</w:t>
      </w:r>
    </w:p>
    <w:p>
      <w:pPr>
        <w:spacing w:after="0" w:line="200" w:lineRule="exact"/>
        <w:rPr>
          <w:sz w:val="20"/>
          <w:szCs w:val="20"/>
          <w:color w:val="auto"/>
        </w:rPr>
      </w:pP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(A)  CONSOLIDATED STATEMENTS OF EARNINGS:</w:t>
            </w:r>
          </w:p>
        </w:tc>
        <w:tc>
          <w:tcPr>
            <w:tcW w:w="190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spacing w:after="0"/>
              <w:rPr>
                <w:sz w:val="22"/>
                <w:szCs w:val="22"/>
                <w:color w:val="auto"/>
              </w:rPr>
            </w:pPr>
          </w:p>
        </w:tc>
        <w:tc>
          <w:tcPr>
            <w:tcW w:w="13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450"/>
        </w:trPr>
        <w:tc>
          <w:tcPr>
            <w:tcW w:w="68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Net earnings, as reported under Canadian GAAP</w:t>
            </w:r>
          </w:p>
        </w:tc>
        <w:tc>
          <w:tcPr>
            <w:tcW w:w="190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$52,708</w:t>
            </w:r>
          </w:p>
        </w:tc>
        <w:tc>
          <w:tcPr>
            <w:tcW w:w="680" w:type="dxa"/>
            <w:vAlign w:val="bottom"/>
          </w:tcPr>
          <w:p>
            <w:pPr>
              <w:spacing w:after="0"/>
              <w:rPr>
                <w:sz w:val="24"/>
                <w:szCs w:val="24"/>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$5,986</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Adjustments:</w:t>
            </w:r>
          </w:p>
        </w:tc>
        <w:tc>
          <w:tcPr>
            <w:tcW w:w="640" w:type="dxa"/>
            <w:vAlign w:val="bottom"/>
          </w:tcPr>
          <w:p>
            <w:pPr>
              <w:spacing w:after="0"/>
              <w:rPr>
                <w:sz w:val="15"/>
                <w:szCs w:val="15"/>
                <w:color w:val="auto"/>
              </w:rPr>
            </w:pPr>
          </w:p>
        </w:tc>
        <w:tc>
          <w:tcPr>
            <w:tcW w:w="1260" w:type="dxa"/>
            <w:vAlign w:val="bottom"/>
            <w:vMerge w:val="restart"/>
          </w:tcPr>
          <w:p>
            <w:pPr>
              <w:jc w:val="right"/>
              <w:ind w:right="623"/>
              <w:spacing w:after="0"/>
              <w:rPr>
                <w:sz w:val="20"/>
                <w:szCs w:val="20"/>
                <w:color w:val="auto"/>
              </w:rPr>
            </w:pPr>
            <w:r>
              <w:rPr>
                <w:rFonts w:ascii="Courier New" w:cs="Courier New" w:eastAsia="Courier New" w:hAnsi="Courier New"/>
                <w:sz w:val="15"/>
                <w:szCs w:val="15"/>
                <w:color w:val="auto"/>
              </w:rPr>
              <w:t>5,589</w:t>
            </w:r>
          </w:p>
        </w:tc>
        <w:tc>
          <w:tcPr>
            <w:tcW w:w="680" w:type="dxa"/>
            <w:vAlign w:val="bottom"/>
          </w:tcPr>
          <w:p>
            <w:pPr>
              <w:spacing w:after="0"/>
              <w:rPr>
                <w:sz w:val="15"/>
                <w:szCs w:val="15"/>
                <w:color w:val="auto"/>
              </w:rPr>
            </w:pPr>
          </w:p>
        </w:tc>
        <w:tc>
          <w:tcPr>
            <w:tcW w:w="1380" w:type="dxa"/>
            <w:vAlign w:val="bottom"/>
            <w:vMerge w:val="restart"/>
          </w:tcPr>
          <w:p>
            <w:pPr>
              <w:jc w:val="right"/>
              <w:ind w:right="463"/>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Unrealized foreign exchange gain on long-term debt</w:t>
            </w:r>
          </w:p>
        </w:tc>
        <w:tc>
          <w:tcPr>
            <w:tcW w:w="6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Foreign exchange contracts</w:t>
            </w:r>
          </w:p>
        </w:tc>
        <w:tc>
          <w:tcPr>
            <w:tcW w:w="64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(297)</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(358)</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Start-up costs</w:t>
            </w:r>
          </w:p>
        </w:tc>
        <w:tc>
          <w:tcPr>
            <w:tcW w:w="640" w:type="dxa"/>
            <w:vAlign w:val="bottom"/>
          </w:tcPr>
          <w:p>
            <w:pPr>
              <w:spacing w:after="0"/>
              <w:rPr>
                <w:sz w:val="15"/>
                <w:szCs w:val="15"/>
                <w:color w:val="auto"/>
              </w:rPr>
            </w:pPr>
          </w:p>
        </w:tc>
        <w:tc>
          <w:tcPr>
            <w:tcW w:w="12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809</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2,431</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Interest expenses on convertible debentures</w:t>
            </w:r>
          </w:p>
        </w:tc>
        <w:tc>
          <w:tcPr>
            <w:tcW w:w="64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(575)</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(444)</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Amortization of deferred financing costs</w:t>
            </w:r>
          </w:p>
        </w:tc>
        <w:tc>
          <w:tcPr>
            <w:tcW w:w="64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(31)</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(1,962)</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(2,944)</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Stock-based compensation</w:t>
            </w:r>
          </w:p>
        </w:tc>
        <w:tc>
          <w:tcPr>
            <w:tcW w:w="64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(3,175)</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Depreciation of fixed assets</w:t>
            </w:r>
          </w:p>
        </w:tc>
        <w:tc>
          <w:tcPr>
            <w:tcW w:w="64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(585)</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Deferred income taxes on the above adjustments</w:t>
            </w:r>
          </w:p>
        </w:tc>
        <w:tc>
          <w:tcPr>
            <w:tcW w:w="640" w:type="dxa"/>
            <w:vAlign w:val="bottom"/>
          </w:tcPr>
          <w:p>
            <w:pPr>
              <w:spacing w:after="0"/>
              <w:rPr>
                <w:sz w:val="15"/>
                <w:szCs w:val="15"/>
                <w:color w:val="auto"/>
              </w:rPr>
            </w:pPr>
          </w:p>
        </w:tc>
        <w:tc>
          <w:tcPr>
            <w:tcW w:w="12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1,004</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(474)</w:t>
            </w:r>
          </w:p>
        </w:tc>
        <w:tc>
          <w:tcPr>
            <w:tcW w:w="0" w:type="dxa"/>
            <w:vAlign w:val="bottom"/>
          </w:tcPr>
          <w:p>
            <w:pPr>
              <w:spacing w:after="0"/>
              <w:rPr>
                <w:sz w:val="1"/>
                <w:szCs w:val="1"/>
                <w:color w:val="auto"/>
              </w:rPr>
            </w:pPr>
          </w:p>
        </w:tc>
      </w:tr>
      <w:tr>
        <w:trPr>
          <w:trHeight w:val="177"/>
        </w:trPr>
        <w:tc>
          <w:tcPr>
            <w:tcW w:w="6820" w:type="dxa"/>
            <w:vAlign w:val="bottom"/>
            <w:gridSpan w:val="2"/>
            <w:vMerge w:val="restart"/>
          </w:tcPr>
          <w:p>
            <w:pPr>
              <w:ind w:left="1200"/>
              <w:spacing w:after="0"/>
              <w:rPr>
                <w:sz w:val="20"/>
                <w:szCs w:val="20"/>
                <w:color w:val="auto"/>
              </w:rPr>
            </w:pPr>
            <w:r>
              <w:rPr>
                <w:rFonts w:ascii="Courier New" w:cs="Courier New" w:eastAsia="Courier New" w:hAnsi="Courier New"/>
                <w:sz w:val="15"/>
                <w:szCs w:val="15"/>
                <w:color w:val="auto"/>
              </w:rPr>
              <w:t>Net earnings in accordance with U.S. GAAP</w:t>
            </w:r>
          </w:p>
        </w:tc>
        <w:tc>
          <w:tcPr>
            <w:tcW w:w="190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6820" w:type="dxa"/>
            <w:vAlign w:val="bottom"/>
            <w:gridSpan w:val="2"/>
            <w:vMerge w:val="continue"/>
          </w:tcPr>
          <w:p>
            <w:pPr>
              <w:spacing w:after="0"/>
              <w:rPr>
                <w:sz w:val="15"/>
                <w:szCs w:val="15"/>
                <w:color w:val="auto"/>
              </w:rPr>
            </w:pPr>
          </w:p>
        </w:tc>
        <w:tc>
          <w:tcPr>
            <w:tcW w:w="190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$53,486</w:t>
            </w:r>
          </w:p>
        </w:tc>
        <w:tc>
          <w:tcPr>
            <w:tcW w:w="68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$3,925</w:t>
            </w:r>
          </w:p>
        </w:tc>
        <w:tc>
          <w:tcPr>
            <w:tcW w:w="0" w:type="dxa"/>
            <w:vAlign w:val="bottom"/>
          </w:tcPr>
          <w:p>
            <w:pPr>
              <w:spacing w:after="0"/>
              <w:rPr>
                <w:sz w:val="1"/>
                <w:szCs w:val="1"/>
                <w:color w:val="auto"/>
              </w:rPr>
            </w:pPr>
          </w:p>
        </w:tc>
      </w:tr>
      <w:tr>
        <w:trPr>
          <w:trHeight w:val="260"/>
        </w:trPr>
        <w:tc>
          <w:tcPr>
            <w:tcW w:w="21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90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2"/>
                <w:szCs w:val="22"/>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68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Net earnings per share under U.S. GAAP:</w:t>
            </w:r>
          </w:p>
        </w:tc>
        <w:tc>
          <w:tcPr>
            <w:tcW w:w="640" w:type="dxa"/>
            <w:vAlign w:val="bottom"/>
            <w:vMerge w:val="restart"/>
          </w:tcPr>
          <w:p>
            <w:pPr>
              <w:ind w:left="5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vMerge w:val="restart"/>
          </w:tcPr>
          <w:p>
            <w:pPr>
              <w:jc w:val="right"/>
              <w:ind w:right="443"/>
              <w:spacing w:after="0"/>
              <w:rPr>
                <w:sz w:val="20"/>
                <w:szCs w:val="20"/>
                <w:color w:val="auto"/>
              </w:rPr>
            </w:pPr>
            <w:r>
              <w:rPr>
                <w:rFonts w:ascii="Courier New" w:cs="Courier New" w:eastAsia="Courier New" w:hAnsi="Courier New"/>
                <w:sz w:val="15"/>
                <w:szCs w:val="15"/>
                <w:color w:val="auto"/>
              </w:rPr>
              <w:t>3.32</w:t>
            </w:r>
          </w:p>
        </w:tc>
        <w:tc>
          <w:tcPr>
            <w:tcW w:w="68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463"/>
              <w:spacing w:after="0"/>
              <w:rPr>
                <w:sz w:val="20"/>
                <w:szCs w:val="20"/>
                <w:color w:val="auto"/>
              </w:rPr>
            </w:pPr>
            <w:r>
              <w:rPr>
                <w:rFonts w:ascii="Courier New" w:cs="Courier New" w:eastAsia="Courier New" w:hAnsi="Courier New"/>
                <w:sz w:val="15"/>
                <w:szCs w:val="15"/>
                <w:color w:val="auto"/>
              </w:rPr>
              <w:t>0.25</w:t>
            </w:r>
          </w:p>
        </w:tc>
        <w:tc>
          <w:tcPr>
            <w:tcW w:w="0" w:type="dxa"/>
            <w:vAlign w:val="bottom"/>
          </w:tcPr>
          <w:p>
            <w:pPr>
              <w:spacing w:after="0"/>
              <w:rPr>
                <w:sz w:val="1"/>
                <w:szCs w:val="1"/>
                <w:color w:val="auto"/>
              </w:rPr>
            </w:pPr>
          </w:p>
        </w:tc>
      </w:tr>
      <w:tr>
        <w:trPr>
          <w:trHeight w:val="177"/>
        </w:trPr>
        <w:tc>
          <w:tcPr>
            <w:tcW w:w="2120" w:type="dxa"/>
            <w:vAlign w:val="bottom"/>
          </w:tcPr>
          <w:p>
            <w:pPr>
              <w:ind w:left="1660"/>
              <w:spacing w:after="0"/>
              <w:rPr>
                <w:sz w:val="20"/>
                <w:szCs w:val="20"/>
                <w:color w:val="auto"/>
              </w:rPr>
            </w:pPr>
            <w:r>
              <w:rPr>
                <w:rFonts w:ascii="Courier New" w:cs="Courier New" w:eastAsia="Courier New" w:hAnsi="Courier New"/>
                <w:sz w:val="15"/>
                <w:szCs w:val="15"/>
                <w:color w:val="auto"/>
                <w:w w:val="97"/>
              </w:rPr>
              <w:t>Basic</w:t>
            </w:r>
          </w:p>
        </w:tc>
        <w:tc>
          <w:tcPr>
            <w:tcW w:w="47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682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Fully diluted</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2.46</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532"/>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(B) CONSOLIDATED BALANCE SHEET AS AT JUNE 30, 1999:</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1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CANADA</w:t>
            </w:r>
          </w:p>
        </w:tc>
        <w:tc>
          <w:tcPr>
            <w:tcW w:w="6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0" w:type="dxa"/>
            <w:vAlign w:val="bottom"/>
          </w:tcPr>
          <w:p>
            <w:pPr>
              <w:spacing w:after="0"/>
              <w:rPr>
                <w:sz w:val="1"/>
                <w:szCs w:val="1"/>
                <w:color w:val="auto"/>
              </w:rPr>
            </w:pPr>
          </w:p>
        </w:tc>
      </w:tr>
      <w:tr>
        <w:trPr>
          <w:trHeight w:val="272"/>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Current assets</w:t>
            </w:r>
          </w:p>
        </w:tc>
        <w:tc>
          <w:tcPr>
            <w:tcW w:w="640" w:type="dxa"/>
            <w:vAlign w:val="bottom"/>
          </w:tcPr>
          <w:p>
            <w:pPr>
              <w:spacing w:after="0"/>
              <w:rPr>
                <w:sz w:val="23"/>
                <w:szCs w:val="23"/>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174,328</w:t>
            </w:r>
          </w:p>
        </w:tc>
        <w:tc>
          <w:tcPr>
            <w:tcW w:w="680" w:type="dxa"/>
            <w:vAlign w:val="bottom"/>
          </w:tcPr>
          <w:p>
            <w:pPr>
              <w:spacing w:after="0"/>
              <w:rPr>
                <w:sz w:val="23"/>
                <w:szCs w:val="23"/>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174,328</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Investments</w:t>
            </w:r>
          </w:p>
        </w:tc>
        <w:tc>
          <w:tcPr>
            <w:tcW w:w="640" w:type="dxa"/>
            <w:vAlign w:val="bottom"/>
          </w:tcPr>
          <w:p>
            <w:pPr>
              <w:spacing w:after="0"/>
              <w:rPr>
                <w:sz w:val="15"/>
                <w:szCs w:val="15"/>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2,224</w:t>
            </w:r>
          </w:p>
        </w:tc>
        <w:tc>
          <w:tcPr>
            <w:tcW w:w="680" w:type="dxa"/>
            <w:vAlign w:val="bottom"/>
          </w:tcPr>
          <w:p>
            <w:pPr>
              <w:spacing w:after="0"/>
              <w:rPr>
                <w:sz w:val="15"/>
                <w:szCs w:val="15"/>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2,121</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Fixed assets</w:t>
            </w:r>
          </w:p>
        </w:tc>
        <w:tc>
          <w:tcPr>
            <w:tcW w:w="640" w:type="dxa"/>
            <w:vAlign w:val="bottom"/>
          </w:tcPr>
          <w:p>
            <w:pPr>
              <w:spacing w:after="0"/>
              <w:rPr>
                <w:sz w:val="15"/>
                <w:szCs w:val="15"/>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297,206</w:t>
            </w:r>
          </w:p>
        </w:tc>
        <w:tc>
          <w:tcPr>
            <w:tcW w:w="680" w:type="dxa"/>
            <w:vAlign w:val="bottom"/>
          </w:tcPr>
          <w:p>
            <w:pPr>
              <w:spacing w:after="0"/>
              <w:rPr>
                <w:sz w:val="15"/>
                <w:szCs w:val="15"/>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319,666</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Other assets</w:t>
            </w:r>
          </w:p>
        </w:tc>
        <w:tc>
          <w:tcPr>
            <w:tcW w:w="640" w:type="dxa"/>
            <w:vAlign w:val="bottom"/>
          </w:tcPr>
          <w:p>
            <w:pPr>
              <w:spacing w:after="0"/>
              <w:rPr>
                <w:sz w:val="15"/>
                <w:szCs w:val="15"/>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10,137</w:t>
            </w:r>
          </w:p>
        </w:tc>
        <w:tc>
          <w:tcPr>
            <w:tcW w:w="680" w:type="dxa"/>
            <w:vAlign w:val="bottom"/>
          </w:tcPr>
          <w:p>
            <w:pPr>
              <w:spacing w:after="0"/>
              <w:rPr>
                <w:sz w:val="15"/>
                <w:szCs w:val="15"/>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7,279</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Current liabilities</w:t>
            </w:r>
          </w:p>
        </w:tc>
        <w:tc>
          <w:tcPr>
            <w:tcW w:w="640" w:type="dxa"/>
            <w:vAlign w:val="bottom"/>
          </w:tcPr>
          <w:p>
            <w:pPr>
              <w:spacing w:after="0"/>
              <w:rPr>
                <w:sz w:val="15"/>
                <w:szCs w:val="15"/>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52,289</w:t>
            </w:r>
          </w:p>
        </w:tc>
        <w:tc>
          <w:tcPr>
            <w:tcW w:w="680" w:type="dxa"/>
            <w:vAlign w:val="bottom"/>
          </w:tcPr>
          <w:p>
            <w:pPr>
              <w:spacing w:after="0"/>
              <w:rPr>
                <w:sz w:val="15"/>
                <w:szCs w:val="15"/>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55,515</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Long-term debt</w:t>
            </w:r>
          </w:p>
        </w:tc>
        <w:tc>
          <w:tcPr>
            <w:tcW w:w="640" w:type="dxa"/>
            <w:vAlign w:val="bottom"/>
          </w:tcPr>
          <w:p>
            <w:pPr>
              <w:spacing w:after="0"/>
              <w:rPr>
                <w:sz w:val="15"/>
                <w:szCs w:val="15"/>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196,903</w:t>
            </w:r>
          </w:p>
        </w:tc>
        <w:tc>
          <w:tcPr>
            <w:tcW w:w="680" w:type="dxa"/>
            <w:vAlign w:val="bottom"/>
          </w:tcPr>
          <w:p>
            <w:pPr>
              <w:spacing w:after="0"/>
              <w:rPr>
                <w:sz w:val="15"/>
                <w:szCs w:val="15"/>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211,792</w:t>
            </w:r>
          </w:p>
        </w:tc>
        <w:tc>
          <w:tcPr>
            <w:tcW w:w="0" w:type="dxa"/>
            <w:vAlign w:val="bottom"/>
          </w:tcPr>
          <w:p>
            <w:pPr>
              <w:spacing w:after="0"/>
              <w:rPr>
                <w:sz w:val="1"/>
                <w:szCs w:val="1"/>
                <w:color w:val="auto"/>
              </w:rPr>
            </w:pPr>
          </w:p>
        </w:tc>
      </w:tr>
      <w:tr>
        <w:trPr>
          <w:trHeight w:val="177"/>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Deferred income taxes</w:t>
            </w:r>
          </w:p>
        </w:tc>
        <w:tc>
          <w:tcPr>
            <w:tcW w:w="640" w:type="dxa"/>
            <w:vAlign w:val="bottom"/>
          </w:tcPr>
          <w:p>
            <w:pPr>
              <w:spacing w:after="0"/>
              <w:rPr>
                <w:sz w:val="15"/>
                <w:szCs w:val="15"/>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43,746</w:t>
            </w:r>
          </w:p>
        </w:tc>
        <w:tc>
          <w:tcPr>
            <w:tcW w:w="680" w:type="dxa"/>
            <w:vAlign w:val="bottom"/>
          </w:tcPr>
          <w:p>
            <w:pPr>
              <w:spacing w:after="0"/>
              <w:rPr>
                <w:sz w:val="15"/>
                <w:szCs w:val="15"/>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74,132</w:t>
            </w:r>
          </w:p>
        </w:tc>
        <w:tc>
          <w:tcPr>
            <w:tcW w:w="0" w:type="dxa"/>
            <w:vAlign w:val="bottom"/>
          </w:tcPr>
          <w:p>
            <w:pPr>
              <w:spacing w:after="0"/>
              <w:rPr>
                <w:sz w:val="1"/>
                <w:szCs w:val="1"/>
                <w:color w:val="auto"/>
              </w:rPr>
            </w:pPr>
          </w:p>
        </w:tc>
      </w:tr>
      <w:tr>
        <w:trPr>
          <w:trHeight w:val="260"/>
        </w:trPr>
        <w:tc>
          <w:tcPr>
            <w:tcW w:w="6820" w:type="dxa"/>
            <w:vAlign w:val="bottom"/>
            <w:gridSpan w:val="2"/>
          </w:tcPr>
          <w:p>
            <w:pPr>
              <w:ind w:left="1480"/>
              <w:spacing w:after="0"/>
              <w:rPr>
                <w:sz w:val="20"/>
                <w:szCs w:val="20"/>
                <w:color w:val="auto"/>
              </w:rPr>
            </w:pPr>
            <w:r>
              <w:rPr>
                <w:rFonts w:ascii="Courier New" w:cs="Courier New" w:eastAsia="Courier New" w:hAnsi="Courier New"/>
                <w:sz w:val="15"/>
                <w:szCs w:val="15"/>
                <w:color w:val="auto"/>
              </w:rPr>
              <w:t>Shareholders' equity</w:t>
            </w:r>
          </w:p>
        </w:tc>
        <w:tc>
          <w:tcPr>
            <w:tcW w:w="640" w:type="dxa"/>
            <w:vAlign w:val="bottom"/>
          </w:tcPr>
          <w:p>
            <w:pPr>
              <w:spacing w:after="0"/>
              <w:rPr>
                <w:sz w:val="22"/>
                <w:szCs w:val="22"/>
                <w:color w:val="auto"/>
              </w:rPr>
            </w:pP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190,957</w:t>
            </w:r>
          </w:p>
        </w:tc>
        <w:tc>
          <w:tcPr>
            <w:tcW w:w="680" w:type="dxa"/>
            <w:vAlign w:val="bottom"/>
          </w:tcPr>
          <w:p>
            <w:pPr>
              <w:spacing w:after="0"/>
              <w:rPr>
                <w:sz w:val="22"/>
                <w:szCs w:val="22"/>
                <w:color w:val="auto"/>
              </w:rPr>
            </w:pP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161,955</w:t>
            </w:r>
          </w:p>
        </w:tc>
        <w:tc>
          <w:tcPr>
            <w:tcW w:w="0" w:type="dxa"/>
            <w:vAlign w:val="bottom"/>
          </w:tcPr>
          <w:p>
            <w:pPr>
              <w:spacing w:after="0"/>
              <w:rPr>
                <w:sz w:val="1"/>
                <w:szCs w:val="1"/>
                <w:color w:val="auto"/>
              </w:rPr>
            </w:pPr>
          </w:p>
        </w:tc>
      </w:tr>
      <w:tr>
        <w:trPr>
          <w:trHeight w:val="71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(C) CONSOLIDATED STATEMENT OF CHANGES IN FINANCIAL POSITION:</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1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spacing w:after="0"/>
              <w:rPr>
                <w:sz w:val="23"/>
                <w:szCs w:val="23"/>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60"/>
        </w:trPr>
        <w:tc>
          <w:tcPr>
            <w:tcW w:w="6820" w:type="dxa"/>
            <w:vAlign w:val="bottom"/>
            <w:gridSpan w:val="2"/>
            <w:vMerge w:val="restart"/>
          </w:tcPr>
          <w:p>
            <w:pPr>
              <w:ind w:left="1480"/>
              <w:spacing w:after="0"/>
              <w:rPr>
                <w:sz w:val="20"/>
                <w:szCs w:val="20"/>
                <w:color w:val="auto"/>
              </w:rPr>
            </w:pPr>
            <w:r>
              <w:rPr>
                <w:rFonts w:ascii="Courier New" w:cs="Courier New" w:eastAsia="Courier New" w:hAnsi="Courier New"/>
                <w:sz w:val="15"/>
                <w:szCs w:val="15"/>
                <w:color w:val="auto"/>
              </w:rPr>
              <w:t>Supplemental disclosure:</w:t>
            </w:r>
          </w:p>
        </w:tc>
        <w:tc>
          <w:tcPr>
            <w:tcW w:w="640" w:type="dxa"/>
            <w:vAlign w:val="bottom"/>
          </w:tcPr>
          <w:p>
            <w:pPr>
              <w:spacing w:after="0"/>
              <w:rPr>
                <w:sz w:val="22"/>
                <w:szCs w:val="22"/>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2"/>
                <w:szCs w:val="22"/>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682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120" w:type="dxa"/>
            <w:vAlign w:val="bottom"/>
          </w:tcPr>
          <w:p>
            <w:pPr>
              <w:ind w:left="1480"/>
              <w:spacing w:after="0"/>
              <w:rPr>
                <w:sz w:val="20"/>
                <w:szCs w:val="20"/>
                <w:color w:val="auto"/>
              </w:rPr>
            </w:pPr>
            <w:r>
              <w:rPr>
                <w:rFonts w:ascii="Courier New" w:cs="Courier New" w:eastAsia="Courier New" w:hAnsi="Courier New"/>
                <w:sz w:val="15"/>
                <w:szCs w:val="15"/>
                <w:color w:val="auto"/>
              </w:rPr>
              <w:t>(i)</w:t>
            </w:r>
          </w:p>
        </w:tc>
        <w:tc>
          <w:tcPr>
            <w:tcW w:w="470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w:t>
            </w: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120" w:type="dxa"/>
            <w:vAlign w:val="bottom"/>
          </w:tcPr>
          <w:p>
            <w:pPr>
              <w:spacing w:after="0"/>
              <w:rPr>
                <w:sz w:val="23"/>
                <w:szCs w:val="23"/>
                <w:color w:val="auto"/>
              </w:rPr>
            </w:pPr>
          </w:p>
        </w:tc>
        <w:tc>
          <w:tcPr>
            <w:tcW w:w="47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640" w:type="dxa"/>
            <w:vAlign w:val="bottom"/>
          </w:tcPr>
          <w:p>
            <w:pPr>
              <w:spacing w:after="0"/>
              <w:rPr>
                <w:sz w:val="23"/>
                <w:szCs w:val="23"/>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8,822</w:t>
            </w:r>
          </w:p>
        </w:tc>
        <w:tc>
          <w:tcPr>
            <w:tcW w:w="680" w:type="dxa"/>
            <w:vAlign w:val="bottom"/>
          </w:tcPr>
          <w:p>
            <w:pPr>
              <w:spacing w:after="0"/>
              <w:rPr>
                <w:sz w:val="23"/>
                <w:szCs w:val="23"/>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6,329</w:t>
            </w:r>
          </w:p>
        </w:tc>
        <w:tc>
          <w:tcPr>
            <w:tcW w:w="0" w:type="dxa"/>
            <w:vAlign w:val="bottom"/>
          </w:tcPr>
          <w:p>
            <w:pPr>
              <w:spacing w:after="0"/>
              <w:rPr>
                <w:sz w:val="1"/>
                <w:szCs w:val="1"/>
                <w:color w:val="auto"/>
              </w:rPr>
            </w:pPr>
          </w:p>
        </w:tc>
      </w:tr>
      <w:tr>
        <w:trPr>
          <w:trHeight w:val="260"/>
        </w:trPr>
        <w:tc>
          <w:tcPr>
            <w:tcW w:w="2120" w:type="dxa"/>
            <w:vAlign w:val="bottom"/>
          </w:tcPr>
          <w:p>
            <w:pPr>
              <w:spacing w:after="0"/>
              <w:rPr>
                <w:sz w:val="22"/>
                <w:szCs w:val="22"/>
                <w:color w:val="auto"/>
              </w:rPr>
            </w:pPr>
          </w:p>
        </w:tc>
        <w:tc>
          <w:tcPr>
            <w:tcW w:w="47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40" w:type="dxa"/>
            <w:vAlign w:val="bottom"/>
          </w:tcPr>
          <w:p>
            <w:pPr>
              <w:spacing w:after="0"/>
              <w:rPr>
                <w:sz w:val="22"/>
                <w:szCs w:val="22"/>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8,256</w:t>
            </w:r>
          </w:p>
        </w:tc>
        <w:tc>
          <w:tcPr>
            <w:tcW w:w="680" w:type="dxa"/>
            <w:vAlign w:val="bottom"/>
          </w:tcPr>
          <w:p>
            <w:pPr>
              <w:spacing w:after="0"/>
              <w:rPr>
                <w:sz w:val="22"/>
                <w:szCs w:val="22"/>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(425)</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2125" w:right="3400" w:hanging="649"/>
        <w:spacing w:after="0" w:line="276" w:lineRule="auto"/>
        <w:tabs>
          <w:tab w:leader="none" w:pos="21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Forex's statements of changes in financial position reconcile the changes in cash, temporary investments, bank indebtedness and bank loan. Under U.S. GAAP, changes in bank indebtedness and bank loan amounting to $335 in 1999 ($2,392 in 1998) would have been classified as financing activities.</w:t>
      </w:r>
    </w:p>
    <w:p>
      <w:pPr>
        <w:spacing w:after="0" w:line="247"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785"/>
          </w:cols>
          <w:pgMar w:left="235" w:top="800" w:right="879" w:bottom="1440" w:gutter="0" w:footer="0" w:header="0"/>
        </w:sectPr>
      </w:pPr>
    </w:p>
    <w:bookmarkStart w:id="11" w:name="page12"/>
    <w:bookmarkEnd w:id="11"/>
    <w:p>
      <w:pPr>
        <w:ind w:left="920" w:right="3119" w:hanging="649"/>
        <w:spacing w:after="0" w:line="282" w:lineRule="auto"/>
        <w:tabs>
          <w:tab w:leader="none" w:pos="9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portion of 1999 (January 1 to April 13) and 1998, the consolidated statements of financial position in accordance with Canadian GAAP include Forex's proportionate share of activities of Panneaux Chambord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280" w:type="dxa"/>
        <w:tblCellMar>
          <w:top w:w="0" w:type="dxa"/>
          <w:left w:w="0" w:type="dxa"/>
          <w:bottom w:w="0" w:type="dxa"/>
          <w:right w:w="0" w:type="dxa"/>
        </w:tblCellMar>
      </w:tblPr>
      <w:tr>
        <w:trPr>
          <w:trHeight w:val="177"/>
        </w:trPr>
        <w:tc>
          <w:tcPr>
            <w:tcW w:w="1020" w:type="dxa"/>
            <w:vAlign w:val="bottom"/>
          </w:tcPr>
          <w:p>
            <w:pPr>
              <w:spacing w:after="0"/>
              <w:rPr>
                <w:sz w:val="15"/>
                <w:szCs w:val="15"/>
                <w:color w:val="auto"/>
              </w:rPr>
            </w:pPr>
          </w:p>
        </w:tc>
        <w:tc>
          <w:tcPr>
            <w:tcW w:w="53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1998</w:t>
            </w:r>
          </w:p>
        </w:tc>
      </w:tr>
      <w:tr>
        <w:trPr>
          <w:trHeight w:val="260"/>
        </w:trPr>
        <w:tc>
          <w:tcPr>
            <w:tcW w:w="1020" w:type="dxa"/>
            <w:vAlign w:val="bottom"/>
          </w:tcPr>
          <w:p>
            <w:pPr>
              <w:spacing w:after="0"/>
              <w:rPr>
                <w:sz w:val="22"/>
                <w:szCs w:val="22"/>
                <w:color w:val="auto"/>
              </w:rPr>
            </w:pPr>
          </w:p>
        </w:tc>
        <w:tc>
          <w:tcPr>
            <w:tcW w:w="53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2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53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12,823</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5,184</w:t>
            </w:r>
          </w:p>
        </w:tc>
      </w:tr>
      <w:tr>
        <w:trPr>
          <w:trHeight w:val="177"/>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53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(571)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260"/>
        </w:trPr>
        <w:tc>
          <w:tcPr>
            <w:tcW w:w="102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53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(181)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r>
      <w:tr>
        <w:trPr>
          <w:trHeight w:val="532"/>
        </w:trPr>
        <w:tc>
          <w:tcPr>
            <w:tcW w:w="1020" w:type="dxa"/>
            <w:vAlign w:val="bottom"/>
          </w:tcPr>
          <w:p>
            <w:pPr>
              <w:spacing w:after="0"/>
              <w:rPr>
                <w:sz w:val="24"/>
                <w:szCs w:val="24"/>
                <w:color w:val="auto"/>
              </w:rPr>
            </w:pPr>
          </w:p>
        </w:tc>
        <w:tc>
          <w:tcPr>
            <w:tcW w:w="5360" w:type="dxa"/>
            <w:vAlign w:val="bottom"/>
          </w:tcPr>
          <w:p>
            <w:pPr>
              <w:jc w:val="right"/>
              <w:ind w:right="5003"/>
              <w:spacing w:after="0"/>
              <w:rPr>
                <w:sz w:val="20"/>
                <w:szCs w:val="20"/>
                <w:color w:val="auto"/>
              </w:rPr>
            </w:pPr>
            <w:r>
              <w:rPr>
                <w:rFonts w:ascii="Courier New" w:cs="Courier New" w:eastAsia="Courier New" w:hAnsi="Courier New"/>
                <w:sz w:val="15"/>
                <w:szCs w:val="15"/>
                <w:color w:val="auto"/>
                <w:w w:val="96"/>
              </w:rPr>
              <w:t>-7-</w:t>
            </w:r>
          </w:p>
        </w:tc>
        <w:tc>
          <w:tcPr>
            <w:tcW w:w="1200" w:type="dxa"/>
            <w:vAlign w:val="bottom"/>
          </w:tcPr>
          <w:p>
            <w:pPr>
              <w:spacing w:after="0"/>
              <w:rPr>
                <w:sz w:val="24"/>
                <w:szCs w:val="24"/>
                <w:color w:val="auto"/>
              </w:rPr>
            </w:pPr>
          </w:p>
        </w:tc>
      </w:tr>
    </w:tbl>
    <w:p>
      <w:pPr>
        <w:sectPr>
          <w:pgSz w:w="11900" w:h="16838" w:orient="portrait"/>
          <w:cols w:equalWidth="0" w:num="1">
            <w:col w:w="9019"/>
          </w:cols>
          <w:pgMar w:left="1440" w:top="800" w:right="1440" w:bottom="1440" w:gutter="0" w:footer="0" w:header="0"/>
        </w:sectPr>
      </w:pPr>
    </w:p>
    <w:bookmarkStart w:id="12" w:name="page13"/>
    <w:bookmarkEnd w:id="12"/>
    <w:p>
      <w:pPr>
        <w:ind w:left="360"/>
        <w:spacing w:after="0"/>
        <w:rPr>
          <w:sz w:val="20"/>
          <w:szCs w:val="20"/>
          <w:color w:val="auto"/>
        </w:rPr>
      </w:pPr>
      <w:r>
        <w:rPr>
          <w:rFonts w:ascii="Courier New" w:cs="Courier New" w:eastAsia="Courier New" w:hAnsi="Courier New"/>
          <w:sz w:val="15"/>
          <w:szCs w:val="15"/>
          <w:color w:val="auto"/>
        </w:rPr>
        <w:t>Consolidated Financial Statements of</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Years ended December 31, 1998, 1997 and 1996</w:t>
      </w:r>
    </w:p>
    <w:p>
      <w:pPr>
        <w:sectPr>
          <w:pgSz w:w="11900" w:h="16838" w:orient="portrait"/>
          <w:cols w:equalWidth="0" w:num="1">
            <w:col w:w="9019"/>
          </w:cols>
          <w:pgMar w:left="1440" w:top="62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AUDITORS' REPORT TO THE SHAREHOLDERS</w:t>
      </w:r>
      <w:r>
        <w:rPr>
          <w:sz w:val="20"/>
          <w:szCs w:val="20"/>
          <w:color w:val="auto"/>
        </w:rPr>
        <w:tab/>
      </w:r>
      <w:r>
        <w:rPr>
          <w:rFonts w:ascii="Courier New" w:cs="Courier New" w:eastAsia="Courier New" w:hAnsi="Courier New"/>
          <w:sz w:val="15"/>
          <w:szCs w:val="15"/>
          <w:color w:val="auto"/>
        </w:rPr>
        <w:t>1</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85"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5"/>
          <w:szCs w:val="15"/>
          <w:color w:val="auto"/>
        </w:rPr>
        <w:t>Consolidated Balance Sheet</w:t>
      </w:r>
      <w:r>
        <w:rPr>
          <w:sz w:val="20"/>
          <w:szCs w:val="20"/>
          <w:color w:val="auto"/>
        </w:rPr>
        <w:tab/>
      </w:r>
      <w:r>
        <w:rPr>
          <w:rFonts w:ascii="Courier New" w:cs="Courier New" w:eastAsia="Courier New" w:hAnsi="Courier New"/>
          <w:sz w:val="15"/>
          <w:szCs w:val="15"/>
          <w:color w:val="auto"/>
        </w:rPr>
        <w:t>2</w:t>
      </w:r>
    </w:p>
    <w:p>
      <w:pPr>
        <w:spacing w:after="0" w:line="185"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5"/>
          <w:szCs w:val="15"/>
          <w:color w:val="auto"/>
        </w:rPr>
        <w:t>Consolidated Statement of Earnings</w:t>
      </w:r>
      <w:r>
        <w:rPr>
          <w:sz w:val="20"/>
          <w:szCs w:val="20"/>
          <w:color w:val="auto"/>
        </w:rPr>
        <w:tab/>
      </w:r>
      <w:r>
        <w:rPr>
          <w:rFonts w:ascii="Courier New" w:cs="Courier New" w:eastAsia="Courier New" w:hAnsi="Courier New"/>
          <w:sz w:val="15"/>
          <w:szCs w:val="15"/>
          <w:color w:val="auto"/>
        </w:rPr>
        <w:t>3</w:t>
      </w:r>
    </w:p>
    <w:p>
      <w:pPr>
        <w:spacing w:after="0" w:line="185"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5"/>
          <w:szCs w:val="15"/>
          <w:color w:val="auto"/>
        </w:rPr>
        <w:t>Consolidated Statement of Retained Earnings</w:t>
      </w:r>
      <w:r>
        <w:rPr>
          <w:sz w:val="20"/>
          <w:szCs w:val="20"/>
          <w:color w:val="auto"/>
        </w:rPr>
        <w:tab/>
      </w:r>
      <w:r>
        <w:rPr>
          <w:rFonts w:ascii="Courier New" w:cs="Courier New" w:eastAsia="Courier New" w:hAnsi="Courier New"/>
          <w:sz w:val="15"/>
          <w:szCs w:val="15"/>
          <w:color w:val="auto"/>
        </w:rPr>
        <w:t>4</w:t>
      </w:r>
    </w:p>
    <w:p>
      <w:pPr>
        <w:spacing w:after="0" w:line="185"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5"/>
          <w:szCs w:val="15"/>
          <w:color w:val="auto"/>
        </w:rPr>
        <w:t>Consolidated Statement of Changes in Financial Position</w:t>
      </w:r>
      <w:r>
        <w:rPr>
          <w:sz w:val="20"/>
          <w:szCs w:val="20"/>
          <w:color w:val="auto"/>
        </w:rPr>
        <w:tab/>
      </w:r>
      <w:r>
        <w:rPr>
          <w:rFonts w:ascii="Courier New" w:cs="Courier New" w:eastAsia="Courier New" w:hAnsi="Courier New"/>
          <w:sz w:val="15"/>
          <w:szCs w:val="15"/>
          <w:color w:val="auto"/>
        </w:rPr>
        <w:t>5</w:t>
      </w:r>
    </w:p>
    <w:p>
      <w:pPr>
        <w:spacing w:after="0" w:line="185"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6</w:t>
      </w:r>
    </w:p>
    <w:p>
      <w:pPr>
        <w:sectPr>
          <w:pgSz w:w="11900" w:h="16838" w:orient="portrait"/>
          <w:cols w:equalWidth="0" w:num="1">
            <w:col w:w="10219"/>
          </w:cols>
          <w:pgMar w:left="240" w:top="80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AUDITORS' REPORT TO THE SHAREHOLDERS</w:t>
      </w:r>
    </w:p>
    <w:p>
      <w:pPr>
        <w:spacing w:after="0" w:line="185" w:lineRule="exact"/>
        <w:rPr>
          <w:sz w:val="20"/>
          <w:szCs w:val="20"/>
          <w:color w:val="auto"/>
        </w:rPr>
      </w:pPr>
    </w:p>
    <w:p>
      <w:pPr>
        <w:ind w:right="2839"/>
        <w:spacing w:after="0" w:line="276" w:lineRule="auto"/>
        <w:rPr>
          <w:sz w:val="20"/>
          <w:szCs w:val="20"/>
          <w:color w:val="auto"/>
        </w:rPr>
      </w:pPr>
      <w:r>
        <w:rPr>
          <w:rFonts w:ascii="Courier New" w:cs="Courier New" w:eastAsia="Courier New" w:hAnsi="Courier New"/>
          <w:sz w:val="15"/>
          <w:szCs w:val="15"/>
          <w:color w:val="auto"/>
        </w:rPr>
        <w:t>We have audited the consolidated balance sheet of Le Groupe Forex Inc. as at December 31, 1998 and 1997 and the consolidated statements of earnings, retained earnings and changes in financial position for each of the years in the three year period ended December 31, 1998. These financial statements are the responsibility of the Company's management. Our responsibility is to express an opinion on these financial statements based on our audit.</w:t>
      </w:r>
    </w:p>
    <w:p>
      <w:pPr>
        <w:spacing w:after="0" w:line="70"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76" w:lineRule="exact"/>
        <w:rPr>
          <w:sz w:val="20"/>
          <w:szCs w:val="20"/>
          <w:color w:val="auto"/>
        </w:rPr>
      </w:pPr>
    </w:p>
    <w:p>
      <w:pPr>
        <w:ind w:right="2839"/>
        <w:spacing w:after="0" w:line="282" w:lineRule="auto"/>
        <w:rPr>
          <w:sz w:val="20"/>
          <w:szCs w:val="20"/>
          <w:color w:val="auto"/>
        </w:rPr>
      </w:pPr>
      <w:r>
        <w:rPr>
          <w:rFonts w:ascii="Courier New" w:cs="Courier New" w:eastAsia="Courier New" w:hAnsi="Courier New"/>
          <w:sz w:val="15"/>
          <w:szCs w:val="15"/>
          <w:color w:val="auto"/>
        </w:rPr>
        <w:t>In our opinion, these consolidated financial statements present fairly, in all material respects, the financial position of the Company as at December 31, 1998 and 1997 and the results of its operations and the changes in its financial position for each of the years in the three year period ended December 31, 1998 in accordance with generally accepted accounting principles in Canada.</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/s/KPMG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LLP</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Val-d'Or, Quebec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29, 1999</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00" w:right="1440" w:bottom="1440" w:gutter="0" w:footer="0" w:header="0"/>
        </w:sectPr>
      </w:pPr>
    </w:p>
    <w:bookmarkStart w:id="15" w:name="page16"/>
    <w:bookmarkEnd w:id="15"/>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Balance Sheet</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December 31, 1998, with comparative figures for 1997</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605"/>
        <w:spacing w:after="0"/>
        <w:tabs>
          <w:tab w:leader="none" w:pos="570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185" w:hanging="185"/>
        <w:spacing w:after="0"/>
        <w:tabs>
          <w:tab w:leader="none" w:pos="18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6"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  8,251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5,178</w:t>
            </w:r>
          </w:p>
        </w:tc>
        <w:tc>
          <w:tcPr>
            <w:tcW w:w="0" w:type="dxa"/>
            <w:vAlign w:val="bottom"/>
          </w:tcPr>
          <w:p>
            <w:pPr>
              <w:spacing w:after="0"/>
              <w:rPr>
                <w:sz w:val="1"/>
                <w:szCs w:val="1"/>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14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Short-term investments (note 5)</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25,652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19,464</w:t>
            </w:r>
          </w:p>
        </w:tc>
        <w:tc>
          <w:tcPr>
            <w:tcW w:w="0" w:type="dxa"/>
            <w:vAlign w:val="bottom"/>
          </w:tcPr>
          <w:p>
            <w:pPr>
              <w:spacing w:after="0"/>
              <w:rPr>
                <w:sz w:val="1"/>
                <w:szCs w:val="1"/>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Accounts receivable</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20,504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12,199</w:t>
            </w:r>
          </w:p>
        </w:tc>
        <w:tc>
          <w:tcPr>
            <w:tcW w:w="0" w:type="dxa"/>
            <w:vAlign w:val="bottom"/>
          </w:tcPr>
          <w:p>
            <w:pPr>
              <w:spacing w:after="0"/>
              <w:rPr>
                <w:sz w:val="1"/>
                <w:szCs w:val="1"/>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Income taxes receivable</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4,370</w:t>
            </w:r>
          </w:p>
        </w:tc>
        <w:tc>
          <w:tcPr>
            <w:tcW w:w="0" w:type="dxa"/>
            <w:vAlign w:val="bottom"/>
          </w:tcPr>
          <w:p>
            <w:pPr>
              <w:spacing w:after="0"/>
              <w:rPr>
                <w:sz w:val="1"/>
                <w:szCs w:val="1"/>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40,614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34,486</w:t>
            </w:r>
          </w:p>
        </w:tc>
        <w:tc>
          <w:tcPr>
            <w:tcW w:w="0" w:type="dxa"/>
            <w:vAlign w:val="bottom"/>
          </w:tcPr>
          <w:p>
            <w:pPr>
              <w:spacing w:after="0"/>
              <w:rPr>
                <w:sz w:val="1"/>
                <w:szCs w:val="1"/>
                <w:color w:val="auto"/>
              </w:rPr>
            </w:pPr>
          </w:p>
        </w:tc>
      </w:tr>
      <w:tr>
        <w:trPr>
          <w:trHeight w:val="205"/>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Prepaid expenses</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6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96,02976,336</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220" w:type="dxa"/>
            <w:vAlign w:val="bottom"/>
            <w:gridSpan w:val="3"/>
          </w:tcPr>
          <w:p>
            <w:pPr>
              <w:spacing w:after="0"/>
              <w:rPr>
                <w:sz w:val="20"/>
                <w:szCs w:val="20"/>
                <w:color w:val="auto"/>
              </w:rPr>
            </w:pPr>
            <w:r>
              <w:rPr>
                <w:rFonts w:ascii="Courier New" w:cs="Courier New" w:eastAsia="Courier New" w:hAnsi="Courier New"/>
                <w:sz w:val="15"/>
                <w:szCs w:val="15"/>
                <w:color w:val="auto"/>
              </w:rPr>
              <w:t>Investments (note 6)</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2,425</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(note</w:t>
            </w:r>
          </w:p>
        </w:tc>
        <w:tc>
          <w:tcPr>
            <w:tcW w:w="152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7)</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247,122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236,419</w:t>
            </w:r>
          </w:p>
        </w:tc>
      </w:tr>
      <w:tr>
        <w:trPr>
          <w:trHeight w:val="260"/>
        </w:trPr>
        <w:tc>
          <w:tcPr>
            <w:tcW w:w="11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(note</w:t>
            </w:r>
          </w:p>
        </w:tc>
        <w:tc>
          <w:tcPr>
            <w:tcW w:w="152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8)</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17,075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13,602</w:t>
            </w:r>
          </w:p>
        </w:tc>
      </w:tr>
    </w:tbl>
    <w:p>
      <w:pPr>
        <w:spacing w:after="0" w:line="95" w:lineRule="exact"/>
        <w:rPr>
          <w:sz w:val="20"/>
          <w:szCs w:val="20"/>
          <w:color w:val="auto"/>
        </w:rPr>
      </w:pPr>
    </w:p>
    <w:p>
      <w:pPr>
        <w:ind w:left="185" w:hanging="185"/>
        <w:spacing w:after="0"/>
        <w:tabs>
          <w:tab w:leader="none" w:pos="1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 w:lineRule="exact"/>
        <w:rPr>
          <w:rFonts w:ascii="Courier New" w:cs="Courier New" w:eastAsia="Courier New" w:hAnsi="Courier New"/>
          <w:sz w:val="15"/>
          <w:szCs w:val="15"/>
          <w:color w:val="auto"/>
        </w:rPr>
      </w:pPr>
    </w:p>
    <w:p>
      <w:pPr>
        <w:ind w:left="44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$362,470   $328,782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42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   --</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5,242</w:t>
            </w:r>
          </w:p>
        </w:tc>
        <w:tc>
          <w:tcPr>
            <w:tcW w:w="0" w:type="dxa"/>
            <w:vAlign w:val="bottom"/>
          </w:tcPr>
          <w:p>
            <w:pPr>
              <w:spacing w:after="0"/>
              <w:rPr>
                <w:sz w:val="1"/>
                <w:szCs w:val="1"/>
                <w:color w:val="auto"/>
              </w:rPr>
            </w:pPr>
          </w:p>
        </w:tc>
      </w:tr>
      <w:tr>
        <w:trPr>
          <w:trHeight w:val="177"/>
        </w:trPr>
        <w:tc>
          <w:tcPr>
            <w:tcW w:w="4280" w:type="dxa"/>
            <w:vAlign w:val="bottom"/>
          </w:tcPr>
          <w:p>
            <w:pPr>
              <w:ind w:left="460"/>
              <w:spacing w:after="0"/>
              <w:rPr>
                <w:sz w:val="20"/>
                <w:szCs w:val="20"/>
                <w:color w:val="auto"/>
              </w:rPr>
            </w:pPr>
            <w:r>
              <w:rPr>
                <w:rFonts w:ascii="Courier New" w:cs="Courier New" w:eastAsia="Courier New" w:hAnsi="Courier New"/>
                <w:sz w:val="15"/>
                <w:szCs w:val="15"/>
                <w:color w:val="auto"/>
              </w:rPr>
              <w:t>Bank indebtedness</w:t>
            </w:r>
          </w:p>
        </w:tc>
        <w:tc>
          <w:tcPr>
            <w:tcW w:w="10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460"/>
              <w:spacing w:after="0"/>
              <w:rPr>
                <w:sz w:val="20"/>
                <w:szCs w:val="20"/>
                <w:color w:val="auto"/>
              </w:rPr>
            </w:pPr>
            <w:r>
              <w:rPr>
                <w:rFonts w:ascii="Courier New" w:cs="Courier New" w:eastAsia="Courier New" w:hAnsi="Courier New"/>
                <w:sz w:val="15"/>
                <w:szCs w:val="15"/>
                <w:color w:val="auto"/>
              </w:rPr>
              <w:t>Bank loan (note 9)</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77"/>
        </w:trPr>
        <w:tc>
          <w:tcPr>
            <w:tcW w:w="4280" w:type="dxa"/>
            <w:vAlign w:val="bottom"/>
          </w:tcPr>
          <w:p>
            <w:pPr>
              <w:ind w:left="4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23,063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25,123</w:t>
            </w:r>
          </w:p>
        </w:tc>
        <w:tc>
          <w:tcPr>
            <w:tcW w:w="0" w:type="dxa"/>
            <w:vAlign w:val="bottom"/>
          </w:tcPr>
          <w:p>
            <w:pPr>
              <w:spacing w:after="0"/>
              <w:rPr>
                <w:sz w:val="1"/>
                <w:szCs w:val="1"/>
                <w:color w:val="auto"/>
              </w:rPr>
            </w:pPr>
          </w:p>
        </w:tc>
      </w:tr>
      <w:tr>
        <w:trPr>
          <w:trHeight w:val="177"/>
        </w:trPr>
        <w:tc>
          <w:tcPr>
            <w:tcW w:w="4280" w:type="dxa"/>
            <w:vAlign w:val="bottom"/>
          </w:tcPr>
          <w:p>
            <w:pPr>
              <w:ind w:left="460"/>
              <w:spacing w:after="0"/>
              <w:rPr>
                <w:sz w:val="20"/>
                <w:szCs w:val="20"/>
                <w:color w:val="auto"/>
              </w:rPr>
            </w:pPr>
            <w:r>
              <w:rPr>
                <w:rFonts w:ascii="Courier New" w:cs="Courier New" w:eastAsia="Courier New" w:hAnsi="Courier New"/>
                <w:sz w:val="15"/>
                <w:szCs w:val="15"/>
                <w:color w:val="auto"/>
              </w:rPr>
              <w:t>Income taxes payable</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1,457</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05"/>
        </w:trPr>
        <w:tc>
          <w:tcPr>
            <w:tcW w:w="4280" w:type="dxa"/>
            <w:vAlign w:val="bottom"/>
          </w:tcPr>
          <w:p>
            <w:pPr>
              <w:ind w:left="460"/>
              <w:spacing w:after="0"/>
              <w:rPr>
                <w:sz w:val="20"/>
                <w:szCs w:val="20"/>
                <w:color w:val="auto"/>
              </w:rPr>
            </w:pPr>
            <w:r>
              <w:rPr>
                <w:rFonts w:ascii="Courier New" w:cs="Courier New" w:eastAsia="Courier New" w:hAnsi="Courier New"/>
                <w:sz w:val="15"/>
                <w:szCs w:val="15"/>
                <w:color w:val="auto"/>
              </w:rPr>
              <w:t>Current portion of long-term debt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4,057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8,251</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6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28,91238,916</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Long-term debt (note 10)</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167,742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114,357</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30,849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17,162</w:t>
            </w:r>
          </w:p>
        </w:tc>
        <w:tc>
          <w:tcPr>
            <w:tcW w:w="0" w:type="dxa"/>
            <w:vAlign w:val="bottom"/>
          </w:tcPr>
          <w:p>
            <w:pPr>
              <w:spacing w:after="0"/>
              <w:rPr>
                <w:sz w:val="1"/>
                <w:szCs w:val="1"/>
                <w:color w:val="auto"/>
              </w:rPr>
            </w:pPr>
          </w:p>
        </w:tc>
      </w:tr>
      <w:tr>
        <w:trPr>
          <w:trHeight w:val="26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57,028</w:t>
            </w:r>
          </w:p>
        </w:tc>
        <w:tc>
          <w:tcPr>
            <w:tcW w:w="0" w:type="dxa"/>
            <w:vAlign w:val="bottom"/>
          </w:tcPr>
          <w:p>
            <w:pPr>
              <w:spacing w:after="0"/>
              <w:rPr>
                <w:sz w:val="1"/>
                <w:szCs w:val="1"/>
                <w:color w:val="auto"/>
              </w:rPr>
            </w:pPr>
          </w:p>
        </w:tc>
      </w:tr>
      <w:tr>
        <w:trPr>
          <w:trHeight w:val="272"/>
        </w:trPr>
        <w:tc>
          <w:tcPr>
            <w:tcW w:w="39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8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19,281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18,102</w:t>
            </w:r>
          </w:p>
        </w:tc>
        <w:tc>
          <w:tcPr>
            <w:tcW w:w="0" w:type="dxa"/>
            <w:vAlign w:val="bottom"/>
          </w:tcPr>
          <w:p>
            <w:pPr>
              <w:spacing w:after="0"/>
              <w:rPr>
                <w:sz w:val="1"/>
                <w:szCs w:val="1"/>
                <w:color w:val="auto"/>
              </w:rPr>
            </w:pPr>
          </w:p>
        </w:tc>
      </w:tr>
      <w:tr>
        <w:trPr>
          <w:trHeight w:val="177"/>
        </w:trPr>
        <w:tc>
          <w:tcPr>
            <w:tcW w:w="3960" w:type="dxa"/>
            <w:vAlign w:val="bottom"/>
          </w:tcPr>
          <w:p>
            <w:pPr>
              <w:ind w:left="460"/>
              <w:spacing w:after="0"/>
              <w:rPr>
                <w:sz w:val="20"/>
                <w:szCs w:val="20"/>
                <w:color w:val="auto"/>
              </w:rPr>
            </w:pPr>
            <w:r>
              <w:rPr>
                <w:rFonts w:ascii="Courier New" w:cs="Courier New" w:eastAsia="Courier New" w:hAnsi="Courier New"/>
                <w:sz w:val="15"/>
                <w:szCs w:val="15"/>
                <w:color w:val="auto"/>
              </w:rPr>
              <w:t>Convertible debentures (note 11)</w:t>
            </w:r>
          </w:p>
        </w:tc>
        <w:tc>
          <w:tcPr>
            <w:tcW w:w="13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60" w:type="dxa"/>
            <w:vAlign w:val="bottom"/>
          </w:tcPr>
          <w:p>
            <w:pPr>
              <w:ind w:left="460"/>
              <w:spacing w:after="0"/>
              <w:rPr>
                <w:sz w:val="20"/>
                <w:szCs w:val="20"/>
                <w:color w:val="auto"/>
              </w:rPr>
            </w:pPr>
            <w:r>
              <w:rPr>
                <w:rFonts w:ascii="Courier New" w:cs="Courier New" w:eastAsia="Courier New" w:hAnsi="Courier New"/>
                <w:sz w:val="15"/>
                <w:szCs w:val="15"/>
                <w:color w:val="auto"/>
              </w:rPr>
              <w:t>Capital stock (note 12)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9,867</w:t>
            </w:r>
          </w:p>
        </w:tc>
        <w:tc>
          <w:tcPr>
            <w:tcW w:w="0" w:type="dxa"/>
            <w:vAlign w:val="bottom"/>
          </w:tcPr>
          <w:p>
            <w:pPr>
              <w:spacing w:after="0"/>
              <w:rPr>
                <w:sz w:val="1"/>
                <w:szCs w:val="1"/>
                <w:color w:val="auto"/>
              </w:rPr>
            </w:pPr>
          </w:p>
        </w:tc>
      </w:tr>
      <w:tr>
        <w:trPr>
          <w:trHeight w:val="205"/>
        </w:trPr>
        <w:tc>
          <w:tcPr>
            <w:tcW w:w="3960" w:type="dxa"/>
            <w:vAlign w:val="bottom"/>
          </w:tcPr>
          <w:p>
            <w:pPr>
              <w:ind w:left="460"/>
              <w:spacing w:after="0"/>
              <w:rPr>
                <w:sz w:val="20"/>
                <w:szCs w:val="20"/>
                <w:color w:val="auto"/>
              </w:rPr>
            </w:pPr>
            <w:r>
              <w:rPr>
                <w:rFonts w:ascii="Courier New" w:cs="Courier New" w:eastAsia="Courier New" w:hAnsi="Courier New"/>
                <w:sz w:val="15"/>
                <w:szCs w:val="15"/>
                <w:color w:val="auto"/>
              </w:rPr>
              <w:t>Retained earnings</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105,819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73,350</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5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134,967101,319</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Contingent liabilities (note 13)</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ind w:left="4425"/>
        <w:spacing w:after="0"/>
        <w:tabs>
          <w:tab w:leader="none" w:pos="5425" w:val="left"/>
        </w:tabs>
        <w:rPr>
          <w:sz w:val="20"/>
          <w:szCs w:val="20"/>
          <w:color w:val="auto"/>
        </w:rPr>
      </w:pPr>
      <w:r>
        <w:rPr>
          <w:rFonts w:ascii="Courier New" w:cs="Courier New" w:eastAsia="Courier New" w:hAnsi="Courier New"/>
          <w:sz w:val="15"/>
          <w:szCs w:val="15"/>
          <w:color w:val="auto"/>
        </w:rPr>
        <w:t>$362,470</w:t>
      </w:r>
      <w:r>
        <w:rPr>
          <w:sz w:val="20"/>
          <w:szCs w:val="20"/>
          <w:color w:val="auto"/>
        </w:rPr>
        <w:tab/>
      </w:r>
      <w:r>
        <w:rPr>
          <w:rFonts w:ascii="Courier New" w:cs="Courier New" w:eastAsia="Courier New" w:hAnsi="Courier New"/>
          <w:sz w:val="15"/>
          <w:szCs w:val="15"/>
          <w:color w:val="auto"/>
        </w:rPr>
        <w:t>$328,782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5" w:top="800" w:right="1440" w:bottom="1440" w:gutter="0" w:footer="0" w:header="0"/>
        </w:sectPr>
      </w:pPr>
    </w:p>
    <w:bookmarkStart w:id="16" w:name="page17"/>
    <w:bookmarkEnd w:id="16"/>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Statement of Earnings</w:t>
      </w:r>
    </w:p>
    <w:p>
      <w:pPr>
        <w:spacing w:after="0" w:line="157" w:lineRule="exact"/>
        <w:rPr>
          <w:sz w:val="20"/>
          <w:szCs w:val="20"/>
          <w:color w:val="auto"/>
        </w:rPr>
      </w:pPr>
    </w:p>
    <w:p>
      <w:pPr>
        <w:ind w:left="5" w:right="3479"/>
        <w:spacing w:after="0" w:line="377" w:lineRule="auto"/>
        <w:rPr>
          <w:sz w:val="20"/>
          <w:szCs w:val="20"/>
          <w:color w:val="auto"/>
        </w:rPr>
      </w:pPr>
      <w:r>
        <w:rPr>
          <w:rFonts w:ascii="Courier New" w:cs="Courier New" w:eastAsia="Courier New" w:hAnsi="Courier New"/>
          <w:sz w:val="15"/>
          <w:szCs w:val="15"/>
          <w:color w:val="auto"/>
        </w:rPr>
        <w:t>Years ended December 31, 1998, with comparative figures for 1997 and 1996 (In thousands of Canadian dollars, except earnings per share)</w:t>
      </w:r>
    </w:p>
    <w:p>
      <w:pPr>
        <w:spacing w:after="0" w:line="200" w:lineRule="exact"/>
        <w:rPr>
          <w:sz w:val="20"/>
          <w:szCs w:val="20"/>
          <w:color w:val="auto"/>
        </w:rPr>
      </w:pPr>
    </w:p>
    <w:p>
      <w:pPr>
        <w:spacing w:after="0" w:line="33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605"/>
        <w:spacing w:after="0"/>
        <w:tabs>
          <w:tab w:leader="none" w:pos="5885" w:val="left"/>
          <w:tab w:leader="none" w:pos="698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58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$ 228,736</w:t>
            </w:r>
          </w:p>
        </w:tc>
        <w:tc>
          <w:tcPr>
            <w:tcW w:w="12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$ 120,748</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$ 160,100</w:t>
            </w:r>
          </w:p>
        </w:tc>
        <w:tc>
          <w:tcPr>
            <w:tcW w:w="0" w:type="dxa"/>
            <w:vAlign w:val="bottom"/>
          </w:tcPr>
          <w:p>
            <w:pPr>
              <w:spacing w:after="0"/>
              <w:rPr>
                <w:sz w:val="1"/>
                <w:szCs w:val="1"/>
                <w:color w:val="auto"/>
              </w:rPr>
            </w:pPr>
          </w:p>
        </w:tc>
      </w:tr>
      <w:tr>
        <w:trPr>
          <w:trHeight w:val="177"/>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Sales</w:t>
            </w:r>
          </w:p>
        </w:tc>
        <w:tc>
          <w:tcPr>
            <w:tcW w:w="25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60" w:type="dxa"/>
            <w:vAlign w:val="bottom"/>
          </w:tcPr>
          <w:p>
            <w:pPr>
              <w:ind w:left="460"/>
              <w:spacing w:after="0"/>
              <w:rPr>
                <w:sz w:val="20"/>
                <w:szCs w:val="20"/>
                <w:color w:val="auto"/>
              </w:rPr>
            </w:pPr>
            <w:r>
              <w:rPr>
                <w:rFonts w:ascii="Courier New" w:cs="Courier New" w:eastAsia="Courier New" w:hAnsi="Courier New"/>
                <w:sz w:val="15"/>
                <w:szCs w:val="15"/>
                <w:color w:val="auto"/>
              </w:rPr>
              <w:t>Interest</w:t>
            </w:r>
          </w:p>
        </w:tc>
        <w:tc>
          <w:tcPr>
            <w:tcW w:w="25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1,423</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1,580</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3860" w:type="dxa"/>
            <w:vAlign w:val="bottom"/>
          </w:tcPr>
          <w:p>
            <w:pPr>
              <w:spacing w:after="0"/>
              <w:rPr>
                <w:sz w:val="22"/>
                <w:szCs w:val="22"/>
                <w:color w:val="auto"/>
              </w:rPr>
            </w:pP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230,159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121,388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161,680</w:t>
            </w:r>
          </w:p>
        </w:tc>
      </w:tr>
      <w:tr>
        <w:trPr>
          <w:trHeight w:val="2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151,934</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111,884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115,386</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10,746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9,519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10,641</w:t>
            </w:r>
          </w:p>
        </w:tc>
      </w:tr>
      <w:tr>
        <w:trPr>
          <w:trHeight w:val="205"/>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Financial expenses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16,878</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5,237</w:t>
            </w: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525"/>
        <w:spacing w:after="0"/>
        <w:tabs>
          <w:tab w:leader="none" w:pos="5705" w:val="left"/>
          <w:tab w:leader="none" w:pos="6905" w:val="left"/>
        </w:tabs>
        <w:rPr>
          <w:sz w:val="20"/>
          <w:szCs w:val="20"/>
          <w:color w:val="auto"/>
        </w:rPr>
      </w:pPr>
      <w:r>
        <w:rPr>
          <w:rFonts w:ascii="Courier New" w:cs="Courier New" w:eastAsia="Courier New" w:hAnsi="Courier New"/>
          <w:sz w:val="15"/>
          <w:szCs w:val="15"/>
          <w:color w:val="auto"/>
        </w:rPr>
        <w:t>179,558</w:t>
      </w:r>
      <w:r>
        <w:rPr>
          <w:sz w:val="20"/>
          <w:szCs w:val="20"/>
          <w:color w:val="auto"/>
        </w:rPr>
        <w:tab/>
      </w:r>
      <w:r>
        <w:rPr>
          <w:rFonts w:ascii="Courier New" w:cs="Courier New" w:eastAsia="Courier New" w:hAnsi="Courier New"/>
          <w:sz w:val="15"/>
          <w:szCs w:val="15"/>
          <w:color w:val="auto"/>
        </w:rPr>
        <w:t>125,905</w:t>
      </w:r>
      <w:r>
        <w:rPr>
          <w:sz w:val="20"/>
          <w:szCs w:val="20"/>
          <w:color w:val="auto"/>
        </w:rPr>
        <w:tab/>
      </w:r>
      <w:r>
        <w:rPr>
          <w:rFonts w:ascii="Courier New" w:cs="Courier New" w:eastAsia="Courier New" w:hAnsi="Courier New"/>
          <w:sz w:val="15"/>
          <w:szCs w:val="15"/>
          <w:color w:val="auto"/>
        </w:rPr>
        <w:t>131,264</w:t>
      </w:r>
    </w:p>
    <w:p>
      <w:pPr>
        <w:spacing w:after="0" w:line="157" w:lineRule="exact"/>
        <w:rPr>
          <w:sz w:val="20"/>
          <w:szCs w:val="20"/>
          <w:color w:val="auto"/>
        </w:rPr>
      </w:pPr>
    </w:p>
    <w:p>
      <w:pPr>
        <w:ind w:left="185" w:hanging="185"/>
        <w:spacing w:after="0"/>
        <w:tabs>
          <w:tab w:leader="none" w:pos="1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before income taxes and</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33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minority interest</w:t>
            </w:r>
          </w:p>
        </w:tc>
        <w:tc>
          <w:tcPr>
            <w:tcW w:w="2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50,601</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30,416</w:t>
            </w:r>
          </w:p>
        </w:tc>
        <w:tc>
          <w:tcPr>
            <w:tcW w:w="0" w:type="dxa"/>
            <w:vAlign w:val="bottom"/>
          </w:tcPr>
          <w:p>
            <w:pPr>
              <w:spacing w:after="0"/>
              <w:rPr>
                <w:sz w:val="1"/>
                <w:szCs w:val="1"/>
                <w:color w:val="auto"/>
              </w:rPr>
            </w:pPr>
          </w:p>
        </w:tc>
      </w:tr>
      <w:tr>
        <w:trPr>
          <w:trHeight w:val="244"/>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Income taxes</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(note 3):</w:t>
            </w:r>
          </w:p>
        </w:tc>
        <w:tc>
          <w:tcPr>
            <w:tcW w:w="212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2,758</w:t>
            </w:r>
          </w:p>
        </w:tc>
        <w:tc>
          <w:tcPr>
            <w:tcW w:w="12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(3,075)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6,204</w:t>
            </w:r>
          </w:p>
        </w:tc>
        <w:tc>
          <w:tcPr>
            <w:tcW w:w="0" w:type="dxa"/>
            <w:vAlign w:val="bottom"/>
          </w:tcPr>
          <w:p>
            <w:pPr>
              <w:spacing w:after="0"/>
              <w:rPr>
                <w:sz w:val="1"/>
                <w:szCs w:val="1"/>
                <w:color w:val="auto"/>
              </w:rPr>
            </w:pPr>
          </w:p>
        </w:tc>
      </w:tr>
      <w:tr>
        <w:trPr>
          <w:trHeight w:val="177"/>
        </w:trPr>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Current</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(recovery)</w:t>
            </w:r>
          </w:p>
        </w:tc>
        <w:tc>
          <w:tcPr>
            <w:tcW w:w="21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2160" w:type="dxa"/>
            <w:vAlign w:val="bottom"/>
          </w:tcPr>
          <w:p>
            <w:pPr>
              <w:spacing w:after="0"/>
              <w:rPr>
                <w:sz w:val="17"/>
                <w:szCs w:val="17"/>
                <w:color w:val="auto"/>
              </w:rPr>
            </w:pPr>
          </w:p>
        </w:tc>
        <w:tc>
          <w:tcPr>
            <w:tcW w:w="2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14,030</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1,521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3,135</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05"/>
        <w:spacing w:after="0"/>
        <w:tabs>
          <w:tab w:leader="none" w:pos="5785" w:val="left"/>
          <w:tab w:leader="none" w:pos="7085" w:val="left"/>
        </w:tabs>
        <w:rPr>
          <w:sz w:val="20"/>
          <w:szCs w:val="20"/>
          <w:color w:val="auto"/>
        </w:rPr>
      </w:pPr>
      <w:r>
        <w:rPr>
          <w:rFonts w:ascii="Courier New" w:cs="Courier New" w:eastAsia="Courier New" w:hAnsi="Courier New"/>
          <w:sz w:val="15"/>
          <w:szCs w:val="15"/>
          <w:color w:val="auto"/>
        </w:rPr>
        <w:t>16,788</w:t>
      </w:r>
      <w:r>
        <w:rPr>
          <w:sz w:val="20"/>
          <w:szCs w:val="20"/>
          <w:color w:val="auto"/>
        </w:rPr>
        <w:tab/>
      </w:r>
      <w:r>
        <w:rPr>
          <w:rFonts w:ascii="Courier New" w:cs="Courier New" w:eastAsia="Courier New" w:hAnsi="Courier New"/>
          <w:sz w:val="15"/>
          <w:szCs w:val="15"/>
          <w:color w:val="auto"/>
        </w:rPr>
        <w:t>(1,554)</w:t>
      </w:r>
      <w:r>
        <w:rPr>
          <w:sz w:val="20"/>
          <w:szCs w:val="20"/>
          <w:color w:val="auto"/>
        </w:rPr>
        <w:tab/>
      </w:r>
      <w:r>
        <w:rPr>
          <w:rFonts w:ascii="Courier New" w:cs="Courier New" w:eastAsia="Courier New" w:hAnsi="Courier New"/>
          <w:sz w:val="15"/>
          <w:szCs w:val="15"/>
          <w:color w:val="auto"/>
        </w:rPr>
        <w:t>9,339</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earnings (loss) before minority interest</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33,813</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(2,963)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21,077</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508</w:t>
            </w: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10,431</w:t>
            </w: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33,305</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(2,395)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10,646</w:t>
            </w:r>
          </w:p>
        </w:tc>
      </w:tr>
    </w:tbl>
    <w:p>
      <w:pPr>
        <w:ind w:left="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(loss) per share (note 17)</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2.05</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(loss) per share fully diluted</w:t>
            </w:r>
          </w:p>
        </w:tc>
        <w:tc>
          <w:tcPr>
            <w:tcW w:w="4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1.51</w:t>
            </w:r>
          </w:p>
        </w:tc>
        <w:tc>
          <w:tcPr>
            <w:tcW w:w="4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(.19)</w:t>
            </w:r>
          </w:p>
        </w:tc>
        <w:tc>
          <w:tcPr>
            <w:tcW w:w="4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260"/>
        </w:trPr>
        <w:tc>
          <w:tcPr>
            <w:tcW w:w="320" w:type="dxa"/>
            <w:vAlign w:val="bottom"/>
          </w:tcPr>
          <w:p>
            <w:pPr>
              <w:spacing w:after="0"/>
              <w:rPr>
                <w:sz w:val="22"/>
                <w:szCs w:val="22"/>
                <w:color w:val="auto"/>
              </w:rPr>
            </w:pPr>
          </w:p>
        </w:tc>
        <w:tc>
          <w:tcPr>
            <w:tcW w:w="3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 17)</w:t>
            </w:r>
          </w:p>
        </w:tc>
        <w:tc>
          <w:tcPr>
            <w:tcW w:w="46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800" w:right="1440" w:bottom="1440" w:gutter="0" w:footer="0" w:header="0"/>
        </w:sectPr>
      </w:pPr>
    </w:p>
    <w:bookmarkStart w:id="17" w:name="page18"/>
    <w:bookmarkEnd w:id="17"/>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Statement of Retained Earnings</w:t>
      </w:r>
    </w:p>
    <w:p>
      <w:pPr>
        <w:spacing w:after="0" w:line="157" w:lineRule="exact"/>
        <w:rPr>
          <w:sz w:val="20"/>
          <w:szCs w:val="20"/>
          <w:color w:val="auto"/>
        </w:rPr>
      </w:pPr>
    </w:p>
    <w:p>
      <w:pPr>
        <w:ind w:left="5" w:right="3479"/>
        <w:spacing w:after="0" w:line="377" w:lineRule="auto"/>
        <w:rPr>
          <w:sz w:val="20"/>
          <w:szCs w:val="20"/>
          <w:color w:val="auto"/>
        </w:rPr>
      </w:pPr>
      <w:r>
        <w:rPr>
          <w:rFonts w:ascii="Courier New" w:cs="Courier New" w:eastAsia="Courier New" w:hAnsi="Courier New"/>
          <w:sz w:val="15"/>
          <w:szCs w:val="15"/>
          <w:color w:val="auto"/>
        </w:rPr>
        <w:t>Years ended December 31, 1998, with comparative figures for 1997 and 1996 (In thousands of Canadian dollars)</w:t>
      </w:r>
    </w:p>
    <w:p>
      <w:pPr>
        <w:spacing w:after="0" w:line="200" w:lineRule="exact"/>
        <w:rPr>
          <w:sz w:val="20"/>
          <w:szCs w:val="20"/>
          <w:color w:val="auto"/>
        </w:rPr>
      </w:pPr>
    </w:p>
    <w:p>
      <w:pPr>
        <w:spacing w:after="0" w:line="33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985"/>
        <w:spacing w:after="0"/>
        <w:tabs>
          <w:tab w:leader="none" w:pos="6245" w:val="left"/>
          <w:tab w:leader="none" w:pos="744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 beginning of year</w:t>
            </w:r>
          </w:p>
        </w:tc>
        <w:tc>
          <w:tcPr>
            <w:tcW w:w="21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73,350</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76,351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72,051</w:t>
            </w:r>
          </w:p>
        </w:tc>
      </w:tr>
      <w:tr>
        <w:trPr>
          <w:trHeight w:val="300"/>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21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33,305</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10,646</w:t>
            </w:r>
          </w:p>
        </w:tc>
      </w:tr>
    </w:tbl>
    <w:p>
      <w:pPr>
        <w:ind w:left="185" w:hanging="185"/>
        <w:spacing w:after="0"/>
        <w:tabs>
          <w:tab w:leader="none" w:pos="18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8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106,65573,95682,697</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31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shares</w:t>
            </w:r>
          </w:p>
        </w:tc>
        <w:tc>
          <w:tcPr>
            <w:tcW w:w="12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(6,346)</w:t>
            </w:r>
          </w:p>
        </w:tc>
        <w:tc>
          <w:tcPr>
            <w:tcW w:w="0" w:type="dxa"/>
            <w:vAlign w:val="bottom"/>
          </w:tcPr>
          <w:p>
            <w:pPr>
              <w:spacing w:after="0"/>
              <w:rPr>
                <w:sz w:val="1"/>
                <w:szCs w:val="1"/>
                <w:color w:val="auto"/>
              </w:rPr>
            </w:pPr>
          </w:p>
        </w:tc>
      </w:tr>
      <w:tr>
        <w:trPr>
          <w:trHeight w:val="260"/>
        </w:trPr>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Class A and B</w:t>
            </w:r>
          </w:p>
        </w:tc>
        <w:tc>
          <w:tcPr>
            <w:tcW w:w="310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Interest on equity</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component of convertible</w:t>
            </w:r>
          </w:p>
        </w:tc>
        <w:tc>
          <w:tcPr>
            <w:tcW w:w="1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debentures net of taxes of $343 (1997 - $231)</w:t>
            </w:r>
          </w:p>
        </w:tc>
        <w:tc>
          <w:tcPr>
            <w:tcW w:w="12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(836)</w:t>
            </w:r>
          </w:p>
        </w:tc>
        <w:tc>
          <w:tcPr>
            <w:tcW w:w="11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(606)</w:t>
            </w:r>
          </w:p>
        </w:tc>
        <w:tc>
          <w:tcPr>
            <w:tcW w:w="9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1700" w:type="dxa"/>
            <w:vAlign w:val="bottom"/>
          </w:tcPr>
          <w:p>
            <w:pPr>
              <w:ind w:left="280"/>
              <w:spacing w:after="0"/>
              <w:rPr>
                <w:sz w:val="20"/>
                <w:szCs w:val="20"/>
                <w:color w:val="auto"/>
              </w:rPr>
            </w:pPr>
            <w:r>
              <w:rPr>
                <w:rFonts w:ascii="Courier New" w:cs="Courier New" w:eastAsia="Courier New" w:hAnsi="Courier New"/>
                <w:sz w:val="15"/>
                <w:szCs w:val="15"/>
                <w:color w:val="auto"/>
              </w:rPr>
              <w:t>(note 11)</w:t>
            </w:r>
          </w:p>
        </w:tc>
        <w:tc>
          <w:tcPr>
            <w:tcW w:w="310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24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$ 105,819</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73,350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76,351</w:t>
            </w:r>
          </w:p>
        </w:tc>
      </w:tr>
    </w:tbl>
    <w:p>
      <w:pPr>
        <w:spacing w:after="0" w:line="6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800" w:right="1440" w:bottom="1440" w:gutter="0" w:footer="0" w:header="0"/>
        </w:sectPr>
      </w:pPr>
    </w:p>
    <w:bookmarkStart w:id="18" w:name="page19"/>
    <w:bookmarkEnd w:id="18"/>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Statement of Changes in Financial Position</w:t>
      </w:r>
    </w:p>
    <w:p>
      <w:pPr>
        <w:spacing w:after="0" w:line="157" w:lineRule="exact"/>
        <w:rPr>
          <w:sz w:val="20"/>
          <w:szCs w:val="20"/>
          <w:color w:val="auto"/>
        </w:rPr>
      </w:pPr>
    </w:p>
    <w:p>
      <w:pPr>
        <w:ind w:left="5" w:right="3479"/>
        <w:spacing w:after="0" w:line="377" w:lineRule="auto"/>
        <w:rPr>
          <w:sz w:val="20"/>
          <w:szCs w:val="20"/>
          <w:color w:val="auto"/>
        </w:rPr>
      </w:pPr>
      <w:r>
        <w:rPr>
          <w:rFonts w:ascii="Courier New" w:cs="Courier New" w:eastAsia="Courier New" w:hAnsi="Courier New"/>
          <w:sz w:val="15"/>
          <w:szCs w:val="15"/>
          <w:color w:val="auto"/>
        </w:rPr>
        <w:t>Years ended December 31, 1998, with comparative figures for 1997 and 1996 (In thousands of Canadian dollars)</w:t>
      </w:r>
    </w:p>
    <w:p>
      <w:pPr>
        <w:spacing w:after="0" w:line="200" w:lineRule="exact"/>
        <w:rPr>
          <w:sz w:val="20"/>
          <w:szCs w:val="20"/>
          <w:color w:val="auto"/>
        </w:rPr>
      </w:pPr>
    </w:p>
    <w:p>
      <w:pPr>
        <w:spacing w:after="0" w:line="33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5265"/>
        <w:spacing w:after="0"/>
        <w:tabs>
          <w:tab w:leader="none" w:pos="6445" w:val="left"/>
          <w:tab w:leader="none" w:pos="764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185" w:hanging="185"/>
        <w:spacing w:after="0"/>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6"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provided by (used in):</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2440" w:type="dxa"/>
            <w:vAlign w:val="bottom"/>
          </w:tcPr>
          <w:p>
            <w:pPr>
              <w:spacing w:after="0"/>
              <w:rPr>
                <w:sz w:val="15"/>
                <w:szCs w:val="15"/>
                <w:color w:val="auto"/>
              </w:rPr>
            </w:pPr>
          </w:p>
        </w:tc>
        <w:tc>
          <w:tcPr>
            <w:tcW w:w="124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  33,305</w:t>
            </w:r>
          </w:p>
        </w:tc>
        <w:tc>
          <w:tcPr>
            <w:tcW w:w="120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  (2,395)</w:t>
            </w:r>
          </w:p>
        </w:tc>
        <w:tc>
          <w:tcPr>
            <w:tcW w:w="106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  10,646</w:t>
            </w:r>
          </w:p>
        </w:tc>
        <w:tc>
          <w:tcPr>
            <w:tcW w:w="0" w:type="dxa"/>
            <w:vAlign w:val="bottom"/>
          </w:tcPr>
          <w:p>
            <w:pPr>
              <w:spacing w:after="0"/>
              <w:rPr>
                <w:sz w:val="1"/>
                <w:szCs w:val="1"/>
                <w:color w:val="auto"/>
              </w:rPr>
            </w:pPr>
          </w:p>
        </w:tc>
      </w:tr>
      <w:tr>
        <w:trPr>
          <w:trHeight w:val="177"/>
        </w:trPr>
        <w:tc>
          <w:tcPr>
            <w:tcW w:w="2260" w:type="dxa"/>
            <w:vAlign w:val="bottom"/>
          </w:tcPr>
          <w:p>
            <w:pPr>
              <w:ind w:left="460"/>
              <w:spacing w:after="0"/>
              <w:rPr>
                <w:sz w:val="20"/>
                <w:szCs w:val="20"/>
                <w:color w:val="auto"/>
              </w:rPr>
            </w:pPr>
            <w:r>
              <w:rPr>
                <w:rFonts w:ascii="Courier New" w:cs="Courier New" w:eastAsia="Courier New" w:hAnsi="Courier New"/>
                <w:sz w:val="15"/>
                <w:szCs w:val="15"/>
                <w:color w:val="auto"/>
              </w:rPr>
              <w:t>Net earnings (loss)</w:t>
            </w:r>
          </w:p>
        </w:tc>
        <w:tc>
          <w:tcPr>
            <w:tcW w:w="24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cash:</w:t>
            </w:r>
          </w:p>
        </w:tc>
        <w:tc>
          <w:tcPr>
            <w:tcW w:w="1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460"/>
              <w:spacing w:after="0"/>
              <w:rPr>
                <w:sz w:val="20"/>
                <w:szCs w:val="20"/>
                <w:color w:val="auto"/>
              </w:rPr>
            </w:pPr>
            <w:r>
              <w:rPr>
                <w:rFonts w:ascii="Courier New" w:cs="Courier New" w:eastAsia="Courier New" w:hAnsi="Courier New"/>
                <w:sz w:val="15"/>
                <w:szCs w:val="15"/>
                <w:color w:val="auto"/>
              </w:rPr>
              <w:t>Items not involving</w:t>
            </w:r>
          </w:p>
        </w:tc>
        <w:tc>
          <w:tcPr>
            <w:tcW w:w="2440" w:type="dxa"/>
            <w:vAlign w:val="bottom"/>
            <w:vMerge w:val="continue"/>
          </w:tcPr>
          <w:p>
            <w:pPr>
              <w:spacing w:after="0"/>
              <w:rPr>
                <w:sz w:val="15"/>
                <w:szCs w:val="15"/>
                <w:color w:val="auto"/>
              </w:rPr>
            </w:pPr>
          </w:p>
        </w:tc>
        <w:tc>
          <w:tcPr>
            <w:tcW w:w="124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12,502</w:t>
            </w:r>
          </w:p>
        </w:tc>
        <w:tc>
          <w:tcPr>
            <w:tcW w:w="120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7,754</w:t>
            </w:r>
          </w:p>
        </w:tc>
        <w:tc>
          <w:tcPr>
            <w:tcW w:w="106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8,199</w:t>
            </w:r>
          </w:p>
        </w:tc>
        <w:tc>
          <w:tcPr>
            <w:tcW w:w="0" w:type="dxa"/>
            <w:vAlign w:val="bottom"/>
          </w:tcPr>
          <w:p>
            <w:pPr>
              <w:spacing w:after="0"/>
              <w:rPr>
                <w:sz w:val="1"/>
                <w:szCs w:val="1"/>
                <w:color w:val="auto"/>
              </w:rPr>
            </w:pPr>
          </w:p>
        </w:tc>
      </w:tr>
      <w:tr>
        <w:trPr>
          <w:trHeight w:val="177"/>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Depreciation of</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fixed assets</w:t>
            </w:r>
          </w:p>
        </w:tc>
        <w:tc>
          <w:tcPr>
            <w:tcW w:w="1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Amortization of</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other assets</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3,762</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1,946</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3,477</w:t>
            </w:r>
          </w:p>
        </w:tc>
        <w:tc>
          <w:tcPr>
            <w:tcW w:w="0" w:type="dxa"/>
            <w:vAlign w:val="bottom"/>
          </w:tcPr>
          <w:p>
            <w:pPr>
              <w:spacing w:after="0"/>
              <w:rPr>
                <w:sz w:val="1"/>
                <w:szCs w:val="1"/>
                <w:color w:val="auto"/>
              </w:rPr>
            </w:pPr>
          </w:p>
        </w:tc>
      </w:tr>
      <w:tr>
        <w:trPr>
          <w:trHeight w:val="177"/>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Amortization of</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deferred loss on foreign</w:t>
            </w:r>
          </w:p>
        </w:tc>
        <w:tc>
          <w:tcPr>
            <w:tcW w:w="124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491</w:t>
            </w:r>
          </w:p>
        </w:tc>
        <w:tc>
          <w:tcPr>
            <w:tcW w:w="1200" w:type="dxa"/>
            <w:vAlign w:val="bottom"/>
            <w:vMerge w:val="restart"/>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2260" w:type="dxa"/>
            <w:vAlign w:val="bottom"/>
          </w:tcPr>
          <w:p>
            <w:pPr>
              <w:ind w:left="1000"/>
              <w:spacing w:after="0"/>
              <w:rPr>
                <w:sz w:val="20"/>
                <w:szCs w:val="20"/>
                <w:color w:val="auto"/>
              </w:rPr>
            </w:pPr>
            <w:r>
              <w:rPr>
                <w:rFonts w:ascii="Courier New" w:cs="Courier New" w:eastAsia="Courier New" w:hAnsi="Courier New"/>
                <w:sz w:val="15"/>
                <w:szCs w:val="15"/>
                <w:color w:val="auto"/>
              </w:rPr>
              <w:t>exchange</w:t>
            </w:r>
          </w:p>
        </w:tc>
        <w:tc>
          <w:tcPr>
            <w:tcW w:w="24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(Gain) loss on disposal of fixed assets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128</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77"/>
        </w:trPr>
        <w:tc>
          <w:tcPr>
            <w:tcW w:w="47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Loss on write-down of investment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Loss on write-off of other assets</w:t>
            </w:r>
          </w:p>
        </w:tc>
        <w:tc>
          <w:tcPr>
            <w:tcW w:w="124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1,301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Deferred income</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14,030</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1,521</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3,135</w:t>
            </w:r>
          </w:p>
        </w:tc>
        <w:tc>
          <w:tcPr>
            <w:tcW w:w="0" w:type="dxa"/>
            <w:vAlign w:val="bottom"/>
          </w:tcPr>
          <w:p>
            <w:pPr>
              <w:spacing w:after="0"/>
              <w:rPr>
                <w:sz w:val="1"/>
                <w:szCs w:val="1"/>
                <w:color w:val="auto"/>
              </w:rPr>
            </w:pPr>
          </w:p>
        </w:tc>
      </w:tr>
      <w:tr>
        <w:trPr>
          <w:trHeight w:val="177"/>
        </w:trPr>
        <w:tc>
          <w:tcPr>
            <w:tcW w:w="47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Minority interest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508</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(568)</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10,431</w:t>
            </w:r>
          </w:p>
        </w:tc>
        <w:tc>
          <w:tcPr>
            <w:tcW w:w="0" w:type="dxa"/>
            <w:vAlign w:val="bottom"/>
          </w:tcPr>
          <w:p>
            <w:pPr>
              <w:spacing w:after="0"/>
              <w:rPr>
                <w:sz w:val="1"/>
                <w:szCs w:val="1"/>
                <w:color w:val="auto"/>
              </w:rPr>
            </w:pPr>
          </w:p>
        </w:tc>
      </w:tr>
      <w:tr>
        <w:trPr>
          <w:trHeight w:val="177"/>
        </w:trPr>
        <w:tc>
          <w:tcPr>
            <w:tcW w:w="47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Interest on the equity component of the</w:t>
            </w:r>
          </w:p>
        </w:tc>
        <w:tc>
          <w:tcPr>
            <w:tcW w:w="12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(903)</w:t>
            </w:r>
          </w:p>
        </w:tc>
        <w:tc>
          <w:tcPr>
            <w:tcW w:w="120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(608)</w:t>
            </w: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470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convertible debentures</w:t>
            </w:r>
          </w:p>
        </w:tc>
        <w:tc>
          <w:tcPr>
            <w:tcW w:w="1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Net change in non-cash working capital items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(11,035)</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(6,896)</w:t>
            </w:r>
          </w:p>
        </w:tc>
        <w:tc>
          <w:tcPr>
            <w:tcW w:w="0" w:type="dxa"/>
            <w:vAlign w:val="bottom"/>
          </w:tcPr>
          <w:p>
            <w:pPr>
              <w:spacing w:after="0"/>
              <w:rPr>
                <w:sz w:val="1"/>
                <w:szCs w:val="1"/>
                <w:color w:val="auto"/>
              </w:rPr>
            </w:pPr>
          </w:p>
        </w:tc>
      </w:tr>
    </w:tbl>
    <w:p>
      <w:pPr>
        <w:ind w:left="185" w:hanging="185"/>
        <w:spacing w:after="0"/>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1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52,9475,21429,099</w:t>
      </w:r>
    </w:p>
    <w:tbl>
      <w:tblPr>
        <w:tblLayout w:type="fixed"/>
        <w:tblInd w:w="5" w:type="dxa"/>
        <w:tblCellMar>
          <w:top w:w="0" w:type="dxa"/>
          <w:left w:w="0" w:type="dxa"/>
          <w:bottom w:w="0" w:type="dxa"/>
          <w:right w:w="0" w:type="dxa"/>
        </w:tblCellMar>
      </w:tblPr>
      <w:tr>
        <w:trPr>
          <w:trHeight w:val="157"/>
        </w:trPr>
        <w:tc>
          <w:tcPr>
            <w:tcW w:w="4660" w:type="dxa"/>
            <w:vAlign w:val="bottom"/>
          </w:tcPr>
          <w:p>
            <w:pPr>
              <w:spacing w:after="0" w:line="157" w:lineRule="exact"/>
              <w:rPr>
                <w:sz w:val="20"/>
                <w:szCs w:val="20"/>
                <w:color w:val="auto"/>
              </w:rPr>
            </w:pPr>
            <w:r>
              <w:rPr>
                <w:rFonts w:ascii="Courier New" w:cs="Courier New" w:eastAsia="Courier New" w:hAnsi="Courier New"/>
                <w:sz w:val="15"/>
                <w:szCs w:val="15"/>
                <w:color w:val="auto"/>
              </w:rPr>
              <w:t>Investments:</w:t>
            </w:r>
          </w:p>
        </w:tc>
        <w:tc>
          <w:tcPr>
            <w:tcW w:w="13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(138)</w:t>
            </w:r>
          </w:p>
        </w:tc>
        <w:tc>
          <w:tcPr>
            <w:tcW w:w="120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(469)</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7"/>
        </w:trPr>
        <w:tc>
          <w:tcPr>
            <w:tcW w:w="4660" w:type="dxa"/>
            <w:vAlign w:val="bottom"/>
          </w:tcPr>
          <w:p>
            <w:pPr>
              <w:ind w:left="460"/>
              <w:spacing w:after="0"/>
              <w:rPr>
                <w:sz w:val="20"/>
                <w:szCs w:val="20"/>
                <w:color w:val="auto"/>
              </w:rPr>
            </w:pPr>
            <w:r>
              <w:rPr>
                <w:rFonts w:ascii="Courier New" w:cs="Courier New" w:eastAsia="Courier New" w:hAnsi="Courier New"/>
                <w:sz w:val="15"/>
                <w:szCs w:val="15"/>
                <w:color w:val="auto"/>
              </w:rPr>
              <w:t>Acquisition of investments</w:t>
            </w:r>
          </w:p>
        </w:tc>
        <w:tc>
          <w:tcPr>
            <w:tcW w:w="13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660" w:type="dxa"/>
            <w:vAlign w:val="bottom"/>
          </w:tcPr>
          <w:p>
            <w:pPr>
              <w:ind w:left="460"/>
              <w:spacing w:after="0"/>
              <w:rPr>
                <w:sz w:val="20"/>
                <w:szCs w:val="20"/>
                <w:color w:val="auto"/>
              </w:rPr>
            </w:pPr>
            <w:r>
              <w:rPr>
                <w:rFonts w:ascii="Courier New" w:cs="Courier New" w:eastAsia="Courier New" w:hAnsi="Courier New"/>
                <w:sz w:val="15"/>
                <w:szCs w:val="15"/>
                <w:color w:val="auto"/>
              </w:rPr>
              <w:t>Proceeds on sale of investments</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272</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6,562</w:t>
            </w:r>
          </w:p>
        </w:tc>
        <w:tc>
          <w:tcPr>
            <w:tcW w:w="0" w:type="dxa"/>
            <w:vAlign w:val="bottom"/>
          </w:tcPr>
          <w:p>
            <w:pPr>
              <w:spacing w:after="0"/>
              <w:rPr>
                <w:sz w:val="1"/>
                <w:szCs w:val="1"/>
                <w:color w:val="auto"/>
              </w:rPr>
            </w:pPr>
          </w:p>
        </w:tc>
      </w:tr>
      <w:tr>
        <w:trPr>
          <w:trHeight w:val="177"/>
        </w:trPr>
        <w:tc>
          <w:tcPr>
            <w:tcW w:w="4660" w:type="dxa"/>
            <w:vAlign w:val="bottom"/>
          </w:tcPr>
          <w:p>
            <w:pPr>
              <w:ind w:left="460"/>
              <w:spacing w:after="0"/>
              <w:rPr>
                <w:sz w:val="20"/>
                <w:szCs w:val="20"/>
                <w:color w:val="auto"/>
              </w:rPr>
            </w:pPr>
            <w:r>
              <w:rPr>
                <w:rFonts w:ascii="Courier New" w:cs="Courier New" w:eastAsia="Courier New" w:hAnsi="Courier New"/>
                <w:sz w:val="15"/>
                <w:szCs w:val="15"/>
                <w:color w:val="auto"/>
              </w:rPr>
              <w:t>Acquisition of fixed assets</w:t>
            </w:r>
          </w:p>
        </w:tc>
        <w:tc>
          <w:tcPr>
            <w:tcW w:w="13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(8,922)</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(56,348)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(87,841)</w:t>
            </w:r>
          </w:p>
        </w:tc>
        <w:tc>
          <w:tcPr>
            <w:tcW w:w="0" w:type="dxa"/>
            <w:vAlign w:val="bottom"/>
          </w:tcPr>
          <w:p>
            <w:pPr>
              <w:spacing w:after="0"/>
              <w:rPr>
                <w:sz w:val="1"/>
                <w:szCs w:val="1"/>
                <w:color w:val="auto"/>
              </w:rPr>
            </w:pPr>
          </w:p>
        </w:tc>
      </w:tr>
      <w:tr>
        <w:trPr>
          <w:trHeight w:val="177"/>
        </w:trPr>
        <w:tc>
          <w:tcPr>
            <w:tcW w:w="4660" w:type="dxa"/>
            <w:vAlign w:val="bottom"/>
          </w:tcPr>
          <w:p>
            <w:pPr>
              <w:ind w:left="460"/>
              <w:spacing w:after="0"/>
              <w:rPr>
                <w:sz w:val="20"/>
                <w:szCs w:val="20"/>
                <w:color w:val="auto"/>
              </w:rPr>
            </w:pPr>
            <w:r>
              <w:rPr>
                <w:rFonts w:ascii="Courier New" w:cs="Courier New" w:eastAsia="Courier New" w:hAnsi="Courier New"/>
                <w:sz w:val="15"/>
                <w:szCs w:val="15"/>
                <w:color w:val="auto"/>
              </w:rPr>
              <w:t>Proceeds on sale of fixed assets</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304</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547</w:t>
            </w:r>
          </w:p>
        </w:tc>
        <w:tc>
          <w:tcPr>
            <w:tcW w:w="0" w:type="dxa"/>
            <w:vAlign w:val="bottom"/>
          </w:tcPr>
          <w:p>
            <w:pPr>
              <w:spacing w:after="0"/>
              <w:rPr>
                <w:sz w:val="1"/>
                <w:szCs w:val="1"/>
                <w:color w:val="auto"/>
              </w:rPr>
            </w:pPr>
          </w:p>
        </w:tc>
      </w:tr>
      <w:tr>
        <w:trPr>
          <w:trHeight w:val="177"/>
        </w:trPr>
        <w:tc>
          <w:tcPr>
            <w:tcW w:w="4660" w:type="dxa"/>
            <w:vAlign w:val="bottom"/>
          </w:tcPr>
          <w:p>
            <w:pPr>
              <w:ind w:left="460"/>
              <w:spacing w:after="0"/>
              <w:rPr>
                <w:sz w:val="20"/>
                <w:szCs w:val="20"/>
                <w:color w:val="auto"/>
              </w:rPr>
            </w:pPr>
            <w:r>
              <w:rPr>
                <w:rFonts w:ascii="Courier New" w:cs="Courier New" w:eastAsia="Courier New" w:hAnsi="Courier New"/>
                <w:sz w:val="15"/>
                <w:szCs w:val="15"/>
                <w:color w:val="auto"/>
              </w:rPr>
              <w:t>Other assets</w:t>
            </w:r>
          </w:p>
        </w:tc>
        <w:tc>
          <w:tcPr>
            <w:tcW w:w="13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(1,150)</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(11,310)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(2,382)</w:t>
            </w:r>
          </w:p>
        </w:tc>
        <w:tc>
          <w:tcPr>
            <w:tcW w:w="0" w:type="dxa"/>
            <w:vAlign w:val="bottom"/>
          </w:tcPr>
          <w:p>
            <w:pPr>
              <w:spacing w:after="0"/>
              <w:rPr>
                <w:sz w:val="1"/>
                <w:szCs w:val="1"/>
                <w:color w:val="auto"/>
              </w:rPr>
            </w:pPr>
          </w:p>
        </w:tc>
      </w:tr>
      <w:tr>
        <w:trPr>
          <w:trHeight w:val="205"/>
        </w:trPr>
        <w:tc>
          <w:tcPr>
            <w:tcW w:w="4660" w:type="dxa"/>
            <w:vAlign w:val="bottom"/>
          </w:tcPr>
          <w:p>
            <w:pPr>
              <w:ind w:left="460"/>
              <w:spacing w:after="0"/>
              <w:rPr>
                <w:sz w:val="20"/>
                <w:szCs w:val="20"/>
                <w:color w:val="auto"/>
              </w:rPr>
            </w:pPr>
            <w:r>
              <w:rPr>
                <w:rFonts w:ascii="Courier New" w:cs="Courier New" w:eastAsia="Courier New" w:hAnsi="Courier New"/>
                <w:sz w:val="15"/>
                <w:szCs w:val="15"/>
                <w:color w:val="auto"/>
              </w:rPr>
              <w:t>Acquisition of minority interest (note 2)</w:t>
            </w:r>
          </w:p>
        </w:tc>
        <w:tc>
          <w:tcPr>
            <w:tcW w:w="13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(71,843)</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4800" w:type="dxa"/>
            <w:vAlign w:val="bottom"/>
            <w:vMerge w:val="restart"/>
          </w:tcPr>
          <w:p>
            <w:pPr>
              <w:spacing w:after="0"/>
              <w:rPr>
                <w:sz w:val="20"/>
                <w:szCs w:val="20"/>
                <w:color w:val="auto"/>
              </w:rPr>
            </w:pPr>
            <w:r>
              <w:rPr>
                <w:rFonts w:ascii="Courier New" w:cs="Courier New" w:eastAsia="Courier New" w:hAnsi="Courier New"/>
                <w:sz w:val="15"/>
                <w:szCs w:val="15"/>
                <w:color w:val="auto"/>
              </w:rPr>
              <w:t>Financing:</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(81,997)</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(67,551)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(83,234)</w:t>
            </w:r>
          </w:p>
        </w:tc>
        <w:tc>
          <w:tcPr>
            <w:tcW w:w="0" w:type="dxa"/>
            <w:vAlign w:val="bottom"/>
          </w:tcPr>
          <w:p>
            <w:pPr>
              <w:spacing w:after="0"/>
              <w:rPr>
                <w:sz w:val="1"/>
                <w:szCs w:val="1"/>
                <w:color w:val="auto"/>
              </w:rPr>
            </w:pPr>
          </w:p>
        </w:tc>
      </w:tr>
      <w:tr>
        <w:trPr>
          <w:trHeight w:val="67"/>
        </w:trPr>
        <w:tc>
          <w:tcPr>
            <w:tcW w:w="4800" w:type="dxa"/>
            <w:vAlign w:val="bottom"/>
            <w:vMerge w:val="continue"/>
          </w:tcPr>
          <w:p>
            <w:pPr>
              <w:spacing w:after="0"/>
              <w:rPr>
                <w:sz w:val="5"/>
                <w:szCs w:val="5"/>
                <w:color w:val="auto"/>
              </w:rPr>
            </w:pPr>
          </w:p>
        </w:tc>
        <w:tc>
          <w:tcPr>
            <w:tcW w:w="124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163,836</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88,283</w:t>
            </w:r>
          </w:p>
        </w:tc>
        <w:tc>
          <w:tcPr>
            <w:tcW w:w="96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26,301</w:t>
            </w:r>
          </w:p>
        </w:tc>
        <w:tc>
          <w:tcPr>
            <w:tcW w:w="0" w:type="dxa"/>
            <w:vAlign w:val="bottom"/>
          </w:tcPr>
          <w:p>
            <w:pPr>
              <w:spacing w:after="0"/>
              <w:rPr>
                <w:sz w:val="1"/>
                <w:szCs w:val="1"/>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Long-term debt</w:t>
            </w:r>
          </w:p>
        </w:tc>
        <w:tc>
          <w:tcPr>
            <w:tcW w:w="1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Principal payments on long-term debt</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(120,318)</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(55,259)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(14,813)</w:t>
            </w:r>
          </w:p>
        </w:tc>
        <w:tc>
          <w:tcPr>
            <w:tcW w:w="0" w:type="dxa"/>
            <w:vAlign w:val="bottom"/>
          </w:tcPr>
          <w:p>
            <w:pPr>
              <w:spacing w:after="0"/>
              <w:rPr>
                <w:sz w:val="1"/>
                <w:szCs w:val="1"/>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Investment by minority interest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14,120</w:t>
            </w:r>
          </w:p>
        </w:tc>
        <w:tc>
          <w:tcPr>
            <w:tcW w:w="0" w:type="dxa"/>
            <w:vAlign w:val="bottom"/>
          </w:tcPr>
          <w:p>
            <w:pPr>
              <w:spacing w:after="0"/>
              <w:rPr>
                <w:sz w:val="1"/>
                <w:szCs w:val="1"/>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Dividends paid by a subsidiary to minority</w:t>
            </w:r>
          </w:p>
        </w:tc>
        <w:tc>
          <w:tcPr>
            <w:tcW w:w="12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(8,150)</w:t>
            </w:r>
          </w:p>
        </w:tc>
        <w:tc>
          <w:tcPr>
            <w:tcW w:w="0" w:type="dxa"/>
            <w:vAlign w:val="bottom"/>
          </w:tcPr>
          <w:p>
            <w:pPr>
              <w:spacing w:after="0"/>
              <w:rPr>
                <w:sz w:val="1"/>
                <w:szCs w:val="1"/>
                <w:color w:val="auto"/>
              </w:rPr>
            </w:pPr>
          </w:p>
        </w:tc>
      </w:tr>
      <w:tr>
        <w:trPr>
          <w:trHeight w:val="177"/>
        </w:trPr>
        <w:tc>
          <w:tcPr>
            <w:tcW w:w="4800" w:type="dxa"/>
            <w:vAlign w:val="bottom"/>
          </w:tcPr>
          <w:p>
            <w:pPr>
              <w:ind w:left="640"/>
              <w:spacing w:after="0"/>
              <w:rPr>
                <w:sz w:val="20"/>
                <w:szCs w:val="20"/>
                <w:color w:val="auto"/>
              </w:rPr>
            </w:pPr>
            <w:r>
              <w:rPr>
                <w:rFonts w:ascii="Courier New" w:cs="Courier New" w:eastAsia="Courier New" w:hAnsi="Courier New"/>
                <w:sz w:val="15"/>
                <w:szCs w:val="15"/>
                <w:color w:val="auto"/>
              </w:rPr>
              <w:t>interest</w:t>
            </w:r>
          </w:p>
        </w:tc>
        <w:tc>
          <w:tcPr>
            <w:tcW w:w="1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Issue of convertible debentures, net of costs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32,596</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 relative to issue costs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(465)</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05"/>
        </w:trPr>
        <w:tc>
          <w:tcPr>
            <w:tcW w:w="4800" w:type="dxa"/>
            <w:vAlign w:val="bottom"/>
          </w:tcPr>
          <w:p>
            <w:pPr>
              <w:ind w:left="460"/>
              <w:spacing w:after="0"/>
              <w:rPr>
                <w:sz w:val="20"/>
                <w:szCs w:val="20"/>
                <w:color w:val="auto"/>
              </w:rPr>
            </w:pPr>
            <w:r>
              <w:rPr>
                <w:rFonts w:ascii="Courier New" w:cs="Courier New" w:eastAsia="Courier New" w:hAnsi="Courier New"/>
                <w:sz w:val="15"/>
                <w:szCs w:val="15"/>
                <w:color w:val="auto"/>
              </w:rPr>
              <w:t>Dividends on Class A and B shares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(6,346)</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165"/>
        <w:spacing w:after="0"/>
        <w:tabs>
          <w:tab w:leader="none" w:pos="6345" w:val="left"/>
          <w:tab w:leader="none" w:pos="7545" w:val="left"/>
        </w:tabs>
        <w:rPr>
          <w:sz w:val="20"/>
          <w:szCs w:val="20"/>
          <w:color w:val="auto"/>
        </w:rPr>
      </w:pPr>
      <w:r>
        <w:rPr>
          <w:rFonts w:ascii="Courier New" w:cs="Courier New" w:eastAsia="Courier New" w:hAnsi="Courier New"/>
          <w:sz w:val="15"/>
          <w:szCs w:val="15"/>
          <w:color w:val="auto"/>
        </w:rPr>
        <w:t>43,518</w:t>
      </w:r>
      <w:r>
        <w:rPr>
          <w:sz w:val="20"/>
          <w:szCs w:val="20"/>
          <w:color w:val="auto"/>
        </w:rPr>
        <w:tab/>
      </w:r>
      <w:r>
        <w:rPr>
          <w:rFonts w:ascii="Courier New" w:cs="Courier New" w:eastAsia="Courier New" w:hAnsi="Courier New"/>
          <w:sz w:val="15"/>
          <w:szCs w:val="15"/>
          <w:color w:val="auto"/>
        </w:rPr>
        <w:t>65,155</w:t>
      </w:r>
      <w:r>
        <w:rPr>
          <w:sz w:val="20"/>
          <w:szCs w:val="20"/>
          <w:color w:val="auto"/>
        </w:rPr>
        <w:tab/>
      </w:r>
      <w:r>
        <w:rPr>
          <w:rFonts w:ascii="Courier New" w:cs="Courier New" w:eastAsia="Courier New" w:hAnsi="Courier New"/>
          <w:sz w:val="15"/>
          <w:szCs w:val="15"/>
          <w:color w:val="auto"/>
        </w:rPr>
        <w:t>11,112</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cash</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c>
          <w:tcPr>
            <w:tcW w:w="18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14,468</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2,818</w:t>
            </w:r>
          </w:p>
        </w:tc>
        <w:tc>
          <w:tcPr>
            <w:tcW w:w="96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(43,023)</w:t>
            </w:r>
          </w:p>
        </w:tc>
        <w:tc>
          <w:tcPr>
            <w:tcW w:w="0" w:type="dxa"/>
            <w:vAlign w:val="bottom"/>
          </w:tcPr>
          <w:p>
            <w:pPr>
              <w:spacing w:after="0"/>
              <w:rPr>
                <w:sz w:val="1"/>
                <w:szCs w:val="1"/>
                <w:color w:val="auto"/>
              </w:rPr>
            </w:pPr>
          </w:p>
        </w:tc>
      </w:tr>
      <w:tr>
        <w:trPr>
          <w:trHeight w:val="327"/>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position, beginning</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8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19,100</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20,575</w:t>
            </w:r>
          </w:p>
        </w:tc>
        <w:tc>
          <w:tcPr>
            <w:tcW w:w="960" w:type="dxa"/>
            <w:vAlign w:val="bottom"/>
          </w:tcPr>
          <w:p>
            <w:pPr>
              <w:jc w:val="center"/>
              <w:ind w:left="163"/>
              <w:spacing w:after="0"/>
              <w:rPr>
                <w:sz w:val="20"/>
                <w:szCs w:val="20"/>
                <w:color w:val="auto"/>
              </w:rPr>
            </w:pPr>
            <w:r>
              <w:rPr>
                <w:rFonts w:ascii="Courier New" w:cs="Courier New" w:eastAsia="Courier New" w:hAnsi="Courier New"/>
                <w:sz w:val="15"/>
                <w:szCs w:val="15"/>
                <w:color w:val="auto"/>
              </w:rPr>
              <w:t>63,598</w:t>
            </w:r>
          </w:p>
        </w:tc>
        <w:tc>
          <w:tcPr>
            <w:tcW w:w="0" w:type="dxa"/>
            <w:vAlign w:val="bottom"/>
          </w:tcPr>
          <w:p>
            <w:pPr>
              <w:spacing w:after="0"/>
              <w:rPr>
                <w:sz w:val="1"/>
                <w:szCs w:val="1"/>
                <w:color w:val="auto"/>
              </w:rPr>
            </w:pPr>
          </w:p>
        </w:tc>
      </w:tr>
      <w:tr>
        <w:trPr>
          <w:trHeight w:val="272"/>
        </w:trPr>
        <w:tc>
          <w:tcPr>
            <w:tcW w:w="2260" w:type="dxa"/>
            <w:vAlign w:val="bottom"/>
          </w:tcPr>
          <w:p>
            <w:pPr>
              <w:spacing w:after="0"/>
              <w:rPr>
                <w:sz w:val="20"/>
                <w:szCs w:val="20"/>
                <w:color w:val="auto"/>
              </w:rPr>
            </w:pPr>
            <w:r>
              <w:rPr>
                <w:rFonts w:ascii="Courier New" w:cs="Courier New" w:eastAsia="Courier New" w:hAnsi="Courier New"/>
                <w:sz w:val="15"/>
                <w:szCs w:val="15"/>
                <w:color w:val="auto"/>
              </w:rPr>
              <w:t>Cash position, beginning</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800" w:type="dxa"/>
            <w:vAlign w:val="bottom"/>
            <w:vMerge w:val="restart"/>
          </w:tcPr>
          <w:p>
            <w:pPr>
              <w:jc w:val="center"/>
              <w:ind w:left="523"/>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(4,293)</w:t>
            </w:r>
          </w:p>
        </w:tc>
        <w:tc>
          <w:tcPr>
            <w:tcW w:w="960" w:type="dxa"/>
            <w:vAlign w:val="bottom"/>
            <w:vMerge w:val="restart"/>
          </w:tcPr>
          <w:p>
            <w:pPr>
              <w:jc w:val="center"/>
              <w:ind w:left="143"/>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0"/>
        </w:trPr>
        <w:tc>
          <w:tcPr>
            <w:tcW w:w="424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Panneaux Chambord inc. (note 21)</w:t>
            </w:r>
          </w:p>
        </w:tc>
        <w:tc>
          <w:tcPr>
            <w:tcW w:w="180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position, end of year (note 14)</w:t>
            </w:r>
          </w:p>
        </w:tc>
        <w:tc>
          <w:tcPr>
            <w:tcW w:w="18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33,568</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19,100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20,575</w:t>
            </w:r>
          </w:p>
        </w:tc>
      </w:tr>
    </w:tbl>
    <w:p>
      <w:pPr>
        <w:ind w:left="5"/>
        <w:spacing w:after="0"/>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800" w:right="1440" w:bottom="1440" w:gutter="0" w:footer="0" w:header="0"/>
        </w:sectPr>
      </w:pPr>
    </w:p>
    <w:bookmarkStart w:id="19" w:name="page20"/>
    <w:bookmarkEnd w:id="19"/>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465" w:right="3019"/>
        <w:spacing w:after="0" w:line="282" w:lineRule="auto"/>
        <w:rPr>
          <w:sz w:val="20"/>
          <w:szCs w:val="20"/>
          <w:color w:val="auto"/>
        </w:rPr>
      </w:pPr>
      <w:r>
        <w:rPr>
          <w:rFonts w:ascii="Courier New" w:cs="Courier New" w:eastAsia="Courier New" w:hAnsi="Courier New"/>
          <w:sz w:val="15"/>
          <w:szCs w:val="15"/>
          <w:color w:val="auto"/>
        </w:rPr>
        <w:t>Le Groupe Forex Inc. is incorporated under Part 1A of the Quebec Business Corporations Act. The Company manages investments, manufactures finished lumber and OSB structural boards, sells forestry products, operates a helicopter transportation business and manufactures parts for optics and aeronautical lighting equipment.</w:t>
      </w:r>
    </w:p>
    <w:p>
      <w:pPr>
        <w:spacing w:after="0" w:line="66" w:lineRule="exact"/>
        <w:rPr>
          <w:sz w:val="20"/>
          <w:szCs w:val="20"/>
          <w:color w:val="auto"/>
        </w:rPr>
      </w:pPr>
    </w:p>
    <w:p>
      <w:pPr>
        <w:ind w:left="465" w:hanging="465"/>
        <w:spacing w:after="0"/>
        <w:tabs>
          <w:tab w:leader="none" w:pos="46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84"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184" w:lineRule="exact"/>
        <w:rPr>
          <w:rFonts w:ascii="Courier New" w:cs="Courier New" w:eastAsia="Courier New" w:hAnsi="Courier New"/>
          <w:sz w:val="15"/>
          <w:szCs w:val="15"/>
          <w:color w:val="auto"/>
        </w:rPr>
      </w:pPr>
    </w:p>
    <w:p>
      <w:pPr>
        <w:ind w:left="825" w:right="301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consolidated financial statements include the accounts of the Company and those of its subsidiary Forex St-Michel Inc. and of its joint-venture Panneaux Chambord Inc. On December 1998, Forex Maniwaki Inc. has been liquidated in Forex St-Michel Inc.</w:t>
      </w:r>
    </w:p>
    <w:p>
      <w:pPr>
        <w:spacing w:after="0" w:line="57" w:lineRule="exact"/>
        <w:rPr>
          <w:rFonts w:ascii="Courier New" w:cs="Courier New" w:eastAsia="Courier New" w:hAnsi="Courier New"/>
          <w:sz w:val="15"/>
          <w:szCs w:val="15"/>
          <w:color w:val="auto"/>
        </w:rPr>
      </w:pPr>
    </w:p>
    <w:p>
      <w:pPr>
        <w:ind w:left="825" w:right="2939"/>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Panneaux Chambord Inc. is under the joint control of its shareholders; consequently, it is proportionately consolidated in the statements of the company Le Groupe Forex Inc.</w:t>
      </w:r>
    </w:p>
    <w:p>
      <w:pPr>
        <w:spacing w:after="0" w:line="42"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4" w:lineRule="exact"/>
        <w:rPr>
          <w:rFonts w:ascii="Courier New" w:cs="Courier New" w:eastAsia="Courier New" w:hAnsi="Courier New"/>
          <w:sz w:val="15"/>
          <w:szCs w:val="15"/>
          <w:color w:val="auto"/>
        </w:rPr>
      </w:pPr>
    </w:p>
    <w:p>
      <w:pPr>
        <w:ind w:left="825" w:right="3019"/>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Finished products, logs, raw materials and supplies are valued at the lower of cost or net realizable value. Cost is determined by the average cost method.</w:t>
      </w:r>
    </w:p>
    <w:p>
      <w:pPr>
        <w:spacing w:after="0" w:line="42"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Wood chips are valued at net realizable value.</w:t>
      </w:r>
    </w:p>
    <w:p>
      <w:pPr>
        <w:spacing w:after="0" w:line="184" w:lineRule="exact"/>
        <w:rPr>
          <w:rFonts w:ascii="Courier New" w:cs="Courier New" w:eastAsia="Courier New" w:hAnsi="Courier New"/>
          <w:sz w:val="15"/>
          <w:szCs w:val="15"/>
          <w:color w:val="auto"/>
        </w:rPr>
      </w:pPr>
    </w:p>
    <w:p>
      <w:pPr>
        <w:ind w:left="825" w:right="3219"/>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Parts are valued at the lower of cost or replacement cost. Cost is determined by the first in, first out method or by the average cost method.</w:t>
      </w:r>
    </w:p>
    <w:p>
      <w:pPr>
        <w:spacing w:after="0" w:line="42"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exchange:</w:t>
      </w:r>
    </w:p>
    <w:p>
      <w:pPr>
        <w:spacing w:after="0" w:line="184" w:lineRule="exact"/>
        <w:rPr>
          <w:rFonts w:ascii="Courier New" w:cs="Courier New" w:eastAsia="Courier New" w:hAnsi="Courier New"/>
          <w:sz w:val="15"/>
          <w:szCs w:val="15"/>
          <w:color w:val="auto"/>
        </w:rPr>
      </w:pPr>
    </w:p>
    <w:p>
      <w:pPr>
        <w:ind w:left="825" w:right="301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Monetary assets and liabilities in foreign currency are translated using the year-end exchange rate. Transactions included in the statement of earnings are translated using the exchange rate at the date of the transaction. Gains and losses on exchange are included in earnings unless they relate to long-term monetary assets and liabilities in which case they are deferred and amortized over the remaining term of the asset or liability to which they relate.</w:t>
      </w:r>
    </w:p>
    <w:p>
      <w:pPr>
        <w:spacing w:after="0" w:line="76"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84" w:lineRule="exact"/>
        <w:rPr>
          <w:rFonts w:ascii="Courier New" w:cs="Courier New" w:eastAsia="Courier New" w:hAnsi="Courier New"/>
          <w:sz w:val="15"/>
          <w:szCs w:val="15"/>
          <w:color w:val="auto"/>
        </w:rPr>
      </w:pPr>
    </w:p>
    <w:p>
      <w:pPr>
        <w:ind w:left="825" w:right="2939"/>
        <w:spacing w:after="0" w:line="3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are carried at cost. Short term investments are carried at the lower of cost or market value.</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800" w:right="1440" w:bottom="1440" w:gutter="0" w:footer="0" w:header="0"/>
        </w:sectPr>
      </w:pPr>
    </w:p>
    <w:bookmarkStart w:id="20" w:name="page21"/>
    <w:bookmarkEnd w:id="20"/>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465" w:hanging="465"/>
        <w:spacing w:after="0"/>
        <w:tabs>
          <w:tab w:leader="none" w:pos="4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(CONTINUED):</w:t>
      </w:r>
    </w:p>
    <w:p>
      <w:pPr>
        <w:spacing w:after="0" w:line="184"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w:t>
      </w:r>
    </w:p>
    <w:p>
      <w:pPr>
        <w:spacing w:after="0" w:line="184" w:lineRule="exact"/>
        <w:rPr>
          <w:rFonts w:ascii="Courier New" w:cs="Courier New" w:eastAsia="Courier New" w:hAnsi="Courier New"/>
          <w:sz w:val="15"/>
          <w:szCs w:val="15"/>
          <w:color w:val="auto"/>
        </w:rPr>
      </w:pPr>
    </w:p>
    <w:p>
      <w:pPr>
        <w:ind w:left="825" w:right="3679"/>
        <w:spacing w:after="0" w:line="3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Fixed assets are depreciated over their estimated useful lives according to the following methods, annual rates and periods:</w:t>
      </w:r>
    </w:p>
    <w:p>
      <w:pPr>
        <w:spacing w:after="0" w:line="35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825"/>
        <w:spacing w:after="0"/>
        <w:tabs>
          <w:tab w:leader="none" w:pos="6245" w:val="left"/>
          <w:tab w:leader="none" w:pos="7365" w:val="left"/>
        </w:tabs>
        <w:rPr>
          <w:sz w:val="20"/>
          <w:szCs w:val="20"/>
          <w:color w:val="auto"/>
        </w:rPr>
      </w:pPr>
      <w:r>
        <w:rPr>
          <w:rFonts w:ascii="Courier New" w:cs="Courier New" w:eastAsia="Courier New" w:hAnsi="Courier New"/>
          <w:sz w:val="15"/>
          <w:szCs w:val="15"/>
          <w:color w:val="auto"/>
        </w:rPr>
        <w:t>Asset</w:t>
      </w:r>
      <w:r>
        <w:rPr>
          <w:sz w:val="20"/>
          <w:szCs w:val="20"/>
          <w:color w:val="auto"/>
        </w:rPr>
        <w:tab/>
      </w:r>
      <w:r>
        <w:rPr>
          <w:rFonts w:ascii="Courier New" w:cs="Courier New" w:eastAsia="Courier New" w:hAnsi="Courier New"/>
          <w:sz w:val="15"/>
          <w:szCs w:val="15"/>
          <w:color w:val="auto"/>
        </w:rPr>
        <w:t>Method</w:t>
      </w:r>
      <w:r>
        <w:rPr>
          <w:sz w:val="20"/>
          <w:szCs w:val="20"/>
          <w:color w:val="auto"/>
        </w:rPr>
        <w:tab/>
      </w:r>
      <w:r>
        <w:rPr>
          <w:rFonts w:ascii="Courier New" w:cs="Courier New" w:eastAsia="Courier New" w:hAnsi="Courier New"/>
          <w:sz w:val="15"/>
          <w:szCs w:val="15"/>
          <w:color w:val="auto"/>
        </w:rPr>
        <w:t>Rate and period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825" w:type="dxa"/>
        <w:tblCellMar>
          <w:top w:w="0" w:type="dxa"/>
          <w:left w:w="0" w:type="dxa"/>
          <w:bottom w:w="0" w:type="dxa"/>
          <w:right w:w="0" w:type="dxa"/>
        </w:tblCellMar>
      </w:tblP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Declining balance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Declining balance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Office furniture and data processing</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Declining balance,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 to 30%</w:t>
            </w:r>
          </w:p>
        </w:tc>
        <w:tc>
          <w:tcPr>
            <w:tcW w:w="0" w:type="dxa"/>
            <w:vAlign w:val="bottom"/>
          </w:tcPr>
          <w:p>
            <w:pPr>
              <w:spacing w:after="0"/>
              <w:rPr>
                <w:sz w:val="1"/>
                <w:szCs w:val="1"/>
                <w:color w:val="auto"/>
              </w:rPr>
            </w:pPr>
          </w:p>
        </w:tc>
      </w:tr>
      <w:tr>
        <w:trPr>
          <w:trHeight w:val="177"/>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equipment</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straight-line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and 3 years</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Machinery and automotive equipment</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Declining balance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 to 30%</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based on usage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and useful lives</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estimated</w:t>
            </w:r>
          </w:p>
        </w:tc>
        <w:tc>
          <w:tcPr>
            <w:tcW w:w="0" w:type="dxa"/>
            <w:vAlign w:val="bottom"/>
          </w:tcPr>
          <w:p>
            <w:pPr>
              <w:spacing w:after="0"/>
              <w:rPr>
                <w:sz w:val="1"/>
                <w:szCs w:val="1"/>
                <w:color w:val="auto"/>
              </w:rPr>
            </w:pPr>
          </w:p>
        </w:tc>
      </w:tr>
      <w:tr>
        <w:trPr>
          <w:trHeight w:val="260"/>
        </w:trPr>
        <w:tc>
          <w:tcPr>
            <w:tcW w:w="36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at 15 years</w:t>
            </w:r>
          </w:p>
        </w:tc>
        <w:tc>
          <w:tcPr>
            <w:tcW w:w="0" w:type="dxa"/>
            <w:vAlign w:val="bottom"/>
          </w:tcPr>
          <w:p>
            <w:pPr>
              <w:spacing w:after="0"/>
              <w:rPr>
                <w:sz w:val="1"/>
                <w:szCs w:val="1"/>
                <w:color w:val="auto"/>
              </w:rPr>
            </w:pPr>
          </w:p>
        </w:tc>
      </w:tr>
      <w:tr>
        <w:trPr>
          <w:trHeight w:val="272"/>
        </w:trPr>
        <w:tc>
          <w:tcPr>
            <w:tcW w:w="3600" w:type="dxa"/>
            <w:vAlign w:val="bottom"/>
          </w:tcPr>
          <w:p>
            <w:pPr>
              <w:spacing w:after="0"/>
              <w:rPr>
                <w:sz w:val="20"/>
                <w:szCs w:val="20"/>
                <w:color w:val="auto"/>
              </w:rPr>
            </w:pPr>
            <w:r>
              <w:rPr>
                <w:rFonts w:ascii="Courier New" w:cs="Courier New" w:eastAsia="Courier New" w:hAnsi="Courier New"/>
                <w:sz w:val="15"/>
                <w:szCs w:val="15"/>
                <w:color w:val="auto"/>
              </w:rPr>
              <w:t>Helicopters</w:t>
            </w:r>
          </w:p>
        </w:tc>
        <w:tc>
          <w:tcPr>
            <w:tcW w:w="27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Straight-line with a 40%</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60"/>
        </w:trPr>
        <w:tc>
          <w:tcPr>
            <w:tcW w:w="3600" w:type="dxa"/>
            <w:vAlign w:val="bottom"/>
          </w:tcPr>
          <w:p>
            <w:pPr>
              <w:spacing w:after="0"/>
              <w:rPr>
                <w:sz w:val="22"/>
                <w:szCs w:val="22"/>
                <w:color w:val="auto"/>
              </w:rPr>
            </w:pP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residual value</w:t>
            </w:r>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600" w:type="dxa"/>
            <w:vAlign w:val="bottom"/>
          </w:tcPr>
          <w:p>
            <w:pPr>
              <w:spacing w:after="0"/>
              <w:rPr>
                <w:sz w:val="20"/>
                <w:szCs w:val="20"/>
                <w:color w:val="auto"/>
              </w:rPr>
            </w:pPr>
            <w:r>
              <w:rPr>
                <w:rFonts w:ascii="Courier New" w:cs="Courier New" w:eastAsia="Courier New" w:hAnsi="Courier New"/>
                <w:sz w:val="15"/>
                <w:szCs w:val="15"/>
                <w:color w:val="auto"/>
              </w:rPr>
              <w:t>Logging roads</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Declining balance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60"/>
        </w:trPr>
        <w:tc>
          <w:tcPr>
            <w:tcW w:w="3600" w:type="dxa"/>
            <w:vAlign w:val="bottom"/>
          </w:tcPr>
          <w:p>
            <w:pPr>
              <w:spacing w:after="0"/>
              <w:rPr>
                <w:sz w:val="20"/>
                <w:szCs w:val="20"/>
                <w:color w:val="auto"/>
              </w:rPr>
            </w:pPr>
            <w:r>
              <w:rPr>
                <w:rFonts w:ascii="Courier New" w:cs="Courier New" w:eastAsia="Courier New" w:hAnsi="Courier New"/>
                <w:sz w:val="15"/>
                <w:szCs w:val="15"/>
                <w:color w:val="auto"/>
              </w:rPr>
              <w:t>Timber cutting rights</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Straight-line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25 years</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 w:right="3119"/>
        <w:spacing w:after="0" w:line="377" w:lineRule="auto"/>
        <w:rPr>
          <w:sz w:val="20"/>
          <w:szCs w:val="20"/>
          <w:color w:val="auto"/>
        </w:rPr>
      </w:pPr>
      <w:r>
        <w:rPr>
          <w:rFonts w:ascii="Courier New" w:cs="Courier New" w:eastAsia="Courier New" w:hAnsi="Courier New"/>
          <w:sz w:val="15"/>
          <w:szCs w:val="15"/>
          <w:color w:val="auto"/>
        </w:rPr>
        <w:t>The amortization of other assets is calculated according to the straight-line method over the following periods: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825" w:type="dxa"/>
        <w:tblCellMar>
          <w:top w:w="0" w:type="dxa"/>
          <w:left w:w="0" w:type="dxa"/>
          <w:bottom w:w="0" w:type="dxa"/>
          <w:right w:w="0" w:type="dxa"/>
        </w:tblCellMar>
      </w:tblP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Start-up costs</w:t>
            </w:r>
          </w:p>
        </w:tc>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Financing costs</w:t>
            </w:r>
          </w:p>
        </w:tc>
        <w:tc>
          <w:tcPr>
            <w:tcW w:w="4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Over the term of the debts</w:t>
            </w:r>
          </w:p>
        </w:tc>
      </w:tr>
      <w:tr>
        <w:trPr>
          <w:trHeight w:val="260"/>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deferred costs</w:t>
            </w:r>
          </w:p>
        </w:tc>
        <w:tc>
          <w:tcPr>
            <w:tcW w:w="37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285" w:hanging="285"/>
        <w:spacing w:after="0"/>
        <w:tabs>
          <w:tab w:leader="none" w:pos="2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MINORITY INTEREST:</w:t>
      </w:r>
    </w:p>
    <w:p>
      <w:pPr>
        <w:spacing w:after="0" w:line="184" w:lineRule="exact"/>
        <w:rPr>
          <w:rFonts w:ascii="Courier New" w:cs="Courier New" w:eastAsia="Courier New" w:hAnsi="Courier New"/>
          <w:sz w:val="15"/>
          <w:szCs w:val="15"/>
          <w:color w:val="auto"/>
        </w:rPr>
      </w:pPr>
    </w:p>
    <w:p>
      <w:pPr>
        <w:ind w:left="285" w:right="3019"/>
        <w:spacing w:after="0" w:line="28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31, 1998, the Company has acquired the minority interest in each of its subsidiaries Forex St-Michel Inc. and Forex Maniwaki inc. for a cash consideration of $71,843, including acquisition costs. The excess of the price paid of $14,307 over the book value of the net assets acquired has been allocated to fixed assets.</w:t>
      </w:r>
    </w:p>
    <w:p>
      <w:pPr>
        <w:spacing w:after="0" w:line="24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800" w:right="1440" w:bottom="1440" w:gutter="0" w:footer="0" w:header="0"/>
        </w:sectPr>
      </w:pPr>
    </w:p>
    <w:bookmarkStart w:id="21" w:name="page22"/>
    <w:bookmarkEnd w:id="21"/>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465" w:hanging="465"/>
        <w:spacing w:after="0"/>
        <w:tabs>
          <w:tab w:leader="none" w:pos="4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4" w:lineRule="exact"/>
        <w:rPr>
          <w:rFonts w:ascii="Courier New" w:cs="Courier New" w:eastAsia="Courier New" w:hAnsi="Courier New"/>
          <w:sz w:val="15"/>
          <w:szCs w:val="15"/>
          <w:color w:val="auto"/>
        </w:rPr>
      </w:pPr>
    </w:p>
    <w:p>
      <w:pPr>
        <w:ind w:left="465" w:right="3019"/>
        <w:spacing w:after="0" w:line="3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effective and basic tax rates results from the following:</w:t>
      </w:r>
    </w:p>
    <w:p>
      <w:pPr>
        <w:spacing w:after="0" w:line="35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805"/>
        <w:spacing w:after="0"/>
        <w:tabs>
          <w:tab w:leader="none" w:pos="6065" w:val="left"/>
          <w:tab w:leader="none" w:pos="726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Federal and provincial basic</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tax rates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c>
          <w:tcPr>
            <w:tcW w:w="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c>
          <w:tcPr>
            <w:tcW w:w="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38.0 %</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Manufacturing and processing</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rPr>
              <w:t>tax deductions</w:t>
            </w:r>
          </w:p>
        </w:tc>
        <w:tc>
          <w:tcPr>
            <w:tcW w:w="112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(7.0)%</w:t>
            </w:r>
          </w:p>
        </w:tc>
        <w:tc>
          <w:tcPr>
            <w:tcW w:w="12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(7.0)%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260"/>
        </w:trPr>
        <w:tc>
          <w:tcPr>
            <w:tcW w:w="2620" w:type="dxa"/>
            <w:vAlign w:val="bottom"/>
          </w:tcPr>
          <w:p>
            <w:pPr>
              <w:spacing w:after="0"/>
              <w:rPr>
                <w:sz w:val="20"/>
                <w:szCs w:val="20"/>
                <w:color w:val="auto"/>
              </w:rPr>
            </w:pPr>
            <w:r>
              <w:rPr>
                <w:rFonts w:ascii="Courier New" w:cs="Courier New" w:eastAsia="Courier New" w:hAnsi="Courier New"/>
                <w:sz w:val="15"/>
                <w:szCs w:val="15"/>
                <w:color w:val="auto"/>
              </w:rPr>
              <w:t>Others</w:t>
            </w:r>
          </w:p>
        </w:tc>
        <w:tc>
          <w:tcPr>
            <w:tcW w:w="1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bl>
    <w:p>
      <w:pPr>
        <w:spacing w:after="0" w:line="95" w:lineRule="exact"/>
        <w:rPr>
          <w:sz w:val="20"/>
          <w:szCs w:val="20"/>
          <w:color w:val="auto"/>
        </w:rPr>
      </w:pPr>
    </w:p>
    <w:p>
      <w:pPr>
        <w:ind w:left="185" w:hanging="185"/>
        <w:spacing w:after="0"/>
        <w:tabs>
          <w:tab w:leader="none" w:pos="18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 w:lineRule="exact"/>
        <w:rPr>
          <w:rFonts w:ascii="Courier New" w:cs="Courier New" w:eastAsia="Courier New" w:hAnsi="Courier New"/>
          <w:sz w:val="15"/>
          <w:szCs w:val="15"/>
          <w:color w:val="auto"/>
        </w:rPr>
      </w:pPr>
    </w:p>
    <w:p>
      <w:pPr>
        <w:ind w:left="48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33.2 %34.4 %30.7 %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465" w:right="2839"/>
        <w:spacing w:after="0" w:line="293" w:lineRule="auto"/>
        <w:rPr>
          <w:sz w:val="20"/>
          <w:szCs w:val="20"/>
          <w:color w:val="auto"/>
        </w:rPr>
      </w:pPr>
      <w:r>
        <w:rPr>
          <w:rFonts w:ascii="Courier New" w:cs="Courier New" w:eastAsia="Courier New" w:hAnsi="Courier New"/>
          <w:sz w:val="15"/>
          <w:szCs w:val="15"/>
          <w:color w:val="auto"/>
        </w:rPr>
        <w:t>The financial statements do not reflect potential tax reductions available through the application of capital losses. These losses amounting to $4,772 are deductible from future capital gains and are available for an indefinite period.</w:t>
      </w:r>
    </w:p>
    <w:p>
      <w:pPr>
        <w:spacing w:after="0" w:line="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4. INFORMATION FROM THE EARNINGS STATEMENT:</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705"/>
        <w:spacing w:after="0"/>
        <w:tabs>
          <w:tab w:leader="none" w:pos="6065" w:val="left"/>
          <w:tab w:leader="none" w:pos="744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of purchased goodwill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7"/>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loss on foreign</w:t>
            </w:r>
          </w:p>
        </w:tc>
        <w:tc>
          <w:tcPr>
            <w:tcW w:w="460" w:type="dxa"/>
            <w:vAlign w:val="bottom"/>
          </w:tcPr>
          <w:p>
            <w:pPr>
              <w:spacing w:after="0"/>
              <w:rPr>
                <w:sz w:val="15"/>
                <w:szCs w:val="15"/>
                <w:color w:val="auto"/>
              </w:rPr>
            </w:pPr>
          </w:p>
        </w:tc>
        <w:tc>
          <w:tcPr>
            <w:tcW w:w="92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rPr>
              <w:t>491</w:t>
            </w:r>
          </w:p>
        </w:tc>
        <w:tc>
          <w:tcPr>
            <w:tcW w:w="500" w:type="dxa"/>
            <w:vAlign w:val="bottom"/>
          </w:tcPr>
          <w:p>
            <w:pPr>
              <w:spacing w:after="0"/>
              <w:rPr>
                <w:sz w:val="15"/>
                <w:szCs w:val="15"/>
                <w:color w:val="auto"/>
              </w:rPr>
            </w:pPr>
          </w:p>
        </w:tc>
        <w:tc>
          <w:tcPr>
            <w:tcW w:w="880" w:type="dxa"/>
            <w:vAlign w:val="bottom"/>
            <w:vMerge w:val="restart"/>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2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exchange</w:t>
            </w:r>
          </w:p>
        </w:tc>
        <w:tc>
          <w:tcPr>
            <w:tcW w:w="20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Depreciation of fixed</w:t>
            </w:r>
          </w:p>
        </w:tc>
        <w:tc>
          <w:tcPr>
            <w:tcW w:w="20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6"/>
              </w:rPr>
              <w:t>12,502</w:t>
            </w:r>
          </w:p>
        </w:tc>
        <w:tc>
          <w:tcPr>
            <w:tcW w:w="50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7,754</w:t>
            </w: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8,199</w:t>
            </w:r>
          </w:p>
        </w:tc>
        <w:tc>
          <w:tcPr>
            <w:tcW w:w="0" w:type="dxa"/>
            <w:vAlign w:val="bottom"/>
          </w:tcPr>
          <w:p>
            <w:pPr>
              <w:spacing w:after="0"/>
              <w:rPr>
                <w:sz w:val="1"/>
                <w:szCs w:val="1"/>
                <w:color w:val="auto"/>
              </w:rPr>
            </w:pPr>
          </w:p>
        </w:tc>
      </w:tr>
      <w:tr>
        <w:trPr>
          <w:trHeight w:val="177"/>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financing costs</w:t>
            </w:r>
          </w:p>
        </w:tc>
        <w:tc>
          <w:tcPr>
            <w:tcW w:w="460" w:type="dxa"/>
            <w:vAlign w:val="bottom"/>
          </w:tcPr>
          <w:p>
            <w:pPr>
              <w:spacing w:after="0"/>
              <w:rPr>
                <w:sz w:val="15"/>
                <w:szCs w:val="15"/>
                <w:color w:val="auto"/>
              </w:rPr>
            </w:pP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2,341</w:t>
            </w:r>
          </w:p>
        </w:tc>
        <w:tc>
          <w:tcPr>
            <w:tcW w:w="50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1,116</w:t>
            </w: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1,503</w:t>
            </w:r>
          </w:p>
        </w:tc>
        <w:tc>
          <w:tcPr>
            <w:tcW w:w="0" w:type="dxa"/>
            <w:vAlign w:val="bottom"/>
          </w:tcPr>
          <w:p>
            <w:pPr>
              <w:spacing w:after="0"/>
              <w:rPr>
                <w:sz w:val="1"/>
                <w:szCs w:val="1"/>
                <w:color w:val="auto"/>
              </w:rPr>
            </w:pP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Amortization of other</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15"/>
                <w:szCs w:val="15"/>
                <w:color w:val="auto"/>
              </w:rPr>
            </w:pP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1,334</w:t>
            </w:r>
          </w:p>
        </w:tc>
        <w:tc>
          <w:tcPr>
            <w:tcW w:w="50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786</w:t>
            </w: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0" w:type="dxa"/>
            <w:vAlign w:val="bottom"/>
          </w:tcPr>
          <w:p>
            <w:pPr>
              <w:spacing w:after="0"/>
              <w:rPr>
                <w:sz w:val="1"/>
                <w:szCs w:val="1"/>
                <w:color w:val="auto"/>
              </w:rPr>
            </w:pPr>
          </w:p>
        </w:tc>
      </w:tr>
      <w:tr>
        <w:trPr>
          <w:trHeight w:val="260"/>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Interest on long-term</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460" w:type="dxa"/>
            <w:vAlign w:val="bottom"/>
          </w:tcPr>
          <w:p>
            <w:pPr>
              <w:spacing w:after="0"/>
              <w:rPr>
                <w:sz w:val="22"/>
                <w:szCs w:val="22"/>
                <w:color w:val="auto"/>
              </w:rPr>
            </w:pP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6"/>
              </w:rPr>
              <w:t>12,636</w:t>
            </w:r>
          </w:p>
        </w:tc>
        <w:tc>
          <w:tcPr>
            <w:tcW w:w="500" w:type="dxa"/>
            <w:vAlign w:val="bottom"/>
          </w:tcPr>
          <w:p>
            <w:pPr>
              <w:spacing w:after="0"/>
              <w:rPr>
                <w:sz w:val="22"/>
                <w:szCs w:val="22"/>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3,014</w:t>
            </w:r>
          </w:p>
        </w:tc>
        <w:tc>
          <w:tcPr>
            <w:tcW w:w="5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3,293</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465" w:hanging="465"/>
        <w:spacing w:after="0"/>
        <w:tabs>
          <w:tab w:leader="none" w:pos="46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INVESTMENTS:</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805"/>
        <w:spacing w:after="0"/>
        <w:tabs>
          <w:tab w:leader="none" w:pos="662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Term deposits and accrued interest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11,302</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19,464</w:t>
            </w:r>
          </w:p>
        </w:tc>
      </w:tr>
      <w:tr>
        <w:trPr>
          <w:trHeight w:val="355"/>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Bankers' acceptances</w:t>
            </w:r>
          </w:p>
        </w:tc>
        <w:tc>
          <w:tcPr>
            <w:tcW w:w="780" w:type="dxa"/>
            <w:vAlign w:val="bottom"/>
          </w:tcPr>
          <w:p>
            <w:pPr>
              <w:spacing w:after="0"/>
              <w:rPr>
                <w:sz w:val="24"/>
                <w:szCs w:val="24"/>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14,350</w:t>
            </w: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ind w:left="4525"/>
        <w:spacing w:after="0"/>
        <w:tabs>
          <w:tab w:leader="none" w:pos="6525" w:val="left"/>
        </w:tabs>
        <w:rPr>
          <w:sz w:val="20"/>
          <w:szCs w:val="20"/>
          <w:color w:val="auto"/>
        </w:rPr>
      </w:pPr>
      <w:r>
        <w:rPr>
          <w:rFonts w:ascii="Courier New" w:cs="Courier New" w:eastAsia="Courier New" w:hAnsi="Courier New"/>
          <w:sz w:val="15"/>
          <w:szCs w:val="15"/>
          <w:color w:val="auto"/>
        </w:rPr>
        <w:t>$25,652</w:t>
      </w:r>
      <w:r>
        <w:rPr>
          <w:sz w:val="20"/>
          <w:szCs w:val="20"/>
          <w:color w:val="auto"/>
        </w:rPr>
        <w:tab/>
      </w:r>
      <w:r>
        <w:rPr>
          <w:rFonts w:ascii="Courier New" w:cs="Courier New" w:eastAsia="Courier New" w:hAnsi="Courier New"/>
          <w:sz w:val="15"/>
          <w:szCs w:val="15"/>
          <w:color w:val="auto"/>
        </w:rPr>
        <w:t>$19,464</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22" w:right="1440" w:bottom="1440" w:gutter="0" w:footer="0" w:header="0"/>
        </w:sectPr>
      </w:pPr>
    </w:p>
    <w:bookmarkStart w:id="22" w:name="page23"/>
    <w:bookmarkEnd w:id="22"/>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465" w:hanging="465"/>
        <w:spacing w:after="0"/>
        <w:tabs>
          <w:tab w:leader="none" w:pos="46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ind w:left="6745"/>
        <w:spacing w:after="0"/>
        <w:tabs>
          <w:tab w:leader="none" w:pos="838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5800" w:type="dxa"/>
            <w:vAlign w:val="bottom"/>
          </w:tcPr>
          <w:p>
            <w:pPr>
              <w:spacing w:after="0"/>
              <w:rPr>
                <w:sz w:val="20"/>
                <w:szCs w:val="20"/>
                <w:color w:val="auto"/>
              </w:rPr>
            </w:pPr>
            <w:r>
              <w:rPr>
                <w:rFonts w:ascii="Courier New" w:cs="Courier New" w:eastAsia="Courier New" w:hAnsi="Courier New"/>
                <w:sz w:val="15"/>
                <w:szCs w:val="15"/>
                <w:color w:val="auto"/>
              </w:rPr>
              <w:t>Advances to an affiliated company, at prime rate plus 0.5%,</w:t>
            </w:r>
          </w:p>
        </w:tc>
        <w:tc>
          <w:tcPr>
            <w:tcW w:w="66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1,661</w:t>
            </w:r>
          </w:p>
        </w:tc>
        <w:tc>
          <w:tcPr>
            <w:tcW w:w="66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1,542</w:t>
            </w:r>
          </w:p>
        </w:tc>
        <w:tc>
          <w:tcPr>
            <w:tcW w:w="0" w:type="dxa"/>
            <w:vAlign w:val="bottom"/>
          </w:tcPr>
          <w:p>
            <w:pPr>
              <w:spacing w:after="0"/>
              <w:rPr>
                <w:sz w:val="1"/>
                <w:szCs w:val="1"/>
                <w:color w:val="auto"/>
              </w:rPr>
            </w:pPr>
          </w:p>
        </w:tc>
      </w:tr>
      <w:tr>
        <w:trPr>
          <w:trHeight w:val="260"/>
        </w:trPr>
        <w:tc>
          <w:tcPr>
            <w:tcW w:w="5800" w:type="dxa"/>
            <w:vAlign w:val="bottom"/>
          </w:tcPr>
          <w:p>
            <w:pPr>
              <w:ind w:left="180"/>
              <w:spacing w:after="0"/>
              <w:rPr>
                <w:sz w:val="20"/>
                <w:szCs w:val="20"/>
                <w:color w:val="auto"/>
              </w:rPr>
            </w:pPr>
            <w:r>
              <w:rPr>
                <w:rFonts w:ascii="Courier New" w:cs="Courier New" w:eastAsia="Courier New" w:hAnsi="Courier New"/>
                <w:sz w:val="15"/>
                <w:szCs w:val="15"/>
                <w:color w:val="auto"/>
              </w:rPr>
              <w:t>without specified repayment term</w:t>
            </w:r>
          </w:p>
        </w:tc>
        <w:tc>
          <w:tcPr>
            <w:tcW w:w="6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5800" w:type="dxa"/>
            <w:vAlign w:val="bottom"/>
          </w:tcPr>
          <w:p>
            <w:pPr>
              <w:spacing w:after="0"/>
              <w:rPr>
                <w:sz w:val="20"/>
                <w:szCs w:val="20"/>
                <w:color w:val="auto"/>
              </w:rPr>
            </w:pPr>
            <w:r>
              <w:rPr>
                <w:rFonts w:ascii="Courier New" w:cs="Courier New" w:eastAsia="Courier New" w:hAnsi="Courier New"/>
                <w:sz w:val="15"/>
                <w:szCs w:val="15"/>
                <w:color w:val="auto"/>
              </w:rPr>
              <w:t>Others</w:t>
            </w:r>
          </w:p>
        </w:tc>
        <w:tc>
          <w:tcPr>
            <w:tcW w:w="660" w:type="dxa"/>
            <w:vAlign w:val="bottom"/>
          </w:tcPr>
          <w:p>
            <w:pPr>
              <w:spacing w:after="0"/>
              <w:rPr>
                <w:sz w:val="24"/>
                <w:szCs w:val="24"/>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583</w:t>
            </w:r>
          </w:p>
        </w:tc>
        <w:tc>
          <w:tcPr>
            <w:tcW w:w="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883</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ind w:left="6185"/>
        <w:spacing w:after="0"/>
        <w:tabs>
          <w:tab w:leader="none" w:pos="6625" w:val="left"/>
          <w:tab w:leader="none" w:pos="7825" w:val="left"/>
          <w:tab w:leader="none" w:pos="828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2,244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2,425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465" w:hanging="465"/>
        <w:spacing w:after="0"/>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ASSETS:</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6005"/>
        <w:spacing w:after="0"/>
        <w:tabs>
          <w:tab w:leader="none" w:pos="790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3405" w:type="dxa"/>
        <w:tblCellMar>
          <w:top w:w="0" w:type="dxa"/>
          <w:left w:w="0" w:type="dxa"/>
          <w:bottom w:w="0" w:type="dxa"/>
          <w:right w:w="0" w:type="dxa"/>
        </w:tblCellMar>
      </w:tblPr>
      <w:tr>
        <w:trPr>
          <w:trHeight w:val="177"/>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Cost</w:t>
            </w:r>
          </w:p>
        </w:tc>
        <w:tc>
          <w:tcPr>
            <w:tcW w:w="1720" w:type="dxa"/>
            <w:vAlign w:val="bottom"/>
          </w:tcPr>
          <w:p>
            <w:pPr>
              <w:ind w:left="380"/>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Net book</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Net book</w:t>
            </w:r>
          </w:p>
        </w:tc>
        <w:tc>
          <w:tcPr>
            <w:tcW w:w="0" w:type="dxa"/>
            <w:vAlign w:val="bottom"/>
          </w:tcPr>
          <w:p>
            <w:pPr>
              <w:spacing w:after="0"/>
              <w:rPr>
                <w:sz w:val="1"/>
                <w:szCs w:val="1"/>
                <w:color w:val="auto"/>
              </w:rPr>
            </w:pPr>
          </w:p>
        </w:tc>
      </w:tr>
      <w:tr>
        <w:trPr>
          <w:trHeight w:val="205"/>
        </w:trPr>
        <w:tc>
          <w:tcPr>
            <w:tcW w:w="740" w:type="dxa"/>
            <w:vAlign w:val="bottom"/>
            <w:vMerge w:val="continue"/>
          </w:tcPr>
          <w:p>
            <w:pPr>
              <w:spacing w:after="0"/>
              <w:rPr>
                <w:sz w:val="17"/>
                <w:szCs w:val="17"/>
                <w:color w:val="auto"/>
              </w:rPr>
            </w:pPr>
          </w:p>
        </w:tc>
        <w:tc>
          <w:tcPr>
            <w:tcW w:w="1720" w:type="dxa"/>
            <w:vAlign w:val="bottom"/>
          </w:tcPr>
          <w:p>
            <w:pPr>
              <w:ind w:left="460"/>
              <w:spacing w:after="0"/>
              <w:rPr>
                <w:sz w:val="20"/>
                <w:szCs w:val="20"/>
                <w:color w:val="auto"/>
              </w:rPr>
            </w:pPr>
            <w:r>
              <w:rPr>
                <w:rFonts w:ascii="Courier New" w:cs="Courier New" w:eastAsia="Courier New" w:hAnsi="Courier New"/>
                <w:sz w:val="15"/>
                <w:szCs w:val="15"/>
                <w:color w:val="auto"/>
              </w:rPr>
              <w:t>depreciation</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value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1,459</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1,459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1,446</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3,659</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850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2,614</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29,916</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3,125</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26,791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27,299</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Office furniture and data</w:t>
            </w:r>
          </w:p>
        </w:tc>
        <w:tc>
          <w:tcPr>
            <w:tcW w:w="124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4,206</w:t>
            </w:r>
          </w:p>
        </w:tc>
        <w:tc>
          <w:tcPr>
            <w:tcW w:w="148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2,405</w:t>
            </w:r>
          </w:p>
        </w:tc>
        <w:tc>
          <w:tcPr>
            <w:tcW w:w="148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1,801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2,183</w:t>
            </w:r>
          </w:p>
        </w:tc>
        <w:tc>
          <w:tcPr>
            <w:tcW w:w="0" w:type="dxa"/>
            <w:vAlign w:val="bottom"/>
          </w:tcPr>
          <w:p>
            <w:pPr>
              <w:spacing w:after="0"/>
              <w:rPr>
                <w:sz w:val="1"/>
                <w:szCs w:val="1"/>
                <w:color w:val="auto"/>
              </w:rPr>
            </w:pPr>
          </w:p>
        </w:tc>
      </w:tr>
      <w:tr>
        <w:trPr>
          <w:trHeight w:val="177"/>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processing equipment</w:t>
            </w:r>
          </w:p>
        </w:tc>
        <w:tc>
          <w:tcPr>
            <w:tcW w:w="12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Machinery and automotive</w:t>
            </w:r>
          </w:p>
        </w:tc>
        <w:tc>
          <w:tcPr>
            <w:tcW w:w="124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239,733</w:t>
            </w:r>
          </w:p>
        </w:tc>
        <w:tc>
          <w:tcPr>
            <w:tcW w:w="148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37,380</w:t>
            </w:r>
          </w:p>
        </w:tc>
        <w:tc>
          <w:tcPr>
            <w:tcW w:w="148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202,353</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195,205</w:t>
            </w:r>
          </w:p>
        </w:tc>
        <w:tc>
          <w:tcPr>
            <w:tcW w:w="0" w:type="dxa"/>
            <w:vAlign w:val="bottom"/>
          </w:tcPr>
          <w:p>
            <w:pPr>
              <w:spacing w:after="0"/>
              <w:rPr>
                <w:sz w:val="1"/>
                <w:szCs w:val="1"/>
                <w:color w:val="auto"/>
              </w:rPr>
            </w:pPr>
          </w:p>
        </w:tc>
      </w:tr>
      <w:tr>
        <w:trPr>
          <w:trHeight w:val="177"/>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equipment</w:t>
            </w:r>
          </w:p>
        </w:tc>
        <w:tc>
          <w:tcPr>
            <w:tcW w:w="12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Helicopters</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5,001</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1,087</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3,914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3,977</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Logging roads</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1,923</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450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1,604</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5,092</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c>
          <w:tcPr>
            <w:tcW w:w="0" w:type="dxa"/>
            <w:vAlign w:val="bottom"/>
          </w:tcPr>
          <w:p>
            <w:pPr>
              <w:spacing w:after="0"/>
              <w:rPr>
                <w:sz w:val="1"/>
                <w:szCs w:val="1"/>
                <w:color w:val="auto"/>
              </w:rPr>
            </w:pPr>
          </w:p>
        </w:tc>
      </w:tr>
      <w:tr>
        <w:trPr>
          <w:trHeight w:val="260"/>
        </w:trPr>
        <w:tc>
          <w:tcPr>
            <w:tcW w:w="2440" w:type="dxa"/>
            <w:vAlign w:val="bottom"/>
          </w:tcPr>
          <w:p>
            <w:pPr>
              <w:spacing w:after="0"/>
              <w:rPr>
                <w:sz w:val="20"/>
                <w:szCs w:val="20"/>
                <w:color w:val="auto"/>
              </w:rPr>
            </w:pPr>
            <w:r>
              <w:rPr>
                <w:rFonts w:ascii="Courier New" w:cs="Courier New" w:eastAsia="Courier New" w:hAnsi="Courier New"/>
                <w:sz w:val="15"/>
                <w:szCs w:val="15"/>
                <w:color w:val="auto"/>
              </w:rPr>
              <w:t>Timber cutting rights</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1,501</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71</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1,497</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ind w:left="3045"/>
        <w:spacing w:after="0"/>
        <w:tabs>
          <w:tab w:leader="none" w:pos="4505" w:val="left"/>
          <w:tab w:leader="none" w:pos="5985" w:val="left"/>
          <w:tab w:leader="none" w:pos="7445" w:val="left"/>
        </w:tabs>
        <w:rPr>
          <w:sz w:val="20"/>
          <w:szCs w:val="20"/>
          <w:color w:val="auto"/>
        </w:rPr>
      </w:pPr>
      <w:r>
        <w:rPr>
          <w:rFonts w:ascii="Courier New" w:cs="Courier New" w:eastAsia="Courier New" w:hAnsi="Courier New"/>
          <w:sz w:val="15"/>
          <w:szCs w:val="15"/>
          <w:color w:val="auto"/>
        </w:rPr>
        <w:t>$292,490</w:t>
      </w:r>
      <w:r>
        <w:rPr>
          <w:sz w:val="20"/>
          <w:szCs w:val="20"/>
          <w:color w:val="auto"/>
        </w:rPr>
        <w:tab/>
      </w:r>
      <w:r>
        <w:rPr>
          <w:rFonts w:ascii="Courier New" w:cs="Courier New" w:eastAsia="Courier New" w:hAnsi="Courier New"/>
          <w:sz w:val="15"/>
          <w:szCs w:val="15"/>
          <w:color w:val="auto"/>
        </w:rPr>
        <w:t>$ 45,368</w:t>
      </w:r>
      <w:r>
        <w:rPr>
          <w:sz w:val="20"/>
          <w:szCs w:val="20"/>
          <w:color w:val="auto"/>
        </w:rPr>
        <w:tab/>
      </w:r>
      <w:r>
        <w:rPr>
          <w:rFonts w:ascii="Courier New" w:cs="Courier New" w:eastAsia="Courier New" w:hAnsi="Courier New"/>
          <w:sz w:val="15"/>
          <w:szCs w:val="15"/>
          <w:color w:val="auto"/>
        </w:rPr>
        <w:t>$247,122</w:t>
      </w:r>
      <w:r>
        <w:rPr>
          <w:sz w:val="20"/>
          <w:szCs w:val="20"/>
          <w:color w:val="auto"/>
        </w:rPr>
        <w:tab/>
      </w:r>
      <w:r>
        <w:rPr>
          <w:rFonts w:ascii="Courier New" w:cs="Courier New" w:eastAsia="Courier New" w:hAnsi="Courier New"/>
          <w:sz w:val="15"/>
          <w:szCs w:val="15"/>
          <w:color w:val="auto"/>
        </w:rPr>
        <w:t>$236,419</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34" w:lineRule="exact"/>
        <w:rPr>
          <w:sz w:val="20"/>
          <w:szCs w:val="20"/>
          <w:color w:val="auto"/>
        </w:rPr>
      </w:pPr>
    </w:p>
    <w:p>
      <w:pPr>
        <w:ind w:left="825" w:hanging="825"/>
        <w:spacing w:after="0"/>
        <w:tabs>
          <w:tab w:leader="none" w:pos="82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985"/>
        <w:spacing w:after="0"/>
        <w:tabs>
          <w:tab w:leader="none" w:pos="652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4240" w:type="dxa"/>
            <w:vAlign w:val="bottom"/>
          </w:tcPr>
          <w:p>
            <w:pPr>
              <w:spacing w:after="0"/>
              <w:rPr>
                <w:sz w:val="20"/>
                <w:szCs w:val="20"/>
                <w:color w:val="auto"/>
              </w:rPr>
            </w:pPr>
            <w:r>
              <w:rPr>
                <w:rFonts w:ascii="Courier New" w:cs="Courier New" w:eastAsia="Courier New" w:hAnsi="Courier New"/>
                <w:sz w:val="15"/>
                <w:szCs w:val="15"/>
                <w:color w:val="auto"/>
              </w:rPr>
              <w:t>Start-up costs at unamortized cost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$ 4,791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$ 9,019</w:t>
            </w: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Courier New" w:cs="Courier New" w:eastAsia="Courier New" w:hAnsi="Courier New"/>
                <w:sz w:val="15"/>
                <w:szCs w:val="15"/>
                <w:color w:val="auto"/>
              </w:rPr>
              <w:t>Financing costs at unamortized  cost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6,147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4,383</w:t>
            </w:r>
          </w:p>
        </w:tc>
        <w:tc>
          <w:tcPr>
            <w:tcW w:w="0" w:type="dxa"/>
            <w:vAlign w:val="bottom"/>
          </w:tcPr>
          <w:p>
            <w:pPr>
              <w:spacing w:after="0"/>
              <w:rPr>
                <w:sz w:val="1"/>
                <w:szCs w:val="1"/>
                <w:color w:val="auto"/>
              </w:rPr>
            </w:pPr>
          </w:p>
        </w:tc>
      </w:tr>
      <w:tr>
        <w:trPr>
          <w:trHeight w:val="177"/>
        </w:trPr>
        <w:tc>
          <w:tcPr>
            <w:tcW w:w="4240" w:type="dxa"/>
            <w:vAlign w:val="bottom"/>
          </w:tcPr>
          <w:p>
            <w:pPr>
              <w:spacing w:after="0"/>
              <w:rPr>
                <w:sz w:val="20"/>
                <w:szCs w:val="20"/>
                <w:color w:val="auto"/>
              </w:rPr>
            </w:pPr>
            <w:r>
              <w:rPr>
                <w:rFonts w:ascii="Courier New" w:cs="Courier New" w:eastAsia="Courier New" w:hAnsi="Courier New"/>
                <w:sz w:val="15"/>
                <w:szCs w:val="15"/>
                <w:color w:val="auto"/>
              </w:rPr>
              <w:t>Deferred loss on foreign exchange related</w:t>
            </w:r>
          </w:p>
        </w:tc>
        <w:tc>
          <w:tcPr>
            <w:tcW w:w="15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6,085</w:t>
            </w:r>
          </w:p>
        </w:tc>
        <w:tc>
          <w:tcPr>
            <w:tcW w:w="112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4240" w:type="dxa"/>
            <w:vAlign w:val="bottom"/>
          </w:tcPr>
          <w:p>
            <w:pPr>
              <w:ind w:left="180"/>
              <w:spacing w:after="0"/>
              <w:rPr>
                <w:sz w:val="20"/>
                <w:szCs w:val="20"/>
                <w:color w:val="auto"/>
              </w:rPr>
            </w:pPr>
            <w:r>
              <w:rPr>
                <w:rFonts w:ascii="Courier New" w:cs="Courier New" w:eastAsia="Courier New" w:hAnsi="Courier New"/>
                <w:sz w:val="15"/>
                <w:szCs w:val="15"/>
                <w:color w:val="auto"/>
              </w:rPr>
              <w:t>to long-term debt</w:t>
            </w:r>
          </w:p>
        </w:tc>
        <w:tc>
          <w:tcPr>
            <w:tcW w:w="15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240" w:type="dxa"/>
            <w:vAlign w:val="bottom"/>
          </w:tcPr>
          <w:p>
            <w:pPr>
              <w:spacing w:after="0"/>
              <w:rPr>
                <w:sz w:val="20"/>
                <w:szCs w:val="20"/>
                <w:color w:val="auto"/>
              </w:rPr>
            </w:pPr>
            <w:r>
              <w:rPr>
                <w:rFonts w:ascii="Courier New" w:cs="Courier New" w:eastAsia="Courier New" w:hAnsi="Courier New"/>
                <w:sz w:val="15"/>
                <w:szCs w:val="15"/>
                <w:color w:val="auto"/>
              </w:rPr>
              <w:t>Others</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5" w:hanging="185"/>
        <w:spacing w:after="0"/>
        <w:tabs>
          <w:tab w:leader="none" w:pos="1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 w:lineRule="exact"/>
        <w:rPr>
          <w:rFonts w:ascii="Courier New" w:cs="Courier New" w:eastAsia="Courier New" w:hAnsi="Courier New"/>
          <w:sz w:val="15"/>
          <w:szCs w:val="15"/>
          <w:color w:val="auto"/>
        </w:rPr>
      </w:pPr>
    </w:p>
    <w:p>
      <w:pPr>
        <w:ind w:left="47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$17,075$13,602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800" w:right="1440" w:bottom="1440" w:gutter="0" w:footer="0" w:header="0"/>
        </w:sectPr>
      </w:pPr>
    </w:p>
    <w:bookmarkStart w:id="23" w:name="page24"/>
    <w:bookmarkEnd w:id="23"/>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hanging="465"/>
        <w:spacing w:after="0"/>
        <w:tabs>
          <w:tab w:leader="none" w:pos="46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LOAN:</w:t>
      </w:r>
    </w:p>
    <w:p>
      <w:pPr>
        <w:spacing w:after="0" w:line="184" w:lineRule="exact"/>
        <w:rPr>
          <w:rFonts w:ascii="Courier New" w:cs="Courier New" w:eastAsia="Courier New" w:hAnsi="Courier New"/>
          <w:sz w:val="15"/>
          <w:szCs w:val="15"/>
          <w:color w:val="auto"/>
        </w:rPr>
      </w:pPr>
    </w:p>
    <w:p>
      <w:pPr>
        <w:ind w:left="465" w:right="4320"/>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line of credit of $55,000, $335 of which is used as at December 31, 1998, secured by a charge on all the present and future assets of the Company and on the shares of its subsidiary.</w:t>
      </w:r>
    </w:p>
    <w:p>
      <w:pPr>
        <w:spacing w:after="0" w:line="42" w:lineRule="exact"/>
        <w:rPr>
          <w:rFonts w:ascii="Courier New" w:cs="Courier New" w:eastAsia="Courier New" w:hAnsi="Courier New"/>
          <w:sz w:val="15"/>
          <w:szCs w:val="15"/>
          <w:color w:val="auto"/>
        </w:rPr>
      </w:pPr>
    </w:p>
    <w:p>
      <w:pPr>
        <w:ind w:left="465" w:right="4700"/>
        <w:spacing w:after="0" w:line="3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varies in relation to the ratio of debt to earnings before interest, taxes, depreciation and amortization.</w:t>
      </w:r>
    </w:p>
    <w:p>
      <w:pPr>
        <w:spacing w:after="0" w:line="1" w:lineRule="exact"/>
        <w:rPr>
          <w:rFonts w:ascii="Courier New" w:cs="Courier New" w:eastAsia="Courier New" w:hAnsi="Courier New"/>
          <w:sz w:val="15"/>
          <w:szCs w:val="15"/>
          <w:color w:val="auto"/>
        </w:rPr>
      </w:pPr>
    </w:p>
    <w:p>
      <w:pPr>
        <w:ind w:left="465" w:right="4240"/>
        <w:spacing w:after="0" w:line="3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interest rate is based on either the Canadian or US prime rate plus 1.5% or on the bankers' acceptance or eurodollar rate plus 2.5%.</w:t>
      </w:r>
    </w:p>
    <w:p>
      <w:pPr>
        <w:spacing w:after="0" w:line="175"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8585"/>
        <w:spacing w:after="0"/>
        <w:tabs>
          <w:tab w:leader="none" w:pos="1022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260"/>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Debt component of convertible debentures (note 11)</w:t>
            </w:r>
          </w:p>
        </w:tc>
        <w:tc>
          <w:tcPr>
            <w:tcW w:w="4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$ 13,591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$ 14,494</w:t>
            </w:r>
          </w:p>
        </w:tc>
        <w:tc>
          <w:tcPr>
            <w:tcW w:w="0" w:type="dxa"/>
            <w:vAlign w:val="bottom"/>
          </w:tcPr>
          <w:p>
            <w:pPr>
              <w:spacing w:after="0"/>
              <w:rPr>
                <w:sz w:val="1"/>
                <w:szCs w:val="1"/>
                <w:color w:val="auto"/>
              </w:rPr>
            </w:pPr>
          </w:p>
        </w:tc>
      </w:tr>
      <w:tr>
        <w:trPr>
          <w:trHeight w:val="272"/>
        </w:trPr>
        <w:tc>
          <w:tcPr>
            <w:tcW w:w="8940" w:type="dxa"/>
            <w:vAlign w:val="bottom"/>
            <w:gridSpan w:val="3"/>
          </w:tcPr>
          <w:p>
            <w:pPr>
              <w:spacing w:after="0"/>
              <w:rPr>
                <w:sz w:val="20"/>
                <w:szCs w:val="20"/>
                <w:color w:val="auto"/>
              </w:rPr>
            </w:pPr>
            <w:r>
              <w:rPr>
                <w:rFonts w:ascii="Courier New" w:cs="Courier New" w:eastAsia="Courier New" w:hAnsi="Courier New"/>
                <w:sz w:val="15"/>
                <w:szCs w:val="15"/>
                <w:color w:val="auto"/>
              </w:rPr>
              <w:t>Term loan (US$101,490), bearing interest at Libor plus 2.75%, repayable in</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89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semi-annual contractual defined amounts, due June 30, 2005, secured by a</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9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charge on all present and future assets and the shares of its subsidiary</w:t>
            </w:r>
          </w:p>
        </w:tc>
        <w:tc>
          <w:tcPr>
            <w:tcW w:w="12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 (c) (d)</w:t>
            </w:r>
          </w:p>
        </w:tc>
        <w:tc>
          <w:tcPr>
            <w:tcW w:w="4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155,615</w:t>
            </w: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8940" w:type="dxa"/>
            <w:vAlign w:val="bottom"/>
            <w:gridSpan w:val="3"/>
          </w:tcPr>
          <w:p>
            <w:pPr>
              <w:spacing w:after="0"/>
              <w:rPr>
                <w:sz w:val="20"/>
                <w:szCs w:val="20"/>
                <w:color w:val="auto"/>
              </w:rPr>
            </w:pPr>
            <w:r>
              <w:rPr>
                <w:rFonts w:ascii="Courier New" w:cs="Courier New" w:eastAsia="Courier New" w:hAnsi="Courier New"/>
                <w:sz w:val="15"/>
                <w:szCs w:val="15"/>
                <w:color w:val="auto"/>
              </w:rPr>
              <w:t>Loan, without interest, payable in annual instalments of $159, maturing June</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478</w:t>
            </w:r>
          </w:p>
        </w:tc>
        <w:tc>
          <w:tcPr>
            <w:tcW w:w="0" w:type="dxa"/>
            <w:vAlign w:val="bottom"/>
          </w:tcPr>
          <w:p>
            <w:pPr>
              <w:spacing w:after="0"/>
              <w:rPr>
                <w:sz w:val="1"/>
                <w:szCs w:val="1"/>
                <w:color w:val="auto"/>
              </w:rPr>
            </w:pPr>
          </w:p>
        </w:tc>
      </w:tr>
      <w:tr>
        <w:trPr>
          <w:trHeight w:val="260"/>
        </w:trPr>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1,</w:t>
            </w:r>
          </w:p>
        </w:tc>
        <w:tc>
          <w:tcPr>
            <w:tcW w:w="4280" w:type="dxa"/>
            <w:vAlign w:val="bottom"/>
          </w:tcPr>
          <w:p>
            <w:pPr>
              <w:jc w:val="right"/>
              <w:ind w:right="3803"/>
              <w:spacing w:after="0"/>
              <w:rPr>
                <w:sz w:val="20"/>
                <w:szCs w:val="20"/>
                <w:color w:val="auto"/>
              </w:rPr>
            </w:pPr>
            <w:r>
              <w:rPr>
                <w:rFonts w:ascii="Courier New" w:cs="Courier New" w:eastAsia="Courier New" w:hAnsi="Courier New"/>
                <w:sz w:val="15"/>
                <w:szCs w:val="15"/>
                <w:color w:val="auto"/>
              </w:rPr>
              <w:t>2000</w:t>
            </w:r>
          </w:p>
        </w:tc>
        <w:tc>
          <w:tcPr>
            <w:tcW w:w="4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318</w:t>
            </w: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8940" w:type="dxa"/>
            <w:vAlign w:val="bottom"/>
            <w:gridSpan w:val="3"/>
          </w:tcPr>
          <w:p>
            <w:pPr>
              <w:spacing w:after="0"/>
              <w:rPr>
                <w:sz w:val="20"/>
                <w:szCs w:val="20"/>
                <w:color w:val="auto"/>
              </w:rPr>
            </w:pPr>
            <w:r>
              <w:rPr>
                <w:rFonts w:ascii="Courier New" w:cs="Courier New" w:eastAsia="Courier New" w:hAnsi="Courier New"/>
                <w:sz w:val="15"/>
                <w:szCs w:val="15"/>
                <w:color w:val="auto"/>
              </w:rPr>
              <w:t>Loan, maturing March 1999, payable in monthly instalments of $8, including</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89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interest at the rate of 4.38%, secured by a data processing equipment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260"/>
        </w:trPr>
        <w:tc>
          <w:tcPr>
            <w:tcW w:w="4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 a book value of $152</w:t>
            </w:r>
          </w:p>
        </w:tc>
        <w:tc>
          <w:tcPr>
            <w:tcW w:w="4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127</w:t>
            </w: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Bank loan,  prime rate plus 0.75%,  payable in one</w:t>
            </w:r>
          </w:p>
        </w:tc>
        <w:tc>
          <w:tcPr>
            <w:tcW w:w="4240" w:type="dxa"/>
            <w:vAlign w:val="bottom"/>
          </w:tcPr>
          <w:p>
            <w:pPr>
              <w:jc w:val="right"/>
              <w:ind w:right="1583"/>
              <w:spacing w:after="0"/>
              <w:rPr>
                <w:sz w:val="20"/>
                <w:szCs w:val="20"/>
                <w:color w:val="auto"/>
              </w:rPr>
            </w:pPr>
            <w:r>
              <w:rPr>
                <w:rFonts w:ascii="Courier New" w:cs="Courier New" w:eastAsia="Courier New" w:hAnsi="Courier New"/>
                <w:sz w:val="15"/>
                <w:szCs w:val="15"/>
                <w:color w:val="auto"/>
              </w:rPr>
              <w:t>instalment  of $565 and one</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3,415</w:t>
            </w:r>
          </w:p>
        </w:tc>
        <w:tc>
          <w:tcPr>
            <w:tcW w:w="0" w:type="dxa"/>
            <w:vAlign w:val="bottom"/>
          </w:tcPr>
          <w:p>
            <w:pPr>
              <w:spacing w:after="0"/>
              <w:rPr>
                <w:sz w:val="1"/>
                <w:szCs w:val="1"/>
                <w:color w:val="auto"/>
              </w:rPr>
            </w:pPr>
          </w:p>
        </w:tc>
      </w:tr>
      <w:tr>
        <w:trPr>
          <w:trHeight w:val="260"/>
        </w:trPr>
        <w:tc>
          <w:tcPr>
            <w:tcW w:w="4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last instalment of $590, maturing June 1999 (b)</w:t>
            </w:r>
          </w:p>
        </w:tc>
        <w:tc>
          <w:tcPr>
            <w:tcW w:w="4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1,155</w:t>
            </w: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8940" w:type="dxa"/>
            <w:vAlign w:val="bottom"/>
            <w:gridSpan w:val="3"/>
          </w:tcPr>
          <w:p>
            <w:pPr>
              <w:spacing w:after="0"/>
              <w:rPr>
                <w:sz w:val="20"/>
                <w:szCs w:val="20"/>
                <w:color w:val="auto"/>
              </w:rPr>
            </w:pPr>
            <w:r>
              <w:rPr>
                <w:rFonts w:ascii="Courier New" w:cs="Courier New" w:eastAsia="Courier New" w:hAnsi="Courier New"/>
                <w:sz w:val="15"/>
                <w:szCs w:val="15"/>
                <w:color w:val="auto"/>
              </w:rPr>
              <w:t>Loan, 9.50% fixed rate, payable in monthly instalments of $12 including</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89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interest maturing May 2006, secured by an hypothec on an aircraft with a</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1,004</w:t>
            </w:r>
          </w:p>
        </w:tc>
        <w:tc>
          <w:tcPr>
            <w:tcW w:w="0" w:type="dxa"/>
            <w:vAlign w:val="bottom"/>
          </w:tcPr>
          <w:p>
            <w:pPr>
              <w:spacing w:after="0"/>
              <w:rPr>
                <w:sz w:val="1"/>
                <w:szCs w:val="1"/>
                <w:color w:val="auto"/>
              </w:rPr>
            </w:pPr>
          </w:p>
        </w:tc>
      </w:tr>
      <w:tr>
        <w:trPr>
          <w:trHeight w:val="260"/>
        </w:trPr>
        <w:tc>
          <w:tcPr>
            <w:tcW w:w="4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book value of $1,009</w:t>
            </w:r>
          </w:p>
        </w:tc>
        <w:tc>
          <w:tcPr>
            <w:tcW w:w="4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949</w:t>
            </w: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8940" w:type="dxa"/>
            <w:vAlign w:val="bottom"/>
            <w:gridSpan w:val="3"/>
          </w:tcPr>
          <w:p>
            <w:pPr>
              <w:spacing w:after="0"/>
              <w:rPr>
                <w:sz w:val="20"/>
                <w:szCs w:val="20"/>
                <w:color w:val="auto"/>
              </w:rPr>
            </w:pPr>
            <w:r>
              <w:rPr>
                <w:rFonts w:ascii="Courier New" w:cs="Courier New" w:eastAsia="Courier New" w:hAnsi="Courier New"/>
                <w:sz w:val="15"/>
                <w:szCs w:val="15"/>
                <w:color w:val="auto"/>
              </w:rPr>
              <w:t>Loan, maturing February 2000, payable in monthly instalments of $7</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89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including interest at the rate of 9.70%, secured by automotive equipment</w:t>
            </w:r>
          </w:p>
        </w:tc>
        <w:tc>
          <w:tcPr>
            <w:tcW w:w="12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4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 a book value of $47</w:t>
            </w:r>
          </w:p>
        </w:tc>
        <w:tc>
          <w:tcPr>
            <w:tcW w:w="4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44</w:t>
            </w: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First mortgage bonds</w:t>
            </w:r>
          </w:p>
        </w:tc>
        <w:tc>
          <w:tcPr>
            <w:tcW w:w="4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83,000</w:t>
            </w:r>
          </w:p>
        </w:tc>
        <w:tc>
          <w:tcPr>
            <w:tcW w:w="0" w:type="dxa"/>
            <w:vAlign w:val="bottom"/>
          </w:tcPr>
          <w:p>
            <w:pPr>
              <w:spacing w:after="0"/>
              <w:rPr>
                <w:sz w:val="1"/>
                <w:szCs w:val="1"/>
                <w:color w:val="auto"/>
              </w:rPr>
            </w:pPr>
          </w:p>
        </w:tc>
      </w:tr>
      <w:tr>
        <w:trPr>
          <w:trHeight w:val="355"/>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Term loan</w:t>
            </w:r>
          </w:p>
        </w:tc>
        <w:tc>
          <w:tcPr>
            <w:tcW w:w="4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5" w:hanging="185"/>
        <w:spacing w:after="0"/>
        <w:tabs>
          <w:tab w:leader="none" w:pos="18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 w:lineRule="exact"/>
        <w:rPr>
          <w:rFonts w:ascii="Courier New" w:cs="Courier New" w:eastAsia="Courier New" w:hAnsi="Courier New"/>
          <w:sz w:val="15"/>
          <w:szCs w:val="15"/>
          <w:color w:val="auto"/>
        </w:rPr>
      </w:pPr>
    </w:p>
    <w:p>
      <w:pPr>
        <w:ind w:left="83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171,799122,608</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26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35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4,057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8,251</w:t>
            </w: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 w:lineRule="exact"/>
        <w:rPr>
          <w:sz w:val="20"/>
          <w:szCs w:val="20"/>
          <w:color w:val="auto"/>
        </w:rPr>
      </w:pPr>
    </w:p>
    <w:p>
      <w:pPr>
        <w:ind w:left="8205"/>
        <w:spacing w:after="0"/>
        <w:tabs>
          <w:tab w:leader="none" w:pos="9845" w:val="left"/>
        </w:tabs>
        <w:rPr>
          <w:sz w:val="20"/>
          <w:szCs w:val="20"/>
          <w:color w:val="auto"/>
        </w:rPr>
      </w:pPr>
      <w:r>
        <w:rPr>
          <w:rFonts w:ascii="Courier New" w:cs="Courier New" w:eastAsia="Courier New" w:hAnsi="Courier New"/>
          <w:sz w:val="15"/>
          <w:szCs w:val="15"/>
          <w:color w:val="auto"/>
        </w:rPr>
        <w:t>$167,742</w:t>
      </w:r>
      <w:r>
        <w:rPr>
          <w:sz w:val="20"/>
          <w:szCs w:val="20"/>
          <w:color w:val="auto"/>
        </w:rPr>
        <w:tab/>
      </w:r>
      <w:r>
        <w:rPr>
          <w:rFonts w:ascii="Courier New" w:cs="Courier New" w:eastAsia="Courier New" w:hAnsi="Courier New"/>
          <w:sz w:val="15"/>
          <w:szCs w:val="15"/>
          <w:color w:val="auto"/>
        </w:rPr>
        <w:t>$114,357</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5"/>
          </w:cols>
          <w:pgMar w:left="235" w:top="800" w:right="139" w:bottom="1440" w:gutter="0" w:footer="0" w:header="0"/>
        </w:sectPr>
      </w:pPr>
    </w:p>
    <w:bookmarkStart w:id="24" w:name="page25"/>
    <w:bookmarkEnd w:id="24"/>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465" w:hanging="465"/>
        <w:spacing w:after="0"/>
        <w:tabs>
          <w:tab w:leader="none" w:pos="46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(CONTINUED):</w:t>
      </w:r>
    </w:p>
    <w:p>
      <w:pPr>
        <w:spacing w:after="0" w:line="184" w:lineRule="exact"/>
        <w:rPr>
          <w:rFonts w:ascii="Courier New" w:cs="Courier New" w:eastAsia="Courier New" w:hAnsi="Courier New"/>
          <w:sz w:val="15"/>
          <w:szCs w:val="15"/>
          <w:color w:val="auto"/>
        </w:rPr>
      </w:pPr>
    </w:p>
    <w:p>
      <w:pPr>
        <w:ind w:left="825" w:right="3220" w:hanging="364"/>
        <w:spacing w:after="0" w:line="282" w:lineRule="auto"/>
        <w:tabs>
          <w:tab w:leader="none" w:pos="82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 loan agreement, the Company is limited in respect of its ability to increase its borrowings, to invest in a party, to use the proceeds of a new issue of capital stock, to repay certain debts, and to enter into business combinations, poolings, reorganizations and sell assets.</w:t>
      </w:r>
    </w:p>
    <w:p>
      <w:pPr>
        <w:spacing w:after="0" w:line="66" w:lineRule="exact"/>
        <w:rPr>
          <w:rFonts w:ascii="Courier New" w:cs="Courier New" w:eastAsia="Courier New" w:hAnsi="Courier New"/>
          <w:sz w:val="15"/>
          <w:szCs w:val="15"/>
          <w:color w:val="auto"/>
        </w:rPr>
      </w:pPr>
    </w:p>
    <w:p>
      <w:pPr>
        <w:ind w:left="825" w:right="3500" w:hanging="364"/>
        <w:spacing w:after="0" w:line="314" w:lineRule="auto"/>
        <w:tabs>
          <w:tab w:leader="none" w:pos="82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bank loan is secured by a first ranking moveable hypothec on specific equipment and second and third ranking moveable hypothec on receivables and inventories.</w:t>
      </w:r>
    </w:p>
    <w:p>
      <w:pPr>
        <w:spacing w:after="0" w:line="42" w:lineRule="exact"/>
        <w:rPr>
          <w:rFonts w:ascii="Courier New" w:cs="Courier New" w:eastAsia="Courier New" w:hAnsi="Courier New"/>
          <w:sz w:val="15"/>
          <w:szCs w:val="15"/>
          <w:color w:val="auto"/>
        </w:rPr>
      </w:pPr>
    </w:p>
    <w:p>
      <w:pPr>
        <w:ind w:left="825" w:right="3400" w:hanging="364"/>
        <w:spacing w:after="0" w:line="375" w:lineRule="auto"/>
        <w:tabs>
          <w:tab w:leader="none" w:pos="82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varies in relation to the ratio of debt to earnings before interest, taxes, depreciation and amortization (ebitda).</w:t>
      </w:r>
    </w:p>
    <w:p>
      <w:pPr>
        <w:spacing w:after="0" w:line="1" w:lineRule="exact"/>
        <w:rPr>
          <w:rFonts w:ascii="Courier New" w:cs="Courier New" w:eastAsia="Courier New" w:hAnsi="Courier New"/>
          <w:sz w:val="15"/>
          <w:szCs w:val="15"/>
          <w:color w:val="auto"/>
        </w:rPr>
      </w:pPr>
    </w:p>
    <w:p>
      <w:pPr>
        <w:ind w:left="825" w:right="3680"/>
        <w:spacing w:after="0" w:line="3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interest rate is based on either the US base rate plus 1.5% or the eurodollar rate based on Libor plus 2.5%.</w:t>
      </w:r>
    </w:p>
    <w:p>
      <w:pPr>
        <w:spacing w:after="0" w:line="1" w:lineRule="exact"/>
        <w:rPr>
          <w:sz w:val="20"/>
          <w:szCs w:val="20"/>
          <w:color w:val="auto"/>
        </w:rPr>
      </w:pPr>
    </w:p>
    <w:p>
      <w:pPr>
        <w:ind w:left="745" w:right="3220" w:hanging="376"/>
        <w:spacing w:after="0" w:line="314" w:lineRule="auto"/>
        <w:tabs>
          <w:tab w:leader="none" w:pos="74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fixed the interest rate on the Libor based rate at 5.81% in respect of 75% of the principal amount of the loan, with a swap that expires in 2005.</w:t>
      </w:r>
    </w:p>
    <w:p>
      <w:pPr>
        <w:spacing w:after="0" w:line="43" w:lineRule="exact"/>
        <w:rPr>
          <w:sz w:val="20"/>
          <w:szCs w:val="20"/>
          <w:color w:val="auto"/>
        </w:rPr>
      </w:pPr>
    </w:p>
    <w:p>
      <w:pPr>
        <w:ind w:left="465" w:right="3400"/>
        <w:spacing w:after="0" w:line="377" w:lineRule="auto"/>
        <w:rPr>
          <w:sz w:val="20"/>
          <w:szCs w:val="20"/>
          <w:color w:val="auto"/>
        </w:rPr>
      </w:pPr>
      <w:r>
        <w:rPr>
          <w:rFonts w:ascii="Courier New" w:cs="Courier New" w:eastAsia="Courier New" w:hAnsi="Courier New"/>
          <w:sz w:val="15"/>
          <w:szCs w:val="15"/>
          <w:color w:val="auto"/>
        </w:rPr>
        <w:t>Instalments on long-term debt for the next five years are: 1999 - $4,057; 2000 - $2,977; 2001 -$2,972; 2002 - $3,111 and 2003 - $32,241.</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11. CONVERTIBLE DEBENTURES:</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6085"/>
        <w:spacing w:after="0"/>
        <w:tabs>
          <w:tab w:leader="none" w:pos="7085" w:val="left"/>
          <w:tab w:leader="none" w:pos="8565" w:val="left"/>
          <w:tab w:leader="none" w:pos="9765" w:val="left"/>
        </w:tabs>
        <w:rPr>
          <w:sz w:val="20"/>
          <w:szCs w:val="20"/>
          <w:color w:val="auto"/>
        </w:rPr>
      </w:pPr>
      <w:r>
        <w:rPr>
          <w:rFonts w:ascii="Courier New" w:cs="Courier New" w:eastAsia="Courier New" w:hAnsi="Courier New"/>
          <w:sz w:val="15"/>
          <w:szCs w:val="15"/>
          <w:color w:val="auto"/>
        </w:rPr>
        <w:t>Debt</w:t>
      </w:r>
      <w:r>
        <w:rPr>
          <w:sz w:val="20"/>
          <w:szCs w:val="20"/>
          <w:color w:val="auto"/>
        </w:rPr>
        <w:tab/>
      </w:r>
      <w:r>
        <w:rPr>
          <w:rFonts w:ascii="Courier New" w:cs="Courier New" w:eastAsia="Courier New" w:hAnsi="Courier New"/>
          <w:sz w:val="15"/>
          <w:szCs w:val="15"/>
          <w:color w:val="auto"/>
        </w:rPr>
        <w:t>Equity</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5625"/>
        <w:spacing w:after="0"/>
        <w:tabs>
          <w:tab w:leader="none" w:pos="6805" w:val="left"/>
          <w:tab w:leader="none" w:pos="8465" w:val="left"/>
          <w:tab w:leader="none" w:pos="9665" w:val="left"/>
        </w:tabs>
        <w:rPr>
          <w:sz w:val="20"/>
          <w:szCs w:val="20"/>
          <w:color w:val="auto"/>
        </w:rPr>
      </w:pPr>
      <w:r>
        <w:rPr>
          <w:rFonts w:ascii="Courier New" w:cs="Courier New" w:eastAsia="Courier New" w:hAnsi="Courier New"/>
          <w:sz w:val="15"/>
          <w:szCs w:val="15"/>
          <w:color w:val="auto"/>
        </w:rPr>
        <w:t>component</w:t>
      </w:r>
      <w:r>
        <w:rPr>
          <w:sz w:val="20"/>
          <w:szCs w:val="20"/>
          <w:color w:val="auto"/>
        </w:rPr>
        <w:tab/>
      </w:r>
      <w:r>
        <w:rPr>
          <w:rFonts w:ascii="Courier New" w:cs="Courier New" w:eastAsia="Courier New" w:hAnsi="Courier New"/>
          <w:sz w:val="15"/>
          <w:szCs w:val="15"/>
          <w:color w:val="auto"/>
        </w:rPr>
        <w:t>component</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Total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177"/>
        </w:trPr>
        <w:tc>
          <w:tcPr>
            <w:tcW w:w="6220" w:type="dxa"/>
            <w:vAlign w:val="bottom"/>
            <w:gridSpan w:val="2"/>
          </w:tcPr>
          <w:p>
            <w:pPr>
              <w:spacing w:after="0"/>
              <w:rPr>
                <w:sz w:val="20"/>
                <w:szCs w:val="20"/>
                <w:color w:val="auto"/>
              </w:rPr>
            </w:pPr>
            <w:r>
              <w:rPr>
                <w:rFonts w:ascii="Courier New" w:cs="Courier New" w:eastAsia="Courier New" w:hAnsi="Courier New"/>
                <w:sz w:val="15"/>
                <w:szCs w:val="15"/>
                <w:color w:val="auto"/>
              </w:rPr>
              <w:t>Convertible unsecured subordinated</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debentures (net of issue costs of $383)</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bearing interest at 8%, maturing March 12,</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2007, convertible at $7.15 per subordinate</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Class B share at any time prior to March 12,</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5620" w:type="dxa"/>
            <w:vAlign w:val="bottom"/>
          </w:tcPr>
          <w:p>
            <w:pPr>
              <w:jc w:val="right"/>
              <w:ind w:right="2463"/>
              <w:spacing w:after="0"/>
              <w:rPr>
                <w:sz w:val="20"/>
                <w:szCs w:val="20"/>
                <w:color w:val="auto"/>
              </w:rPr>
            </w:pPr>
            <w:r>
              <w:rPr>
                <w:rFonts w:ascii="Courier New" w:cs="Courier New" w:eastAsia="Courier New" w:hAnsi="Courier New"/>
                <w:sz w:val="15"/>
                <w:szCs w:val="15"/>
                <w:color w:val="auto"/>
              </w:rPr>
              <w:t>Thereafter the debentures will be</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convertible at $7.90 per subordinate Class B</w:t>
            </w:r>
          </w:p>
        </w:tc>
        <w:tc>
          <w:tcPr>
            <w:tcW w:w="1240" w:type="dxa"/>
            <w:vAlign w:val="bottom"/>
            <w:vMerge w:val="restart"/>
          </w:tcPr>
          <w:p>
            <w:pPr>
              <w:jc w:val="right"/>
              <w:ind w:right="183"/>
              <w:spacing w:after="0"/>
              <w:rPr>
                <w:sz w:val="20"/>
                <w:szCs w:val="20"/>
                <w:color w:val="auto"/>
              </w:rPr>
            </w:pPr>
            <w:r>
              <w:rPr>
                <w:rFonts w:ascii="Courier New" w:cs="Courier New" w:eastAsia="Courier New" w:hAnsi="Courier New"/>
                <w:sz w:val="15"/>
                <w:szCs w:val="15"/>
                <w:color w:val="auto"/>
              </w:rPr>
              <w:t>$ 19,281</w:t>
            </w:r>
          </w:p>
        </w:tc>
        <w:tc>
          <w:tcPr>
            <w:tcW w:w="12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$ 32,872</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$ 32,596</w:t>
            </w:r>
          </w:p>
        </w:tc>
        <w:tc>
          <w:tcPr>
            <w:tcW w:w="0" w:type="dxa"/>
            <w:vAlign w:val="bottom"/>
          </w:tcPr>
          <w:p>
            <w:pPr>
              <w:spacing w:after="0"/>
              <w:rPr>
                <w:sz w:val="1"/>
                <w:szCs w:val="1"/>
                <w:color w:val="auto"/>
              </w:rPr>
            </w:pPr>
          </w:p>
        </w:tc>
      </w:tr>
      <w:tr>
        <w:trPr>
          <w:trHeight w:val="260"/>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56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$ 13,591</w:t>
            </w:r>
          </w:p>
        </w:tc>
        <w:tc>
          <w:tcPr>
            <w:tcW w:w="124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465" w:right="3320"/>
        <w:spacing w:after="0" w:line="293" w:lineRule="auto"/>
        <w:rPr>
          <w:sz w:val="20"/>
          <w:szCs w:val="20"/>
          <w:color w:val="auto"/>
        </w:rPr>
      </w:pPr>
      <w:r>
        <w:rPr>
          <w:rFonts w:ascii="Courier New" w:cs="Courier New" w:eastAsia="Courier New" w:hAnsi="Courier New"/>
          <w:sz w:val="15"/>
          <w:szCs w:val="15"/>
          <w:color w:val="auto"/>
        </w:rPr>
        <w:t>Since the provisions of the debentures allow the Company to repay the holders with subordinate Class B shares, the debentures are presented with shareholders' equity net of the debt component and net of issue costs, net of income taxes.</w:t>
      </w:r>
    </w:p>
    <w:p>
      <w:pPr>
        <w:spacing w:after="0" w:line="57" w:lineRule="exact"/>
        <w:rPr>
          <w:sz w:val="20"/>
          <w:szCs w:val="20"/>
          <w:color w:val="auto"/>
        </w:rPr>
      </w:pPr>
    </w:p>
    <w:p>
      <w:pPr>
        <w:ind w:left="465" w:right="3780"/>
        <w:spacing w:after="0" w:line="314" w:lineRule="auto"/>
        <w:rPr>
          <w:sz w:val="20"/>
          <w:szCs w:val="20"/>
          <w:color w:val="auto"/>
        </w:rPr>
      </w:pPr>
      <w:r>
        <w:rPr>
          <w:rFonts w:ascii="Courier New" w:cs="Courier New" w:eastAsia="Courier New" w:hAnsi="Courier New"/>
          <w:sz w:val="15"/>
          <w:szCs w:val="15"/>
          <w:color w:val="auto"/>
        </w:rPr>
        <w:t>The Company calculated the debt component as the present value of the future interest payments discounted at the rate applicable to non-convertible debt at the time the debentures were issued.</w:t>
      </w:r>
    </w:p>
    <w:p>
      <w:pPr>
        <w:spacing w:after="0" w:line="220"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605"/>
          </w:cols>
          <w:pgMar w:left="235" w:top="800" w:right="1059" w:bottom="1440" w:gutter="0" w:footer="0" w:header="0"/>
        </w:sectPr>
      </w:pPr>
    </w:p>
    <w:bookmarkStart w:id="25" w:name="page26"/>
    <w:bookmarkEnd w:id="25"/>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right="8559" w:hanging="465"/>
        <w:spacing w:after="0" w:line="501" w:lineRule="auto"/>
        <w:tabs>
          <w:tab w:leader="none" w:pos="37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Authorized:</w:t>
      </w:r>
    </w:p>
    <w:p>
      <w:pPr>
        <w:jc w:val="both"/>
        <w:ind w:left="825" w:right="2839"/>
        <w:spacing w:after="0" w:line="314" w:lineRule="auto"/>
        <w:rPr>
          <w:sz w:val="20"/>
          <w:szCs w:val="20"/>
          <w:color w:val="auto"/>
        </w:rPr>
      </w:pPr>
      <w:r>
        <w:rPr>
          <w:rFonts w:ascii="Courier New" w:cs="Courier New" w:eastAsia="Courier New" w:hAnsi="Courier New"/>
          <w:sz w:val="15"/>
          <w:szCs w:val="15"/>
          <w:color w:val="auto"/>
        </w:rPr>
        <w:t>Unlimited number of Class A shares, ten votes per share, participating, convertible into subordinate Class B shares on a share-for-share basis, without par value.</w:t>
      </w:r>
    </w:p>
    <w:p>
      <w:pPr>
        <w:spacing w:after="0" w:line="43" w:lineRule="exact"/>
        <w:rPr>
          <w:sz w:val="20"/>
          <w:szCs w:val="20"/>
          <w:color w:val="auto"/>
        </w:rPr>
      </w:pPr>
    </w:p>
    <w:p>
      <w:pPr>
        <w:ind w:left="825" w:right="3219"/>
        <w:spacing w:after="0" w:line="377" w:lineRule="auto"/>
        <w:rPr>
          <w:sz w:val="20"/>
          <w:szCs w:val="20"/>
          <w:color w:val="auto"/>
        </w:rPr>
      </w:pPr>
      <w:r>
        <w:rPr>
          <w:rFonts w:ascii="Courier New" w:cs="Courier New" w:eastAsia="Courier New" w:hAnsi="Courier New"/>
          <w:sz w:val="15"/>
          <w:szCs w:val="15"/>
          <w:color w:val="auto"/>
        </w:rPr>
        <w:t>Unlimited number of subordinate Class B shares, one vote per share, participating, without par value.</w:t>
      </w:r>
    </w:p>
    <w:p>
      <w:pPr>
        <w:spacing w:after="0" w:line="353"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Issued and paid:</w:t>
      </w:r>
    </w:p>
    <w:p>
      <w:pPr>
        <w:spacing w:after="0" w:line="185"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jc w:val="both"/>
        <w:ind w:left="5625"/>
        <w:spacing w:after="0"/>
        <w:tabs>
          <w:tab w:leader="none" w:pos="708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5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244"/>
        </w:trPr>
        <w:tc>
          <w:tcPr>
            <w:tcW w:w="140" w:type="dxa"/>
            <w:vAlign w:val="bottom"/>
          </w:tcPr>
          <w:p>
            <w:pPr>
              <w:spacing w:after="0"/>
              <w:rPr>
                <w:sz w:val="21"/>
                <w:szCs w:val="21"/>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11,176,783 (1997 - 11,181,883)</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Class A shares</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6,581</w:t>
            </w:r>
          </w:p>
        </w:tc>
        <w:tc>
          <w:tcPr>
            <w:tcW w:w="5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6,584</w:t>
            </w:r>
          </w:p>
        </w:tc>
      </w:tr>
      <w:tr>
        <w:trPr>
          <w:trHeight w:val="260"/>
        </w:trPr>
        <w:tc>
          <w:tcPr>
            <w:tcW w:w="14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4,655,549 (1997 - 4,650,449)</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Class B shares</w:t>
            </w:r>
          </w:p>
        </w:tc>
        <w:tc>
          <w:tcPr>
            <w:tcW w:w="520" w:type="dxa"/>
            <w:vAlign w:val="bottom"/>
          </w:tcPr>
          <w:p>
            <w:pPr>
              <w:spacing w:after="0"/>
              <w:rPr>
                <w:sz w:val="22"/>
                <w:szCs w:val="22"/>
                <w:color w:val="auto"/>
              </w:rPr>
            </w:pP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3,286</w:t>
            </w:r>
          </w:p>
        </w:tc>
        <w:tc>
          <w:tcPr>
            <w:tcW w:w="540" w:type="dxa"/>
            <w:vAlign w:val="bottom"/>
          </w:tcPr>
          <w:p>
            <w:pPr>
              <w:spacing w:after="0"/>
              <w:rPr>
                <w:sz w:val="22"/>
                <w:szCs w:val="22"/>
                <w:color w:val="auto"/>
              </w:rPr>
            </w:pP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3,283</w:t>
            </w:r>
          </w:p>
        </w:tc>
      </w:tr>
      <w:tr>
        <w:trPr>
          <w:trHeight w:val="27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5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205"/>
        </w:trPr>
        <w:tc>
          <w:tcPr>
            <w:tcW w:w="1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9,867</w:t>
            </w:r>
          </w:p>
        </w:tc>
        <w:tc>
          <w:tcPr>
            <w:tcW w:w="5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9,867</w:t>
            </w:r>
          </w:p>
        </w:tc>
      </w:tr>
    </w:tbl>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Conversion:</w:t>
      </w:r>
    </w:p>
    <w:p>
      <w:pPr>
        <w:spacing w:after="0" w:line="185" w:lineRule="exact"/>
        <w:rPr>
          <w:sz w:val="20"/>
          <w:szCs w:val="20"/>
          <w:color w:val="auto"/>
        </w:rPr>
      </w:pPr>
    </w:p>
    <w:p>
      <w:pPr>
        <w:ind w:left="825" w:right="3119"/>
        <w:spacing w:after="0" w:line="375" w:lineRule="auto"/>
        <w:rPr>
          <w:sz w:val="20"/>
          <w:szCs w:val="20"/>
          <w:color w:val="auto"/>
        </w:rPr>
      </w:pPr>
      <w:r>
        <w:rPr>
          <w:rFonts w:ascii="Courier New" w:cs="Courier New" w:eastAsia="Courier New" w:hAnsi="Courier New"/>
          <w:sz w:val="15"/>
          <w:szCs w:val="15"/>
          <w:color w:val="auto"/>
        </w:rPr>
        <w:t>During the year, 5,100 Class A shares have been converted into 5,100 Class B shares.</w:t>
      </w:r>
    </w:p>
    <w:p>
      <w:pPr>
        <w:spacing w:after="0" w:line="1"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Shares reserved:</w:t>
      </w:r>
    </w:p>
    <w:p>
      <w:pPr>
        <w:spacing w:after="0" w:line="185" w:lineRule="exact"/>
        <w:rPr>
          <w:sz w:val="20"/>
          <w:szCs w:val="20"/>
          <w:color w:val="auto"/>
        </w:rPr>
      </w:pPr>
    </w:p>
    <w:p>
      <w:pPr>
        <w:ind w:left="825" w:right="2839"/>
        <w:spacing w:after="0" w:line="314" w:lineRule="auto"/>
        <w:rPr>
          <w:sz w:val="20"/>
          <w:szCs w:val="20"/>
          <w:color w:val="auto"/>
        </w:rPr>
      </w:pPr>
      <w:r>
        <w:rPr>
          <w:rFonts w:ascii="Courier New" w:cs="Courier New" w:eastAsia="Courier New" w:hAnsi="Courier New"/>
          <w:sz w:val="15"/>
          <w:szCs w:val="15"/>
          <w:color w:val="auto"/>
        </w:rPr>
        <w:t>The Company granted to employees options to purchase 1,625,000 Class B shares at prices ranging from $4.50 to $4.75 per share. These options can be exercised throughout a five year period ending January 31, 2001.</w:t>
      </w:r>
    </w:p>
    <w:p>
      <w:pPr>
        <w:spacing w:after="0" w:line="43" w:lineRule="exact"/>
        <w:rPr>
          <w:sz w:val="20"/>
          <w:szCs w:val="20"/>
          <w:color w:val="auto"/>
        </w:rPr>
      </w:pPr>
    </w:p>
    <w:p>
      <w:pPr>
        <w:ind w:left="825" w:right="2839"/>
        <w:spacing w:after="0" w:line="282" w:lineRule="auto"/>
        <w:rPr>
          <w:sz w:val="20"/>
          <w:szCs w:val="20"/>
          <w:color w:val="auto"/>
        </w:rPr>
      </w:pPr>
      <w:r>
        <w:rPr>
          <w:rFonts w:ascii="Courier New" w:cs="Courier New" w:eastAsia="Courier New" w:hAnsi="Courier New"/>
          <w:sz w:val="15"/>
          <w:szCs w:val="15"/>
          <w:color w:val="auto"/>
        </w:rPr>
        <w:t>The Company granted to a lender an option to purchase 1,000,000 subordinate Class B shares at a price of $4.50 per share. The option is exercisable for 5 years maturing October 10, 2002. The sale, the transfer and the exercise of this option are subject to a first right of refusal in favor of the Company.</w:t>
      </w:r>
    </w:p>
    <w:p>
      <w:pPr>
        <w:spacing w:after="0" w:line="66" w:lineRule="exact"/>
        <w:rPr>
          <w:sz w:val="20"/>
          <w:szCs w:val="20"/>
          <w:color w:val="auto"/>
        </w:rPr>
      </w:pPr>
    </w:p>
    <w:p>
      <w:pPr>
        <w:ind w:left="365" w:hanging="365"/>
        <w:spacing w:after="0"/>
        <w:tabs>
          <w:tab w:leader="none" w:pos="36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LIABILITIES:</w:t>
      </w:r>
    </w:p>
    <w:p>
      <w:pPr>
        <w:spacing w:after="0" w:line="184" w:lineRule="exact"/>
        <w:rPr>
          <w:rFonts w:ascii="Courier New" w:cs="Courier New" w:eastAsia="Courier New" w:hAnsi="Courier New"/>
          <w:sz w:val="15"/>
          <w:szCs w:val="15"/>
          <w:color w:val="auto"/>
        </w:rPr>
      </w:pPr>
    </w:p>
    <w:p>
      <w:pPr>
        <w:ind w:left="825" w:right="2839" w:hanging="364"/>
        <w:spacing w:after="0" w:line="314" w:lineRule="auto"/>
        <w:tabs>
          <w:tab w:leader="none" w:pos="82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 Groupe Forex Inc. is a party to a lawsuit as a codefendant in a claim by First Nations. This claim is contested and management believes it will not have adverse effect on Forex's financial condition.</w:t>
      </w:r>
    </w:p>
    <w:p>
      <w:pPr>
        <w:spacing w:after="0" w:line="42" w:lineRule="exact"/>
        <w:rPr>
          <w:rFonts w:ascii="Courier New" w:cs="Courier New" w:eastAsia="Courier New" w:hAnsi="Courier New"/>
          <w:sz w:val="15"/>
          <w:szCs w:val="15"/>
          <w:color w:val="auto"/>
        </w:rPr>
      </w:pPr>
    </w:p>
    <w:p>
      <w:pPr>
        <w:ind w:left="825" w:right="3119" w:hanging="364"/>
        <w:spacing w:after="0" w:line="293" w:lineRule="auto"/>
        <w:tabs>
          <w:tab w:leader="none" w:pos="82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 Groupe Forex Inc. has appealed a decision against the Company regarding the payment of stumpage rights for the year 1989-90, in an amount of $193 in principal plus interest. The amount has not been recorded in the financial statements.</w:t>
      </w:r>
    </w:p>
    <w:p>
      <w:pPr>
        <w:spacing w:after="0" w:line="23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800" w:right="1440" w:bottom="1440" w:gutter="0" w:footer="0" w:header="0"/>
        </w:sectPr>
      </w:pPr>
    </w:p>
    <w:bookmarkStart w:id="26" w:name="page27"/>
    <w:bookmarkEnd w:id="26"/>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65" w:hanging="365"/>
        <w:spacing w:after="0"/>
        <w:tabs>
          <w:tab w:leader="none" w:pos="36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LIABILITIES (CONTINUED):</w:t>
      </w:r>
    </w:p>
    <w:p>
      <w:pPr>
        <w:spacing w:after="0" w:line="184" w:lineRule="exact"/>
        <w:rPr>
          <w:rFonts w:ascii="Courier New" w:cs="Courier New" w:eastAsia="Courier New" w:hAnsi="Courier New"/>
          <w:sz w:val="15"/>
          <w:szCs w:val="15"/>
          <w:color w:val="auto"/>
        </w:rPr>
      </w:pPr>
    </w:p>
    <w:p>
      <w:pPr>
        <w:ind w:left="825" w:right="3220" w:hanging="364"/>
        <w:spacing w:after="0" w:line="293" w:lineRule="auto"/>
        <w:tabs>
          <w:tab w:leader="none" w:pos="825"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OSB Plants do not fully comply with environmental laws as their emissions are slightly higher than permitted under applicable environmental laws. In order to remediate this problem, the Company will purchase, during the next year, $2,250 of equipment and machinery.</w:t>
      </w:r>
    </w:p>
    <w:p>
      <w:pPr>
        <w:spacing w:after="0" w:line="5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POSITION:</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3685"/>
        <w:spacing w:after="0"/>
        <w:tabs>
          <w:tab w:leader="none" w:pos="5425" w:val="left"/>
          <w:tab w:leader="none" w:pos="718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Cash position:</w:t>
            </w:r>
          </w:p>
        </w:tc>
        <w:tc>
          <w:tcPr>
            <w:tcW w:w="1520" w:type="dxa"/>
            <w:vAlign w:val="bottom"/>
            <w:vMerge w:val="restart"/>
          </w:tcPr>
          <w:p>
            <w:pPr>
              <w:jc w:val="right"/>
              <w:ind w:right="463"/>
              <w:spacing w:after="0"/>
              <w:rPr>
                <w:sz w:val="20"/>
                <w:szCs w:val="20"/>
                <w:color w:val="auto"/>
              </w:rPr>
            </w:pPr>
            <w:r>
              <w:rPr>
                <w:rFonts w:ascii="Courier New" w:cs="Courier New" w:eastAsia="Courier New" w:hAnsi="Courier New"/>
                <w:sz w:val="15"/>
                <w:szCs w:val="15"/>
                <w:color w:val="auto"/>
              </w:rPr>
              <w:t>$  8,251</w:t>
            </w:r>
          </w:p>
        </w:tc>
        <w:tc>
          <w:tcPr>
            <w:tcW w:w="1760" w:type="dxa"/>
            <w:vAlign w:val="bottom"/>
            <w:vMerge w:val="restart"/>
          </w:tcPr>
          <w:p>
            <w:pPr>
              <w:jc w:val="right"/>
              <w:ind w:right="483"/>
              <w:spacing w:after="0"/>
              <w:rPr>
                <w:sz w:val="20"/>
                <w:szCs w:val="20"/>
                <w:color w:val="auto"/>
              </w:rPr>
            </w:pPr>
            <w:r>
              <w:rPr>
                <w:rFonts w:ascii="Courier New" w:cs="Courier New" w:eastAsia="Courier New" w:hAnsi="Courier New"/>
                <w:sz w:val="15"/>
                <w:szCs w:val="15"/>
                <w:color w:val="auto"/>
              </w:rPr>
              <w:t>$  5,178</w:t>
            </w:r>
          </w:p>
        </w:tc>
        <w:tc>
          <w:tcPr>
            <w:tcW w:w="130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Cash</w:t>
            </w:r>
          </w:p>
        </w:tc>
        <w:tc>
          <w:tcPr>
            <w:tcW w:w="15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investments</w:t>
            </w:r>
          </w:p>
        </w:tc>
        <w:tc>
          <w:tcPr>
            <w:tcW w:w="15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25,652</w:t>
            </w:r>
          </w:p>
        </w:tc>
        <w:tc>
          <w:tcPr>
            <w:tcW w:w="1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19,464</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23,058</w:t>
            </w:r>
          </w:p>
        </w:tc>
        <w:tc>
          <w:tcPr>
            <w:tcW w:w="0" w:type="dxa"/>
            <w:vAlign w:val="bottom"/>
          </w:tcPr>
          <w:p>
            <w:pPr>
              <w:spacing w:after="0"/>
              <w:rPr>
                <w:sz w:val="1"/>
                <w:szCs w:val="1"/>
                <w:color w:val="auto"/>
              </w:rPr>
            </w:pP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Restricted Funds</w:t>
            </w:r>
          </w:p>
        </w:tc>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5,905</w:t>
            </w:r>
          </w:p>
        </w:tc>
        <w:tc>
          <w:tcPr>
            <w:tcW w:w="0" w:type="dxa"/>
            <w:vAlign w:val="bottom"/>
          </w:tcPr>
          <w:p>
            <w:pPr>
              <w:spacing w:after="0"/>
              <w:rPr>
                <w:sz w:val="1"/>
                <w:szCs w:val="1"/>
                <w:color w:val="auto"/>
              </w:rPr>
            </w:pP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Bank indebtedness</w:t>
            </w:r>
          </w:p>
        </w:tc>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(5,242)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(2,842)</w:t>
            </w:r>
          </w:p>
        </w:tc>
        <w:tc>
          <w:tcPr>
            <w:tcW w:w="0" w:type="dxa"/>
            <w:vAlign w:val="bottom"/>
          </w:tcPr>
          <w:p>
            <w:pPr>
              <w:spacing w:after="0"/>
              <w:rPr>
                <w:sz w:val="1"/>
                <w:szCs w:val="1"/>
                <w:color w:val="auto"/>
              </w:rPr>
            </w:pPr>
          </w:p>
        </w:tc>
      </w:tr>
      <w:tr>
        <w:trPr>
          <w:trHeight w:val="205"/>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Bank loan</w:t>
            </w:r>
          </w:p>
        </w:tc>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rPr>
              <w:t>(335)</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(5,546)</w:t>
            </w:r>
          </w:p>
        </w:tc>
        <w:tc>
          <w:tcPr>
            <w:tcW w:w="0" w:type="dxa"/>
            <w:vAlign w:val="bottom"/>
          </w:tcPr>
          <w:p>
            <w:pPr>
              <w:spacing w:after="0"/>
              <w:rPr>
                <w:sz w:val="1"/>
                <w:szCs w:val="1"/>
                <w:color w:val="auto"/>
              </w:rPr>
            </w:pPr>
          </w:p>
        </w:tc>
      </w:tr>
    </w:tbl>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325"/>
        <w:spacing w:after="0"/>
        <w:tabs>
          <w:tab w:leader="none" w:pos="5045" w:val="left"/>
          <w:tab w:leader="none" w:pos="6805" w:val="left"/>
        </w:tabs>
        <w:rPr>
          <w:sz w:val="20"/>
          <w:szCs w:val="20"/>
          <w:color w:val="auto"/>
        </w:rPr>
      </w:pPr>
      <w:r>
        <w:rPr>
          <w:rFonts w:ascii="Courier New" w:cs="Courier New" w:eastAsia="Courier New" w:hAnsi="Courier New"/>
          <w:sz w:val="15"/>
          <w:szCs w:val="15"/>
          <w:color w:val="auto"/>
        </w:rPr>
        <w:t>$ 33,568</w:t>
      </w:r>
      <w:r>
        <w:rPr>
          <w:sz w:val="20"/>
          <w:szCs w:val="20"/>
          <w:color w:val="auto"/>
        </w:rPr>
        <w:tab/>
      </w:r>
      <w:r>
        <w:rPr>
          <w:rFonts w:ascii="Courier New" w:cs="Courier New" w:eastAsia="Courier New" w:hAnsi="Courier New"/>
          <w:sz w:val="15"/>
          <w:szCs w:val="15"/>
          <w:color w:val="auto"/>
        </w:rPr>
        <w:t>$ 19,100</w:t>
      </w:r>
      <w:r>
        <w:rPr>
          <w:sz w:val="20"/>
          <w:szCs w:val="20"/>
          <w:color w:val="auto"/>
        </w:rPr>
        <w:tab/>
      </w:r>
      <w:r>
        <w:rPr>
          <w:rFonts w:ascii="Courier New" w:cs="Courier New" w:eastAsia="Courier New" w:hAnsi="Courier New"/>
          <w:sz w:val="15"/>
          <w:szCs w:val="15"/>
          <w:color w:val="auto"/>
        </w:rPr>
        <w:t>$ 20,575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15. COMMITMENTS:</w:t>
      </w:r>
    </w:p>
    <w:p>
      <w:pPr>
        <w:spacing w:after="0" w:line="185" w:lineRule="exact"/>
        <w:rPr>
          <w:sz w:val="20"/>
          <w:szCs w:val="20"/>
          <w:color w:val="auto"/>
        </w:rPr>
      </w:pPr>
    </w:p>
    <w:p>
      <w:pPr>
        <w:ind w:left="465" w:right="3320"/>
        <w:spacing w:after="0" w:line="375" w:lineRule="auto"/>
        <w:rPr>
          <w:sz w:val="20"/>
          <w:szCs w:val="20"/>
          <w:color w:val="auto"/>
        </w:rPr>
      </w:pPr>
      <w:r>
        <w:rPr>
          <w:rFonts w:ascii="Courier New" w:cs="Courier New" w:eastAsia="Courier New" w:hAnsi="Courier New"/>
          <w:sz w:val="15"/>
          <w:szCs w:val="15"/>
          <w:color w:val="auto"/>
        </w:rPr>
        <w:t>As at December 31, 1998, the Company has signed contracts for the purchase of machinery and equipment for a total of $9,524.</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16. RELATED COMPANY TRANSACTIONS:</w:t>
      </w:r>
    </w:p>
    <w:p>
      <w:pPr>
        <w:spacing w:after="0" w:line="185" w:lineRule="exact"/>
        <w:rPr>
          <w:sz w:val="20"/>
          <w:szCs w:val="20"/>
          <w:color w:val="auto"/>
        </w:rPr>
      </w:pPr>
    </w:p>
    <w:p>
      <w:pPr>
        <w:ind w:left="465" w:right="3680"/>
        <w:spacing w:after="0" w:line="377" w:lineRule="auto"/>
        <w:rPr>
          <w:sz w:val="20"/>
          <w:szCs w:val="20"/>
          <w:color w:val="auto"/>
        </w:rPr>
      </w:pPr>
      <w:r>
        <w:rPr>
          <w:rFonts w:ascii="Courier New" w:cs="Courier New" w:eastAsia="Courier New" w:hAnsi="Courier New"/>
          <w:sz w:val="15"/>
          <w:szCs w:val="15"/>
          <w:color w:val="auto"/>
        </w:rPr>
        <w:t>During the year, the Company concluded the following transactions with related companies:</w:t>
      </w:r>
    </w:p>
    <w:p>
      <w:pPr>
        <w:spacing w:after="0" w:line="35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5725"/>
        <w:spacing w:after="0"/>
        <w:tabs>
          <w:tab w:leader="none" w:pos="7265" w:val="left"/>
          <w:tab w:leader="none" w:pos="884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Expenses paid to an affiliated company with</w:t>
            </w:r>
          </w:p>
        </w:tc>
        <w:tc>
          <w:tcPr>
            <w:tcW w:w="60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13,720</w:t>
            </w:r>
          </w:p>
        </w:tc>
        <w:tc>
          <w:tcPr>
            <w:tcW w:w="5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12,236</w:t>
            </w:r>
          </w:p>
        </w:tc>
        <w:tc>
          <w:tcPr>
            <w:tcW w:w="5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13,570</w:t>
            </w:r>
          </w:p>
        </w:tc>
        <w:tc>
          <w:tcPr>
            <w:tcW w:w="0" w:type="dxa"/>
            <w:vAlign w:val="bottom"/>
          </w:tcPr>
          <w:p>
            <w:pPr>
              <w:spacing w:after="0"/>
              <w:rPr>
                <w:sz w:val="1"/>
                <w:szCs w:val="1"/>
                <w:color w:val="auto"/>
              </w:rPr>
            </w:pPr>
          </w:p>
        </w:tc>
      </w:tr>
      <w:tr>
        <w:trPr>
          <w:trHeight w:val="177"/>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respect to staff and others</w:t>
            </w:r>
          </w:p>
        </w:tc>
        <w:tc>
          <w:tcPr>
            <w:tcW w:w="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200" w:type="dxa"/>
            <w:vAlign w:val="bottom"/>
          </w:tcPr>
          <w:p>
            <w:pPr>
              <w:spacing w:after="0"/>
              <w:rPr>
                <w:sz w:val="20"/>
                <w:szCs w:val="20"/>
                <w:color w:val="auto"/>
              </w:rPr>
            </w:pPr>
            <w:r>
              <w:rPr>
                <w:rFonts w:ascii="Courier New" w:cs="Courier New" w:eastAsia="Courier New" w:hAnsi="Courier New"/>
                <w:sz w:val="15"/>
                <w:szCs w:val="15"/>
                <w:color w:val="auto"/>
              </w:rPr>
              <w:t>Management fees</w:t>
            </w:r>
          </w:p>
        </w:tc>
        <w:tc>
          <w:tcPr>
            <w:tcW w:w="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375</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905</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465" w:right="3320"/>
        <w:spacing w:after="0" w:line="377" w:lineRule="auto"/>
        <w:rPr>
          <w:sz w:val="20"/>
          <w:szCs w:val="20"/>
          <w:color w:val="auto"/>
        </w:rPr>
      </w:pPr>
      <w:r>
        <w:rPr>
          <w:rFonts w:ascii="Courier New" w:cs="Courier New" w:eastAsia="Courier New" w:hAnsi="Courier New"/>
          <w:sz w:val="15"/>
          <w:szCs w:val="15"/>
          <w:color w:val="auto"/>
        </w:rPr>
        <w:t>Management is of the opinion that these transactions were undertaken under the same terms and conditions as transactions with non-related parties.</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605"/>
          </w:cols>
          <w:pgMar w:left="235" w:top="800" w:right="1059" w:bottom="1440" w:gutter="0" w:footer="0" w:header="0"/>
        </w:sectPr>
      </w:pPr>
    </w:p>
    <w:bookmarkStart w:id="27" w:name="page28"/>
    <w:bookmarkEnd w:id="27"/>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465" w:hanging="465"/>
        <w:spacing w:after="0"/>
        <w:tabs>
          <w:tab w:leader="none" w:pos="46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(LOSS) PER SHARE:</w:t>
      </w:r>
    </w:p>
    <w:p>
      <w:pPr>
        <w:spacing w:after="0" w:line="184" w:lineRule="exact"/>
        <w:rPr>
          <w:rFonts w:ascii="Courier New" w:cs="Courier New" w:eastAsia="Courier New" w:hAnsi="Courier New"/>
          <w:sz w:val="15"/>
          <w:szCs w:val="15"/>
          <w:color w:val="auto"/>
        </w:rPr>
      </w:pPr>
    </w:p>
    <w:p>
      <w:pPr>
        <w:ind w:left="465" w:right="2939"/>
        <w:spacing w:after="0" w:line="27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net earnings (loss) per share is calculated based on the net earnings (net loss) for the year of $33,305 (($2,395) in 1997 and $10,646 in 1996) adjusted for the interest on equity component of convertible debentures of $836 ($606 in 1997), divided by the weighted average number of Class A and B shares outstanding during the year, 15,832,332 (15,832,332 in 1997 and 15,832,332 in 1996).</w:t>
      </w:r>
    </w:p>
    <w:p>
      <w:pPr>
        <w:spacing w:after="0" w:line="69" w:lineRule="exact"/>
        <w:rPr>
          <w:rFonts w:ascii="Courier New" w:cs="Courier New" w:eastAsia="Courier New" w:hAnsi="Courier New"/>
          <w:sz w:val="15"/>
          <w:szCs w:val="15"/>
          <w:color w:val="auto"/>
        </w:rPr>
      </w:pPr>
    </w:p>
    <w:p>
      <w:pPr>
        <w:ind w:left="465" w:right="2839"/>
        <w:spacing w:after="0" w:line="28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fully diluted net earnings (loss) per share is calculated using the weighted average number of Class B shares which would have been outstanding assuming the additional shares had been issued at the beginning of the year or on the date of issue of the convertible debentures and the outstanding stock options.</w:t>
      </w:r>
    </w:p>
    <w:p>
      <w:pPr>
        <w:spacing w:after="0" w:line="66"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84"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rate risk:</w:t>
      </w:r>
    </w:p>
    <w:p>
      <w:pPr>
        <w:spacing w:after="0" w:line="184" w:lineRule="exact"/>
        <w:rPr>
          <w:rFonts w:ascii="Courier New" w:cs="Courier New" w:eastAsia="Courier New" w:hAnsi="Courier New"/>
          <w:sz w:val="15"/>
          <w:szCs w:val="15"/>
          <w:color w:val="auto"/>
        </w:rPr>
      </w:pPr>
    </w:p>
    <w:p>
      <w:pPr>
        <w:ind w:left="825" w:right="28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realizes a significant portion of its sales in foreign currencies and enters into various types of foreign exchange contracts to manage its foreign exchange risk. The Company does not hold or issue financial instruments for trading purposes. At December 31, 1998, the Company held US$31,250 in forward contracts at an average rate of</w:t>
      </w:r>
    </w:p>
    <w:p>
      <w:pPr>
        <w:spacing w:after="0" w:line="1" w:lineRule="exact"/>
        <w:rPr>
          <w:rFonts w:ascii="Courier New" w:cs="Courier New" w:eastAsia="Courier New" w:hAnsi="Courier New"/>
          <w:sz w:val="15"/>
          <w:szCs w:val="15"/>
          <w:color w:val="auto"/>
        </w:rPr>
      </w:pPr>
    </w:p>
    <w:p>
      <w:pPr>
        <w:ind w:left="825" w:right="3019"/>
        <w:spacing w:after="0" w:line="3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1.5415 expiring at various dates to May 1999. The market rate for the forward contracts at December 31, 1998 is 1.5333.</w:t>
      </w:r>
    </w:p>
    <w:p>
      <w:pPr>
        <w:spacing w:after="0" w:line="25"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risk:</w:t>
      </w:r>
    </w:p>
    <w:p>
      <w:pPr>
        <w:spacing w:after="0" w:line="184" w:lineRule="exact"/>
        <w:rPr>
          <w:rFonts w:ascii="Courier New" w:cs="Courier New" w:eastAsia="Courier New" w:hAnsi="Courier New"/>
          <w:sz w:val="15"/>
          <w:szCs w:val="15"/>
          <w:color w:val="auto"/>
        </w:rPr>
      </w:pPr>
    </w:p>
    <w:p>
      <w:pPr>
        <w:ind w:left="825" w:right="2939"/>
        <w:spacing w:after="0" w:line="2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have a significant exposure to any individual customer or counter party. The Company reviews new customers' credit history before extending credit and conducts regular reviews of its customers' credit performance. The Company may require payment guarantees, such as letters of credit or obtain credit insurance coverage. An allowance for doubtful accounts is established based upon factors surrounding the credit risk of specific customers, historical trends and other information.</w:t>
      </w:r>
    </w:p>
    <w:p>
      <w:pPr>
        <w:spacing w:after="0" w:line="79" w:lineRule="exact"/>
        <w:rPr>
          <w:rFonts w:ascii="Courier New" w:cs="Courier New" w:eastAsia="Courier New" w:hAnsi="Courier New"/>
          <w:sz w:val="15"/>
          <w:szCs w:val="15"/>
          <w:color w:val="auto"/>
        </w:rPr>
      </w:pPr>
    </w:p>
    <w:p>
      <w:pPr>
        <w:ind w:left="825" w:right="2839"/>
        <w:spacing w:after="0" w:line="28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short-term investments are mainly with various financial institutions with strong credit ratings and it has established guidelines relative to diversification and maturities to maintain safety and liquidity. The Company has not experienced any losses on its investments.</w:t>
      </w:r>
    </w:p>
    <w:p>
      <w:pPr>
        <w:spacing w:after="0" w:line="24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5" w:top="622" w:right="1440" w:bottom="1440" w:gutter="0" w:footer="0" w:header="0"/>
        </w:sectPr>
      </w:pPr>
    </w:p>
    <w:bookmarkStart w:id="28" w:name="page29"/>
    <w:bookmarkEnd w:id="28"/>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65" w:hanging="365"/>
        <w:spacing w:after="0"/>
        <w:tabs>
          <w:tab w:leader="none" w:pos="3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(CONTINUED):</w:t>
      </w:r>
    </w:p>
    <w:p>
      <w:pPr>
        <w:spacing w:after="0" w:line="184"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84" w:lineRule="exact"/>
        <w:rPr>
          <w:rFonts w:ascii="Courier New" w:cs="Courier New" w:eastAsia="Courier New" w:hAnsi="Courier New"/>
          <w:sz w:val="15"/>
          <w:szCs w:val="15"/>
          <w:color w:val="auto"/>
        </w:rPr>
      </w:pPr>
    </w:p>
    <w:p>
      <w:pPr>
        <w:ind w:left="825" w:right="3019"/>
        <w:spacing w:after="0" w:line="28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carrying amount of cash, short-term investments, accounts receivable, bank loan and accounts payable approximate the fair value because of the near-term maturity of those instruments; similarly, long-term investments and variable rate debt have a carrying value which approximates their fair value.</w:t>
      </w:r>
    </w:p>
    <w:p>
      <w:pPr>
        <w:spacing w:after="0" w:line="66" w:lineRule="exact"/>
        <w:rPr>
          <w:rFonts w:ascii="Courier New" w:cs="Courier New" w:eastAsia="Courier New" w:hAnsi="Courier New"/>
          <w:sz w:val="15"/>
          <w:szCs w:val="15"/>
          <w:color w:val="auto"/>
        </w:rPr>
      </w:pPr>
    </w:p>
    <w:p>
      <w:pPr>
        <w:ind w:left="825" w:right="283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long-term debt was $173,118 (1997, $122,966) as at December 31, 1998 compared to a book value of $171,799 (1997, $122,608). The fair value has been determined by discounting the future cash flows at the rate currently available for debt of similar terms (note 10).</w:t>
      </w:r>
    </w:p>
    <w:p>
      <w:pPr>
        <w:spacing w:after="0" w:line="257"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 management:</w:t>
      </w:r>
    </w:p>
    <w:p>
      <w:pPr>
        <w:spacing w:after="0" w:line="184" w:lineRule="exact"/>
        <w:rPr>
          <w:rFonts w:ascii="Courier New" w:cs="Courier New" w:eastAsia="Courier New" w:hAnsi="Courier New"/>
          <w:sz w:val="15"/>
          <w:szCs w:val="15"/>
          <w:color w:val="auto"/>
        </w:rPr>
      </w:pPr>
    </w:p>
    <w:p>
      <w:pPr>
        <w:ind w:left="825" w:right="3219"/>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entered into an interest rate swap on its US denominated debt which fixed the interest rate on the debt with the expiring of the debt in 2005.</w:t>
      </w:r>
    </w:p>
    <w:p>
      <w:pPr>
        <w:spacing w:after="0" w:line="42" w:lineRule="exact"/>
        <w:rPr>
          <w:rFonts w:ascii="Courier New" w:cs="Courier New" w:eastAsia="Courier New" w:hAnsi="Courier New"/>
          <w:sz w:val="15"/>
          <w:szCs w:val="15"/>
          <w:color w:val="auto"/>
        </w:rPr>
      </w:pPr>
    </w:p>
    <w:p>
      <w:pPr>
        <w:ind w:left="825" w:right="2839"/>
        <w:spacing w:after="0" w:line="3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swap, the Company pays a fixed base rate of 5.8133% on 75% of the outstanding principal amount of the US debt from time to time.</w:t>
      </w:r>
    </w:p>
    <w:p>
      <w:pPr>
        <w:spacing w:after="0" w:line="1"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SEGMENTED INFORMATION:</w:t>
      </w:r>
    </w:p>
    <w:p>
      <w:pPr>
        <w:spacing w:after="0" w:line="185" w:lineRule="exact"/>
        <w:rPr>
          <w:sz w:val="20"/>
          <w:szCs w:val="20"/>
          <w:color w:val="auto"/>
        </w:rPr>
      </w:pPr>
    </w:p>
    <w:p>
      <w:pPr>
        <w:jc w:val="both"/>
        <w:ind w:left="465" w:right="3019"/>
        <w:spacing w:after="0" w:line="314" w:lineRule="auto"/>
        <w:rPr>
          <w:sz w:val="20"/>
          <w:szCs w:val="20"/>
          <w:color w:val="auto"/>
        </w:rPr>
      </w:pPr>
      <w:r>
        <w:rPr>
          <w:rFonts w:ascii="Courier New" w:cs="Courier New" w:eastAsia="Courier New" w:hAnsi="Courier New"/>
          <w:sz w:val="15"/>
          <w:szCs w:val="15"/>
          <w:color w:val="auto"/>
        </w:rPr>
        <w:t>The Company operates three Oriented Strand Board "OSB" plants as well as two sawmills. Their products are used into the residential and commercial construction sector and for repairs and renovations.</w:t>
      </w:r>
    </w:p>
    <w:p>
      <w:pPr>
        <w:spacing w:after="0" w:line="43" w:lineRule="exact"/>
        <w:rPr>
          <w:sz w:val="20"/>
          <w:szCs w:val="20"/>
          <w:color w:val="auto"/>
        </w:rPr>
      </w:pPr>
    </w:p>
    <w:p>
      <w:pPr>
        <w:ind w:left="465" w:right="3019"/>
        <w:spacing w:after="0" w:line="293" w:lineRule="auto"/>
        <w:rPr>
          <w:sz w:val="20"/>
          <w:szCs w:val="20"/>
          <w:color w:val="auto"/>
        </w:rPr>
      </w:pPr>
      <w:r>
        <w:rPr>
          <w:rFonts w:ascii="Courier New" w:cs="Courier New" w:eastAsia="Courier New" w:hAnsi="Courier New"/>
          <w:sz w:val="15"/>
          <w:szCs w:val="15"/>
          <w:color w:val="auto"/>
        </w:rPr>
        <w:t>Four business segments do not meet the quantitative criteria for separate disclosure. These sectors are the sale of forest products, helicopter transportation, manufacturing part of optics and aeronautical lighting equipment and head office.</w:t>
      </w:r>
    </w:p>
    <w:p>
      <w:pPr>
        <w:spacing w:after="0" w:line="57" w:lineRule="exact"/>
        <w:rPr>
          <w:sz w:val="20"/>
          <w:szCs w:val="20"/>
          <w:color w:val="auto"/>
        </w:rPr>
      </w:pPr>
    </w:p>
    <w:p>
      <w:pPr>
        <w:ind w:left="465" w:right="3299"/>
        <w:spacing w:after="0" w:line="375" w:lineRule="auto"/>
        <w:rPr>
          <w:sz w:val="20"/>
          <w:szCs w:val="20"/>
          <w:color w:val="auto"/>
        </w:rPr>
      </w:pPr>
      <w:r>
        <w:rPr>
          <w:rFonts w:ascii="Courier New" w:cs="Courier New" w:eastAsia="Courier New" w:hAnsi="Courier New"/>
          <w:sz w:val="15"/>
          <w:szCs w:val="15"/>
          <w:color w:val="auto"/>
        </w:rPr>
        <w:t>Accounting principles used for segment reporting are the same as those described in the accounting policies section.</w:t>
      </w:r>
    </w:p>
    <w:p>
      <w:pPr>
        <w:spacing w:after="0" w:line="1" w:lineRule="exact"/>
        <w:rPr>
          <w:sz w:val="20"/>
          <w:szCs w:val="20"/>
          <w:color w:val="auto"/>
        </w:rPr>
      </w:pPr>
    </w:p>
    <w:p>
      <w:pPr>
        <w:jc w:val="both"/>
        <w:ind w:left="465" w:right="2839"/>
        <w:spacing w:after="0" w:line="314" w:lineRule="auto"/>
        <w:rPr>
          <w:sz w:val="20"/>
          <w:szCs w:val="20"/>
          <w:color w:val="auto"/>
        </w:rPr>
      </w:pPr>
      <w:r>
        <w:rPr>
          <w:rFonts w:ascii="Courier New" w:cs="Courier New" w:eastAsia="Courier New" w:hAnsi="Courier New"/>
          <w:sz w:val="15"/>
          <w:szCs w:val="15"/>
          <w:color w:val="auto"/>
        </w:rPr>
        <w:t>The Company assesses the performance based on operating income before taxes and minority interest, excluding non recurring gains and losses and foreign exchange gains or losses.</w:t>
      </w:r>
    </w:p>
    <w:p>
      <w:pPr>
        <w:spacing w:after="0" w:line="43"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The Company is organized along its products lines.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5" w:top="80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SEGMENTED INFORMATION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1998</w:t>
      </w:r>
    </w:p>
    <w:p>
      <w:pPr>
        <w:spacing w:after="0" w:line="1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tbl>
      <w:tblPr>
        <w:tblLayout w:type="fixed"/>
        <w:tblInd w:w="442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7"/>
        </w:trPr>
        <w:tc>
          <w:tcPr>
            <w:tcW w:w="600" w:type="dxa"/>
            <w:vAlign w:val="bottom"/>
            <w:vMerge w:val="restart"/>
          </w:tcPr>
          <w:p>
            <w:pPr>
              <w:spacing w:after="0"/>
              <w:rPr>
                <w:sz w:val="20"/>
                <w:szCs w:val="20"/>
                <w:color w:val="auto"/>
              </w:rPr>
            </w:pPr>
            <w:r>
              <w:rPr>
                <w:rFonts w:ascii="Courier New" w:cs="Courier New" w:eastAsia="Courier New" w:hAnsi="Courier New"/>
                <w:sz w:val="15"/>
                <w:szCs w:val="15"/>
                <w:color w:val="auto"/>
              </w:rPr>
              <w:t>OSB</w:t>
            </w:r>
          </w:p>
        </w:tc>
        <w:tc>
          <w:tcPr>
            <w:tcW w:w="11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Lumber</w:t>
            </w:r>
          </w:p>
        </w:tc>
        <w:tc>
          <w:tcPr>
            <w:tcW w:w="26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All others   Elimination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0" w:type="dxa"/>
            <w:vAlign w:val="bottom"/>
          </w:tcPr>
          <w:p>
            <w:pPr>
              <w:spacing w:after="0"/>
              <w:rPr>
                <w:sz w:val="1"/>
                <w:szCs w:val="1"/>
                <w:color w:val="auto"/>
              </w:rPr>
            </w:pPr>
          </w:p>
        </w:tc>
      </w:tr>
      <w:tr>
        <w:trPr>
          <w:trHeight w:val="205"/>
        </w:trPr>
        <w:tc>
          <w:tcPr>
            <w:tcW w:w="6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680" w:type="dxa"/>
            <w:vAlign w:val="bottom"/>
            <w:vMerge w:val="continue"/>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0" w:type="dxa"/>
            <w:vAlign w:val="bottom"/>
          </w:tcPr>
          <w:p>
            <w:pPr>
              <w:spacing w:after="0"/>
              <w:rPr>
                <w:sz w:val="1"/>
                <w:szCs w:val="1"/>
                <w:color w:val="auto"/>
              </w:rPr>
            </w:pPr>
          </w:p>
        </w:tc>
      </w:tr>
    </w:tbl>
    <w:p>
      <w:pPr>
        <w:ind w:left="360"/>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Sales from external customers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197,603</w:t>
            </w:r>
          </w:p>
        </w:tc>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23,387</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7,746</w:t>
            </w:r>
          </w:p>
        </w:tc>
        <w:tc>
          <w:tcPr>
            <w:tcW w:w="3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228,736</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sales</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13,698</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(13,698)</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revenues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638</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785</w:t>
            </w:r>
          </w:p>
        </w:tc>
        <w:tc>
          <w:tcPr>
            <w:tcW w:w="360" w:type="dxa"/>
            <w:vAlign w:val="bottom"/>
          </w:tcPr>
          <w:p>
            <w:pPr>
              <w:spacing w:after="0"/>
              <w:rPr>
                <w:sz w:val="24"/>
                <w:szCs w:val="24"/>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1,423</w:t>
            </w: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earnings before income</w:t>
            </w: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taxes, depreciation, interest</w:t>
            </w:r>
          </w:p>
        </w:tc>
        <w:tc>
          <w:tcPr>
            <w:tcW w:w="13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69,099</w:t>
            </w:r>
          </w:p>
        </w:tc>
        <w:tc>
          <w:tcPr>
            <w:tcW w:w="360" w:type="dxa"/>
            <w:vAlign w:val="bottom"/>
          </w:tcPr>
          <w:p>
            <w:pPr>
              <w:spacing w:after="0"/>
              <w:rPr>
                <w:sz w:val="15"/>
                <w:szCs w:val="15"/>
                <w:color w:val="auto"/>
              </w:rPr>
            </w:pPr>
          </w:p>
        </w:tc>
        <w:tc>
          <w:tcPr>
            <w:tcW w:w="1020" w:type="dxa"/>
            <w:vAlign w:val="bottom"/>
            <w:vMerge w:val="restart"/>
          </w:tcPr>
          <w:p>
            <w:pPr>
              <w:jc w:val="center"/>
              <w:ind w:left="103"/>
              <w:spacing w:after="0"/>
              <w:rPr>
                <w:sz w:val="20"/>
                <w:szCs w:val="20"/>
                <w:color w:val="auto"/>
              </w:rPr>
            </w:pPr>
            <w:r>
              <w:rPr>
                <w:rFonts w:ascii="Courier New" w:cs="Courier New" w:eastAsia="Courier New" w:hAnsi="Courier New"/>
                <w:sz w:val="15"/>
                <w:szCs w:val="15"/>
                <w:color w:val="auto"/>
              </w:rPr>
              <w:t>666</w:t>
            </w:r>
          </w:p>
        </w:tc>
        <w:tc>
          <w:tcPr>
            <w:tcW w:w="500" w:type="dxa"/>
            <w:vAlign w:val="bottom"/>
          </w:tcPr>
          <w:p>
            <w:pPr>
              <w:spacing w:after="0"/>
              <w:rPr>
                <w:sz w:val="15"/>
                <w:szCs w:val="15"/>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11,747</w:t>
            </w:r>
          </w:p>
        </w:tc>
        <w:tc>
          <w:tcPr>
            <w:tcW w:w="360" w:type="dxa"/>
            <w:vAlign w:val="bottom"/>
          </w:tcPr>
          <w:p>
            <w:pPr>
              <w:spacing w:after="0"/>
              <w:rPr>
                <w:sz w:val="15"/>
                <w:szCs w:val="15"/>
                <w:color w:val="auto"/>
              </w:rPr>
            </w:pP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668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82,180</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and minority interest</w:t>
            </w:r>
          </w:p>
        </w:tc>
        <w:tc>
          <w:tcPr>
            <w:tcW w:w="130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amortization of fixed</w:t>
            </w:r>
          </w:p>
        </w:tc>
        <w:tc>
          <w:tcPr>
            <w:tcW w:w="13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12,039</w:t>
            </w:r>
          </w:p>
        </w:tc>
        <w:tc>
          <w:tcPr>
            <w:tcW w:w="360" w:type="dxa"/>
            <w:vAlign w:val="bottom"/>
          </w:tcPr>
          <w:p>
            <w:pPr>
              <w:spacing w:after="0"/>
              <w:rPr>
                <w:sz w:val="23"/>
                <w:szCs w:val="23"/>
                <w:color w:val="auto"/>
              </w:rPr>
            </w:pP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1,988</w:t>
            </w:r>
          </w:p>
        </w:tc>
        <w:tc>
          <w:tcPr>
            <w:tcW w:w="500" w:type="dxa"/>
            <w:vAlign w:val="bottom"/>
          </w:tcPr>
          <w:p>
            <w:pPr>
              <w:spacing w:after="0"/>
              <w:rPr>
                <w:sz w:val="23"/>
                <w:szCs w:val="23"/>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1,975</w:t>
            </w:r>
          </w:p>
        </w:tc>
        <w:tc>
          <w:tcPr>
            <w:tcW w:w="360" w:type="dxa"/>
            <w:vAlign w:val="bottom"/>
          </w:tcPr>
          <w:p>
            <w:pPr>
              <w:spacing w:after="0"/>
              <w:rPr>
                <w:sz w:val="23"/>
                <w:szCs w:val="23"/>
                <w:color w:val="auto"/>
              </w:rPr>
            </w:pP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262</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16,264</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assets and other assets</w:t>
            </w:r>
          </w:p>
        </w:tc>
        <w:tc>
          <w:tcPr>
            <w:tcW w:w="130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interest revenues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531</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4,624</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(5,155)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2,820</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11,717</w:t>
            </w:r>
          </w:p>
        </w:tc>
        <w:tc>
          <w:tcPr>
            <w:tcW w:w="360" w:type="dxa"/>
            <w:vAlign w:val="bottom"/>
          </w:tcPr>
          <w:p>
            <w:pPr>
              <w:spacing w:after="0"/>
              <w:rPr>
                <w:sz w:val="24"/>
                <w:szCs w:val="24"/>
                <w:color w:val="auto"/>
              </w:rPr>
            </w:pP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14,537</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interest expenses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4,624</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531</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(5,155)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253,759</w:t>
            </w:r>
          </w:p>
        </w:tc>
        <w:tc>
          <w:tcPr>
            <w:tcW w:w="36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35,569</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34,827</w:t>
            </w:r>
          </w:p>
        </w:tc>
        <w:tc>
          <w:tcPr>
            <w:tcW w:w="360" w:type="dxa"/>
            <w:vAlign w:val="bottom"/>
          </w:tcPr>
          <w:p>
            <w:pPr>
              <w:spacing w:after="0"/>
              <w:rPr>
                <w:sz w:val="24"/>
                <w:szCs w:val="24"/>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38,315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362,470</w:t>
            </w: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acquisition of capital</w:t>
            </w:r>
          </w:p>
        </w:tc>
        <w:tc>
          <w:tcPr>
            <w:tcW w:w="13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7,357</w:t>
            </w:r>
          </w:p>
        </w:tc>
        <w:tc>
          <w:tcPr>
            <w:tcW w:w="360" w:type="dxa"/>
            <w:vAlign w:val="bottom"/>
          </w:tcPr>
          <w:p>
            <w:pPr>
              <w:spacing w:after="0"/>
              <w:rPr>
                <w:sz w:val="23"/>
                <w:szCs w:val="23"/>
                <w:color w:val="auto"/>
              </w:rPr>
            </w:pPr>
          </w:p>
        </w:tc>
        <w:tc>
          <w:tcPr>
            <w:tcW w:w="1020" w:type="dxa"/>
            <w:vAlign w:val="bottom"/>
            <w:vMerge w:val="restart"/>
          </w:tcPr>
          <w:p>
            <w:pPr>
              <w:jc w:val="center"/>
              <w:ind w:left="103"/>
              <w:spacing w:after="0"/>
              <w:rPr>
                <w:sz w:val="20"/>
                <w:szCs w:val="20"/>
                <w:color w:val="auto"/>
              </w:rPr>
            </w:pPr>
            <w:r>
              <w:rPr>
                <w:rFonts w:ascii="Courier New" w:cs="Courier New" w:eastAsia="Courier New" w:hAnsi="Courier New"/>
                <w:sz w:val="15"/>
                <w:szCs w:val="15"/>
                <w:color w:val="auto"/>
              </w:rPr>
              <w:t>947</w:t>
            </w:r>
          </w:p>
        </w:tc>
        <w:tc>
          <w:tcPr>
            <w:tcW w:w="500" w:type="dxa"/>
            <w:vAlign w:val="bottom"/>
          </w:tcPr>
          <w:p>
            <w:pPr>
              <w:spacing w:after="0"/>
              <w:rPr>
                <w:sz w:val="23"/>
                <w:szCs w:val="23"/>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618</w:t>
            </w:r>
          </w:p>
        </w:tc>
        <w:tc>
          <w:tcPr>
            <w:tcW w:w="360" w:type="dxa"/>
            <w:vAlign w:val="bottom"/>
          </w:tcPr>
          <w:p>
            <w:pPr>
              <w:spacing w:after="0"/>
              <w:rPr>
                <w:sz w:val="23"/>
                <w:szCs w:val="23"/>
                <w:color w:val="auto"/>
              </w:rPr>
            </w:pPr>
          </w:p>
        </w:tc>
        <w:tc>
          <w:tcPr>
            <w:tcW w:w="106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8,922</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assets and other assets</w:t>
            </w:r>
          </w:p>
        </w:tc>
        <w:tc>
          <w:tcPr>
            <w:tcW w:w="130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340"/>
          </w:cols>
          <w:pgMar w:left="240" w:top="1154" w:right="31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SEGMENTED INFORMATION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1997</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4420" w:type="dxa"/>
        <w:tblCellMar>
          <w:top w:w="0" w:type="dxa"/>
          <w:left w:w="0" w:type="dxa"/>
          <w:bottom w:w="0" w:type="dxa"/>
          <w:right w:w="0" w:type="dxa"/>
        </w:tblCellMar>
      </w:tblPr>
      <w:tr>
        <w:trPr>
          <w:trHeight w:val="177"/>
        </w:trPr>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7"/>
        </w:trPr>
        <w:tc>
          <w:tcPr>
            <w:tcW w:w="600" w:type="dxa"/>
            <w:vAlign w:val="bottom"/>
            <w:vMerge w:val="restart"/>
          </w:tcPr>
          <w:p>
            <w:pPr>
              <w:spacing w:after="0"/>
              <w:rPr>
                <w:sz w:val="20"/>
                <w:szCs w:val="20"/>
                <w:color w:val="auto"/>
              </w:rPr>
            </w:pPr>
            <w:r>
              <w:rPr>
                <w:rFonts w:ascii="Courier New" w:cs="Courier New" w:eastAsia="Courier New" w:hAnsi="Courier New"/>
                <w:sz w:val="15"/>
                <w:szCs w:val="15"/>
                <w:color w:val="auto"/>
              </w:rPr>
              <w:t>OSB</w:t>
            </w:r>
          </w:p>
        </w:tc>
        <w:tc>
          <w:tcPr>
            <w:tcW w:w="11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Lumber</w:t>
            </w:r>
          </w:p>
        </w:tc>
        <w:tc>
          <w:tcPr>
            <w:tcW w:w="26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All others   Elimination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0" w:type="dxa"/>
            <w:vAlign w:val="bottom"/>
          </w:tcPr>
          <w:p>
            <w:pPr>
              <w:spacing w:after="0"/>
              <w:rPr>
                <w:sz w:val="1"/>
                <w:szCs w:val="1"/>
                <w:color w:val="auto"/>
              </w:rPr>
            </w:pPr>
          </w:p>
        </w:tc>
      </w:tr>
      <w:tr>
        <w:trPr>
          <w:trHeight w:val="260"/>
        </w:trPr>
        <w:tc>
          <w:tcPr>
            <w:tcW w:w="6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680" w:type="dxa"/>
            <w:vAlign w:val="bottom"/>
            <w:vMerge w:val="continue"/>
          </w:tcPr>
          <w:p>
            <w:pPr>
              <w:spacing w:after="0"/>
              <w:rPr>
                <w:sz w:val="22"/>
                <w:szCs w:val="22"/>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Sales from external customers</w:t>
            </w:r>
          </w:p>
        </w:tc>
        <w:tc>
          <w:tcPr>
            <w:tcW w:w="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88,508</w:t>
            </w:r>
          </w:p>
        </w:tc>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26,105</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6,135</w:t>
            </w:r>
          </w:p>
        </w:tc>
        <w:tc>
          <w:tcPr>
            <w:tcW w:w="4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120,748</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sales</w:t>
            </w:r>
          </w:p>
        </w:tc>
        <w:tc>
          <w:tcPr>
            <w:tcW w:w="420" w:type="dxa"/>
            <w:vAlign w:val="bottom"/>
          </w:tcPr>
          <w:p>
            <w:pPr>
              <w:spacing w:after="0"/>
              <w:rPr>
                <w:sz w:val="24"/>
                <w:szCs w:val="24"/>
                <w:color w:val="auto"/>
              </w:rPr>
            </w:pPr>
          </w:p>
        </w:tc>
        <w:tc>
          <w:tcPr>
            <w:tcW w:w="8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5,047</w:t>
            </w:r>
          </w:p>
        </w:tc>
        <w:tc>
          <w:tcPr>
            <w:tcW w:w="400" w:type="dxa"/>
            <w:vAlign w:val="bottom"/>
          </w:tcPr>
          <w:p>
            <w:pPr>
              <w:spacing w:after="0"/>
              <w:rPr>
                <w:sz w:val="24"/>
                <w:szCs w:val="24"/>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(5,047)</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revenues</w:t>
            </w:r>
          </w:p>
        </w:tc>
        <w:tc>
          <w:tcPr>
            <w:tcW w:w="42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328</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312</w:t>
            </w:r>
          </w:p>
        </w:tc>
        <w:tc>
          <w:tcPr>
            <w:tcW w:w="400" w:type="dxa"/>
            <w:vAlign w:val="bottom"/>
          </w:tcPr>
          <w:p>
            <w:pPr>
              <w:spacing w:after="0"/>
              <w:rPr>
                <w:sz w:val="24"/>
                <w:szCs w:val="24"/>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earnings before income</w:t>
            </w: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taxes, depreciation, interest</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and minority interest</w:t>
            </w:r>
          </w:p>
        </w:tc>
        <w:tc>
          <w:tcPr>
            <w:tcW w:w="420" w:type="dxa"/>
            <w:vAlign w:val="bottom"/>
          </w:tcPr>
          <w:p>
            <w:pPr>
              <w:spacing w:after="0"/>
              <w:rPr>
                <w:sz w:val="22"/>
                <w:szCs w:val="22"/>
                <w:color w:val="auto"/>
              </w:rPr>
            </w:pPr>
          </w:p>
        </w:tc>
        <w:tc>
          <w:tcPr>
            <w:tcW w:w="88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4,128</w:t>
            </w:r>
          </w:p>
        </w:tc>
        <w:tc>
          <w:tcPr>
            <w:tcW w:w="360" w:type="dxa"/>
            <w:vAlign w:val="bottom"/>
          </w:tcPr>
          <w:p>
            <w:pPr>
              <w:spacing w:after="0"/>
              <w:rPr>
                <w:sz w:val="22"/>
                <w:szCs w:val="22"/>
                <w:color w:val="auto"/>
              </w:rPr>
            </w:pP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3,230</w:t>
            </w:r>
          </w:p>
        </w:tc>
        <w:tc>
          <w:tcPr>
            <w:tcW w:w="500" w:type="dxa"/>
            <w:vAlign w:val="bottom"/>
          </w:tcPr>
          <w:p>
            <w:pPr>
              <w:spacing w:after="0"/>
              <w:rPr>
                <w:sz w:val="22"/>
                <w:szCs w:val="22"/>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2,413</w:t>
            </w:r>
          </w:p>
        </w:tc>
        <w:tc>
          <w:tcPr>
            <w:tcW w:w="400" w:type="dxa"/>
            <w:vAlign w:val="bottom"/>
          </w:tcPr>
          <w:p>
            <w:pPr>
              <w:spacing w:after="0"/>
              <w:rPr>
                <w:sz w:val="22"/>
                <w:szCs w:val="22"/>
                <w:color w:val="auto"/>
              </w:rPr>
            </w:pP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488</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10,259</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amortization of fixed</w:t>
            </w:r>
          </w:p>
        </w:tc>
        <w:tc>
          <w:tcPr>
            <w:tcW w:w="420" w:type="dxa"/>
            <w:vAlign w:val="bottom"/>
          </w:tcPr>
          <w:p>
            <w:pPr>
              <w:spacing w:after="0"/>
              <w:rPr>
                <w:sz w:val="23"/>
                <w:szCs w:val="23"/>
                <w:color w:val="auto"/>
              </w:rPr>
            </w:pPr>
          </w:p>
        </w:tc>
        <w:tc>
          <w:tcPr>
            <w:tcW w:w="88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6,459</w:t>
            </w:r>
          </w:p>
        </w:tc>
        <w:tc>
          <w:tcPr>
            <w:tcW w:w="360" w:type="dxa"/>
            <w:vAlign w:val="bottom"/>
          </w:tcPr>
          <w:p>
            <w:pPr>
              <w:spacing w:after="0"/>
              <w:rPr>
                <w:sz w:val="23"/>
                <w:szCs w:val="23"/>
                <w:color w:val="auto"/>
              </w:rPr>
            </w:pP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2,097</w:t>
            </w:r>
          </w:p>
        </w:tc>
        <w:tc>
          <w:tcPr>
            <w:tcW w:w="500" w:type="dxa"/>
            <w:vAlign w:val="bottom"/>
          </w:tcPr>
          <w:p>
            <w:pPr>
              <w:spacing w:after="0"/>
              <w:rPr>
                <w:sz w:val="23"/>
                <w:szCs w:val="23"/>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1,144</w:t>
            </w:r>
          </w:p>
        </w:tc>
        <w:tc>
          <w:tcPr>
            <w:tcW w:w="400" w:type="dxa"/>
            <w:vAlign w:val="bottom"/>
          </w:tcPr>
          <w:p>
            <w:pPr>
              <w:spacing w:after="0"/>
              <w:rPr>
                <w:sz w:val="23"/>
                <w:szCs w:val="23"/>
                <w:color w:val="auto"/>
              </w:rPr>
            </w:pPr>
          </w:p>
        </w:tc>
        <w:tc>
          <w:tcPr>
            <w:tcW w:w="102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9,700</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assets and other assets</w:t>
            </w:r>
          </w:p>
        </w:tc>
        <w:tc>
          <w:tcPr>
            <w:tcW w:w="42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interest revenues</w:t>
            </w:r>
          </w:p>
        </w:tc>
        <w:tc>
          <w:tcPr>
            <w:tcW w:w="42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1,635</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(1,635)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2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2,452</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934</w:t>
            </w:r>
          </w:p>
        </w:tc>
        <w:tc>
          <w:tcPr>
            <w:tcW w:w="400" w:type="dxa"/>
            <w:vAlign w:val="bottom"/>
          </w:tcPr>
          <w:p>
            <w:pPr>
              <w:spacing w:after="0"/>
              <w:rPr>
                <w:sz w:val="24"/>
                <w:szCs w:val="24"/>
                <w:color w:val="auto"/>
              </w:rPr>
            </w:pP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3,386</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interest expenses</w:t>
            </w:r>
          </w:p>
        </w:tc>
        <w:tc>
          <w:tcPr>
            <w:tcW w:w="42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24"/>
                <w:szCs w:val="24"/>
                <w:color w:val="auto"/>
              </w:rPr>
            </w:pPr>
          </w:p>
        </w:tc>
        <w:tc>
          <w:tcPr>
            <w:tcW w:w="1020" w:type="dxa"/>
            <w:vAlign w:val="bottom"/>
          </w:tcPr>
          <w:p>
            <w:pPr>
              <w:jc w:val="center"/>
              <w:ind w:left="103"/>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1,667</w:t>
            </w:r>
          </w:p>
        </w:tc>
        <w:tc>
          <w:tcPr>
            <w:tcW w:w="400" w:type="dxa"/>
            <w:vAlign w:val="bottom"/>
          </w:tcPr>
          <w:p>
            <w:pPr>
              <w:spacing w:after="0"/>
              <w:rPr>
                <w:sz w:val="24"/>
                <w:szCs w:val="24"/>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(1,688)</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42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262,600</w:t>
            </w:r>
          </w:p>
        </w:tc>
        <w:tc>
          <w:tcPr>
            <w:tcW w:w="36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33,344</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37,510</w:t>
            </w:r>
          </w:p>
        </w:tc>
        <w:tc>
          <w:tcPr>
            <w:tcW w:w="400" w:type="dxa"/>
            <w:vAlign w:val="bottom"/>
          </w:tcPr>
          <w:p>
            <w:pPr>
              <w:spacing w:after="0"/>
              <w:rPr>
                <w:sz w:val="24"/>
                <w:szCs w:val="24"/>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(4,672)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328,782</w:t>
            </w: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acquisition of capital</w:t>
            </w:r>
          </w:p>
        </w:tc>
        <w:tc>
          <w:tcPr>
            <w:tcW w:w="420" w:type="dxa"/>
            <w:vAlign w:val="bottom"/>
          </w:tcPr>
          <w:p>
            <w:pPr>
              <w:spacing w:after="0"/>
              <w:rPr>
                <w:sz w:val="23"/>
                <w:szCs w:val="23"/>
                <w:color w:val="auto"/>
              </w:rPr>
            </w:pPr>
          </w:p>
        </w:tc>
        <w:tc>
          <w:tcPr>
            <w:tcW w:w="88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62,075</w:t>
            </w:r>
          </w:p>
        </w:tc>
        <w:tc>
          <w:tcPr>
            <w:tcW w:w="360" w:type="dxa"/>
            <w:vAlign w:val="bottom"/>
          </w:tcPr>
          <w:p>
            <w:pPr>
              <w:spacing w:after="0"/>
              <w:rPr>
                <w:sz w:val="23"/>
                <w:szCs w:val="23"/>
                <w:color w:val="auto"/>
              </w:rPr>
            </w:pPr>
          </w:p>
        </w:tc>
        <w:tc>
          <w:tcPr>
            <w:tcW w:w="1020" w:type="dxa"/>
            <w:vAlign w:val="bottom"/>
            <w:vMerge w:val="restart"/>
          </w:tcPr>
          <w:p>
            <w:pPr>
              <w:jc w:val="center"/>
              <w:ind w:left="103"/>
              <w:spacing w:after="0"/>
              <w:rPr>
                <w:sz w:val="20"/>
                <w:szCs w:val="20"/>
                <w:color w:val="auto"/>
              </w:rPr>
            </w:pPr>
            <w:r>
              <w:rPr>
                <w:rFonts w:ascii="Courier New" w:cs="Courier New" w:eastAsia="Courier New" w:hAnsi="Courier New"/>
                <w:sz w:val="15"/>
                <w:szCs w:val="15"/>
                <w:color w:val="auto"/>
              </w:rPr>
              <w:t>608</w:t>
            </w:r>
          </w:p>
        </w:tc>
        <w:tc>
          <w:tcPr>
            <w:tcW w:w="500" w:type="dxa"/>
            <w:vAlign w:val="bottom"/>
          </w:tcPr>
          <w:p>
            <w:pPr>
              <w:spacing w:after="0"/>
              <w:rPr>
                <w:sz w:val="23"/>
                <w:szCs w:val="23"/>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804</w:t>
            </w:r>
          </w:p>
        </w:tc>
        <w:tc>
          <w:tcPr>
            <w:tcW w:w="400" w:type="dxa"/>
            <w:vAlign w:val="bottom"/>
          </w:tcPr>
          <w:p>
            <w:pPr>
              <w:spacing w:after="0"/>
              <w:rPr>
                <w:sz w:val="23"/>
                <w:szCs w:val="23"/>
                <w:color w:val="auto"/>
              </w:rPr>
            </w:pP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4,171</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67,658</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assets and other assets</w:t>
            </w:r>
          </w:p>
        </w:tc>
        <w:tc>
          <w:tcPr>
            <w:tcW w:w="42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340"/>
          </w:cols>
          <w:pgMar w:left="240" w:top="800" w:right="31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SEGMENTED INFORMATION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1996</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4420" w:type="dxa"/>
        <w:tblCellMar>
          <w:top w:w="0" w:type="dxa"/>
          <w:left w:w="0" w:type="dxa"/>
          <w:bottom w:w="0" w:type="dxa"/>
          <w:right w:w="0" w:type="dxa"/>
        </w:tblCellMar>
      </w:tblPr>
      <w:tr>
        <w:trPr>
          <w:trHeight w:val="177"/>
        </w:trPr>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7"/>
        </w:trPr>
        <w:tc>
          <w:tcPr>
            <w:tcW w:w="600" w:type="dxa"/>
            <w:vAlign w:val="bottom"/>
            <w:vMerge w:val="restart"/>
          </w:tcPr>
          <w:p>
            <w:pPr>
              <w:spacing w:after="0"/>
              <w:rPr>
                <w:sz w:val="20"/>
                <w:szCs w:val="20"/>
                <w:color w:val="auto"/>
              </w:rPr>
            </w:pPr>
            <w:r>
              <w:rPr>
                <w:rFonts w:ascii="Courier New" w:cs="Courier New" w:eastAsia="Courier New" w:hAnsi="Courier New"/>
                <w:sz w:val="15"/>
                <w:szCs w:val="15"/>
                <w:color w:val="auto"/>
              </w:rPr>
              <w:t>OSB</w:t>
            </w:r>
          </w:p>
        </w:tc>
        <w:tc>
          <w:tcPr>
            <w:tcW w:w="11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Lumber</w:t>
            </w:r>
          </w:p>
        </w:tc>
        <w:tc>
          <w:tcPr>
            <w:tcW w:w="26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All others   Elimination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0" w:type="dxa"/>
            <w:vAlign w:val="bottom"/>
          </w:tcPr>
          <w:p>
            <w:pPr>
              <w:spacing w:after="0"/>
              <w:rPr>
                <w:sz w:val="1"/>
                <w:szCs w:val="1"/>
                <w:color w:val="auto"/>
              </w:rPr>
            </w:pPr>
          </w:p>
        </w:tc>
      </w:tr>
      <w:tr>
        <w:trPr>
          <w:trHeight w:val="260"/>
        </w:trPr>
        <w:tc>
          <w:tcPr>
            <w:tcW w:w="6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680" w:type="dxa"/>
            <w:vAlign w:val="bottom"/>
            <w:vMerge w:val="continue"/>
          </w:tcPr>
          <w:p>
            <w:pPr>
              <w:spacing w:after="0"/>
              <w:rPr>
                <w:sz w:val="22"/>
                <w:szCs w:val="22"/>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statements</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Sales from external customers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127,042</w:t>
            </w:r>
          </w:p>
        </w:tc>
        <w:tc>
          <w:tcPr>
            <w:tcW w:w="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28,418</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3,806</w:t>
            </w:r>
          </w:p>
        </w:tc>
        <w:tc>
          <w:tcPr>
            <w:tcW w:w="3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160,100</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sales</w:t>
            </w:r>
          </w:p>
        </w:tc>
        <w:tc>
          <w:tcPr>
            <w:tcW w:w="13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10,096</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(10,096)</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revenues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2,148</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308</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1,580</w:t>
            </w: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earnings before income</w:t>
            </w: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taxes, depreciation, interest</w:t>
            </w:r>
          </w:p>
        </w:tc>
        <w:tc>
          <w:tcPr>
            <w:tcW w:w="13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35,891</w:t>
            </w:r>
          </w:p>
        </w:tc>
        <w:tc>
          <w:tcPr>
            <w:tcW w:w="36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3,442</w:t>
            </w:r>
          </w:p>
        </w:tc>
        <w:tc>
          <w:tcPr>
            <w:tcW w:w="500" w:type="dxa"/>
            <w:vAlign w:val="bottom"/>
          </w:tcPr>
          <w:p>
            <w:pPr>
              <w:spacing w:after="0"/>
              <w:rPr>
                <w:sz w:val="15"/>
                <w:szCs w:val="15"/>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7,478</w:t>
            </w:r>
          </w:p>
        </w:tc>
        <w:tc>
          <w:tcPr>
            <w:tcW w:w="360" w:type="dxa"/>
            <w:vAlign w:val="bottom"/>
          </w:tcPr>
          <w:p>
            <w:pPr>
              <w:spacing w:after="0"/>
              <w:rPr>
                <w:sz w:val="15"/>
                <w:szCs w:val="15"/>
                <w:color w:val="auto"/>
              </w:rPr>
            </w:pPr>
          </w:p>
        </w:tc>
        <w:tc>
          <w:tcPr>
            <w:tcW w:w="10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(877)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45,934</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and minority interest</w:t>
            </w:r>
          </w:p>
        </w:tc>
        <w:tc>
          <w:tcPr>
            <w:tcW w:w="130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amortization of fixed</w:t>
            </w:r>
          </w:p>
        </w:tc>
        <w:tc>
          <w:tcPr>
            <w:tcW w:w="13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8,146</w:t>
            </w:r>
          </w:p>
        </w:tc>
        <w:tc>
          <w:tcPr>
            <w:tcW w:w="360" w:type="dxa"/>
            <w:vAlign w:val="bottom"/>
          </w:tcPr>
          <w:p>
            <w:pPr>
              <w:spacing w:after="0"/>
              <w:rPr>
                <w:sz w:val="23"/>
                <w:szCs w:val="23"/>
                <w:color w:val="auto"/>
              </w:rPr>
            </w:pP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2,226</w:t>
            </w:r>
          </w:p>
        </w:tc>
        <w:tc>
          <w:tcPr>
            <w:tcW w:w="500" w:type="dxa"/>
            <w:vAlign w:val="bottom"/>
          </w:tcPr>
          <w:p>
            <w:pPr>
              <w:spacing w:after="0"/>
              <w:rPr>
                <w:sz w:val="23"/>
                <w:szCs w:val="23"/>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1,767</w:t>
            </w:r>
          </w:p>
        </w:tc>
        <w:tc>
          <w:tcPr>
            <w:tcW w:w="360" w:type="dxa"/>
            <w:vAlign w:val="bottom"/>
          </w:tcPr>
          <w:p>
            <w:pPr>
              <w:spacing w:after="0"/>
              <w:rPr>
                <w:sz w:val="23"/>
                <w:szCs w:val="23"/>
                <w:color w:val="auto"/>
              </w:rPr>
            </w:pPr>
          </w:p>
        </w:tc>
        <w:tc>
          <w:tcPr>
            <w:tcW w:w="10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(462)</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11,677</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assets and other assets</w:t>
            </w:r>
          </w:p>
        </w:tc>
        <w:tc>
          <w:tcPr>
            <w:tcW w:w="130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interest revenues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433</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185</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(618)</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3,232</w:t>
            </w:r>
          </w:p>
        </w:tc>
        <w:tc>
          <w:tcPr>
            <w:tcW w:w="36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380</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163</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Intersegment interest expenses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2,285</w:t>
            </w:r>
          </w:p>
        </w:tc>
        <w:tc>
          <w:tcPr>
            <w:tcW w:w="360" w:type="dxa"/>
            <w:vAlign w:val="bottom"/>
          </w:tcPr>
          <w:p>
            <w:pPr>
              <w:spacing w:after="0"/>
              <w:rPr>
                <w:sz w:val="24"/>
                <w:szCs w:val="24"/>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(2,285)</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208,494</w:t>
            </w:r>
          </w:p>
        </w:tc>
        <w:tc>
          <w:tcPr>
            <w:tcW w:w="36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36,126</w:t>
            </w:r>
          </w:p>
        </w:tc>
        <w:tc>
          <w:tcPr>
            <w:tcW w:w="500" w:type="dxa"/>
            <w:vAlign w:val="bottom"/>
          </w:tcPr>
          <w:p>
            <w:pPr>
              <w:spacing w:after="0"/>
              <w:rPr>
                <w:sz w:val="24"/>
                <w:szCs w:val="24"/>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18,198</w:t>
            </w:r>
          </w:p>
        </w:tc>
        <w:tc>
          <w:tcPr>
            <w:tcW w:w="360" w:type="dxa"/>
            <w:vAlign w:val="bottom"/>
          </w:tcPr>
          <w:p>
            <w:pPr>
              <w:spacing w:after="0"/>
              <w:rPr>
                <w:sz w:val="24"/>
                <w:szCs w:val="24"/>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34,580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297,398</w:t>
            </w:r>
          </w:p>
        </w:tc>
        <w:tc>
          <w:tcPr>
            <w:tcW w:w="0" w:type="dxa"/>
            <w:vAlign w:val="bottom"/>
          </w:tcPr>
          <w:p>
            <w:pPr>
              <w:spacing w:after="0"/>
              <w:rPr>
                <w:sz w:val="1"/>
                <w:szCs w:val="1"/>
                <w:color w:val="auto"/>
              </w:rPr>
            </w:pPr>
          </w:p>
        </w:tc>
      </w:tr>
      <w:tr>
        <w:trPr>
          <w:trHeight w:val="2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Segment acquisition of capital</w:t>
            </w:r>
          </w:p>
        </w:tc>
        <w:tc>
          <w:tcPr>
            <w:tcW w:w="13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86,155</w:t>
            </w:r>
          </w:p>
        </w:tc>
        <w:tc>
          <w:tcPr>
            <w:tcW w:w="360" w:type="dxa"/>
            <w:vAlign w:val="bottom"/>
          </w:tcPr>
          <w:p>
            <w:pPr>
              <w:spacing w:after="0"/>
              <w:rPr>
                <w:sz w:val="23"/>
                <w:szCs w:val="23"/>
                <w:color w:val="auto"/>
              </w:rPr>
            </w:pPr>
          </w:p>
        </w:tc>
        <w:tc>
          <w:tcPr>
            <w:tcW w:w="10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4,115</w:t>
            </w:r>
          </w:p>
        </w:tc>
        <w:tc>
          <w:tcPr>
            <w:tcW w:w="500" w:type="dxa"/>
            <w:vAlign w:val="bottom"/>
          </w:tcPr>
          <w:p>
            <w:pPr>
              <w:spacing w:after="0"/>
              <w:rPr>
                <w:sz w:val="23"/>
                <w:szCs w:val="23"/>
                <w:color w:val="auto"/>
              </w:rPr>
            </w:pPr>
          </w:p>
        </w:tc>
        <w:tc>
          <w:tcPr>
            <w:tcW w:w="84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1,970</w:t>
            </w:r>
          </w:p>
        </w:tc>
        <w:tc>
          <w:tcPr>
            <w:tcW w:w="360" w:type="dxa"/>
            <w:vAlign w:val="bottom"/>
          </w:tcPr>
          <w:p>
            <w:pPr>
              <w:spacing w:after="0"/>
              <w:rPr>
                <w:sz w:val="23"/>
                <w:szCs w:val="23"/>
                <w:color w:val="auto"/>
              </w:rPr>
            </w:pPr>
          </w:p>
        </w:tc>
        <w:tc>
          <w:tcPr>
            <w:tcW w:w="10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(4,399)</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87,841</w:t>
            </w:r>
          </w:p>
        </w:tc>
        <w:tc>
          <w:tcPr>
            <w:tcW w:w="0" w:type="dxa"/>
            <w:vAlign w:val="bottom"/>
          </w:tcPr>
          <w:p>
            <w:pPr>
              <w:spacing w:after="0"/>
              <w:rPr>
                <w:sz w:val="1"/>
                <w:szCs w:val="1"/>
                <w:color w:val="auto"/>
              </w:rPr>
            </w:pPr>
          </w:p>
        </w:tc>
      </w:tr>
      <w:tr>
        <w:trPr>
          <w:trHeight w:val="26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assets and other assets</w:t>
            </w:r>
          </w:p>
        </w:tc>
        <w:tc>
          <w:tcPr>
            <w:tcW w:w="130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340"/>
          </w:cols>
          <w:pgMar w:left="240" w:top="800" w:right="31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SEGMENTED INFORMATION (CONTINUED):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Reconciliation to net earnings: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5720"/>
        <w:spacing w:after="0"/>
        <w:tabs>
          <w:tab w:leader="none" w:pos="7820" w:val="left"/>
          <w:tab w:leader="none" w:pos="9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Segment earnings before income taxes,</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depreciation, interests and minority</w:t>
            </w:r>
          </w:p>
        </w:tc>
        <w:tc>
          <w:tcPr>
            <w:tcW w:w="46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443"/>
              <w:spacing w:after="0"/>
              <w:rPr>
                <w:sz w:val="20"/>
                <w:szCs w:val="20"/>
                <w:color w:val="auto"/>
              </w:rPr>
            </w:pPr>
            <w:r>
              <w:rPr>
                <w:rFonts w:ascii="Courier New" w:cs="Courier New" w:eastAsia="Courier New" w:hAnsi="Courier New"/>
                <w:sz w:val="15"/>
                <w:szCs w:val="15"/>
                <w:color w:val="auto"/>
              </w:rPr>
              <w:t>82,180</w:t>
            </w:r>
          </w:p>
        </w:tc>
        <w:tc>
          <w:tcPr>
            <w:tcW w:w="78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10,259</w:t>
            </w:r>
          </w:p>
        </w:tc>
        <w:tc>
          <w:tcPr>
            <w:tcW w:w="64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45,934</w:t>
            </w:r>
          </w:p>
        </w:tc>
        <w:tc>
          <w:tcPr>
            <w:tcW w:w="0" w:type="dxa"/>
            <w:vAlign w:val="bottom"/>
          </w:tcPr>
          <w:p>
            <w:pPr>
              <w:spacing w:after="0"/>
              <w:rPr>
                <w:sz w:val="1"/>
                <w:szCs w:val="1"/>
                <w:color w:val="auto"/>
              </w:rPr>
            </w:pPr>
          </w:p>
        </w:tc>
      </w:tr>
      <w:tr>
        <w:trPr>
          <w:trHeight w:val="260"/>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460" w:type="dxa"/>
            <w:vAlign w:val="bottom"/>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4280" w:type="dxa"/>
            <w:vAlign w:val="bottom"/>
          </w:tcPr>
          <w:p>
            <w:pPr>
              <w:spacing w:after="0"/>
              <w:rPr>
                <w:sz w:val="20"/>
                <w:szCs w:val="20"/>
                <w:color w:val="auto"/>
              </w:rPr>
            </w:pPr>
            <w:r>
              <w:rPr>
                <w:rFonts w:ascii="Courier New" w:cs="Courier New" w:eastAsia="Courier New" w:hAnsi="Courier New"/>
                <w:sz w:val="15"/>
                <w:szCs w:val="15"/>
                <w:color w:val="auto"/>
              </w:rPr>
              <w:t>Amortization of fixed assets and other assets</w:t>
            </w:r>
          </w:p>
        </w:tc>
        <w:tc>
          <w:tcPr>
            <w:tcW w:w="460" w:type="dxa"/>
            <w:vAlign w:val="bottom"/>
          </w:tcPr>
          <w:p>
            <w:pPr>
              <w:spacing w:after="0"/>
              <w:rPr>
                <w:sz w:val="24"/>
                <w:szCs w:val="24"/>
                <w:color w:val="auto"/>
              </w:rPr>
            </w:pPr>
          </w:p>
        </w:tc>
        <w:tc>
          <w:tcPr>
            <w:tcW w:w="14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(16,264)</w:t>
            </w:r>
          </w:p>
        </w:tc>
        <w:tc>
          <w:tcPr>
            <w:tcW w:w="78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(9,700)</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(11,677)</w:t>
            </w:r>
          </w:p>
        </w:tc>
        <w:tc>
          <w:tcPr>
            <w:tcW w:w="0" w:type="dxa"/>
            <w:vAlign w:val="bottom"/>
          </w:tcPr>
          <w:p>
            <w:pPr>
              <w:spacing w:after="0"/>
              <w:rPr>
                <w:sz w:val="1"/>
                <w:szCs w:val="1"/>
                <w:color w:val="auto"/>
              </w:rPr>
            </w:pPr>
          </w:p>
        </w:tc>
      </w:tr>
      <w:tr>
        <w:trPr>
          <w:trHeight w:val="355"/>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Interest expenses</w:t>
            </w:r>
          </w:p>
        </w:tc>
        <w:tc>
          <w:tcPr>
            <w:tcW w:w="460" w:type="dxa"/>
            <w:vAlign w:val="bottom"/>
          </w:tcPr>
          <w:p>
            <w:pPr>
              <w:spacing w:after="0"/>
              <w:rPr>
                <w:sz w:val="24"/>
                <w:szCs w:val="24"/>
                <w:color w:val="auto"/>
              </w:rPr>
            </w:pPr>
          </w:p>
        </w:tc>
        <w:tc>
          <w:tcPr>
            <w:tcW w:w="14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(14,537)</w:t>
            </w:r>
          </w:p>
        </w:tc>
        <w:tc>
          <w:tcPr>
            <w:tcW w:w="78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(3,386)</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c>
          <w:tcPr>
            <w:tcW w:w="0" w:type="dxa"/>
            <w:vAlign w:val="bottom"/>
          </w:tcPr>
          <w:p>
            <w:pPr>
              <w:spacing w:after="0"/>
              <w:rPr>
                <w:sz w:val="1"/>
                <w:szCs w:val="1"/>
                <w:color w:val="auto"/>
              </w:rPr>
            </w:pPr>
          </w:p>
        </w:tc>
      </w:tr>
      <w:tr>
        <w:trPr>
          <w:trHeight w:val="355"/>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 loss on foreign exchange</w:t>
            </w:r>
          </w:p>
        </w:tc>
        <w:tc>
          <w:tcPr>
            <w:tcW w:w="14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(491)</w:t>
            </w:r>
          </w:p>
        </w:tc>
        <w:tc>
          <w:tcPr>
            <w:tcW w:w="780" w:type="dxa"/>
            <w:vAlign w:val="bottom"/>
          </w:tcPr>
          <w:p>
            <w:pPr>
              <w:spacing w:after="0"/>
              <w:rPr>
                <w:sz w:val="24"/>
                <w:szCs w:val="24"/>
                <w:color w:val="auto"/>
              </w:rPr>
            </w:pP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24"/>
                <w:szCs w:val="24"/>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 losses</w:t>
            </w:r>
          </w:p>
        </w:tc>
        <w:tc>
          <w:tcPr>
            <w:tcW w:w="460" w:type="dxa"/>
            <w:vAlign w:val="bottom"/>
          </w:tcPr>
          <w:p>
            <w:pPr>
              <w:spacing w:after="0"/>
              <w:rPr>
                <w:sz w:val="24"/>
                <w:szCs w:val="24"/>
                <w:color w:val="auto"/>
              </w:rPr>
            </w:pPr>
          </w:p>
        </w:tc>
        <w:tc>
          <w:tcPr>
            <w:tcW w:w="14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(287)</w:t>
            </w:r>
          </w:p>
        </w:tc>
        <w:tc>
          <w:tcPr>
            <w:tcW w:w="78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(1,690)</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 and</w:t>
            </w:r>
          </w:p>
        </w:tc>
        <w:tc>
          <w:tcPr>
            <w:tcW w:w="80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50,601</w:t>
            </w:r>
          </w:p>
        </w:tc>
        <w:tc>
          <w:tcPr>
            <w:tcW w:w="88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183"/>
              <w:spacing w:after="0"/>
              <w:rPr>
                <w:sz w:val="20"/>
                <w:szCs w:val="20"/>
                <w:color w:val="auto"/>
              </w:rPr>
            </w:pPr>
            <w:r>
              <w:rPr>
                <w:rFonts w:ascii="Courier New" w:cs="Courier New" w:eastAsia="Courier New" w:hAnsi="Courier New"/>
                <w:sz w:val="15"/>
                <w:szCs w:val="15"/>
                <w:color w:val="auto"/>
              </w:rPr>
              <w:t>(4,517)</w:t>
            </w:r>
          </w:p>
        </w:tc>
        <w:tc>
          <w:tcPr>
            <w:tcW w:w="6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30,416</w:t>
            </w:r>
          </w:p>
        </w:tc>
        <w:tc>
          <w:tcPr>
            <w:tcW w:w="0" w:type="dxa"/>
            <w:vAlign w:val="bottom"/>
          </w:tcPr>
          <w:p>
            <w:pPr>
              <w:spacing w:after="0"/>
              <w:rPr>
                <w:sz w:val="1"/>
                <w:szCs w:val="1"/>
                <w:color w:val="auto"/>
              </w:rPr>
            </w:pPr>
          </w:p>
        </w:tc>
      </w:tr>
      <w:tr>
        <w:trPr>
          <w:trHeight w:val="20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8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Revenue by geographic area are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5720"/>
        <w:spacing w:after="0"/>
        <w:tabs>
          <w:tab w:leader="none" w:pos="7820" w:val="left"/>
          <w:tab w:leader="none" w:pos="9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66,907</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32,103</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33,803</w:t>
            </w:r>
          </w:p>
        </w:tc>
      </w:tr>
      <w:tr>
        <w:trPr>
          <w:trHeight w:val="177"/>
        </w:trPr>
        <w:tc>
          <w:tcPr>
            <w:tcW w:w="28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920" w:type="dxa"/>
            <w:vAlign w:val="bottom"/>
          </w:tcPr>
          <w:p>
            <w:pPr>
              <w:spacing w:after="0"/>
              <w:rPr>
                <w:sz w:val="15"/>
                <w:szCs w:val="15"/>
                <w:color w:val="auto"/>
              </w:rPr>
            </w:pP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161,241</w:t>
            </w:r>
          </w:p>
        </w:tc>
        <w:tc>
          <w:tcPr>
            <w:tcW w:w="84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85,783</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127,877</w:t>
            </w:r>
          </w:p>
        </w:tc>
      </w:tr>
      <w:tr>
        <w:trPr>
          <w:trHeight w:val="26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Overseas</w:t>
            </w:r>
          </w:p>
        </w:tc>
        <w:tc>
          <w:tcPr>
            <w:tcW w:w="1920" w:type="dxa"/>
            <w:vAlign w:val="bottom"/>
          </w:tcPr>
          <w:p>
            <w:pPr>
              <w:spacing w:after="0"/>
              <w:rPr>
                <w:sz w:val="22"/>
                <w:szCs w:val="22"/>
                <w:color w:val="auto"/>
              </w:rPr>
            </w:pP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2,011</w:t>
            </w:r>
          </w:p>
        </w:tc>
        <w:tc>
          <w:tcPr>
            <w:tcW w:w="840" w:type="dxa"/>
            <w:vAlign w:val="bottom"/>
          </w:tcPr>
          <w:p>
            <w:pPr>
              <w:spacing w:after="0"/>
              <w:rPr>
                <w:sz w:val="22"/>
                <w:szCs w:val="22"/>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3,502</w:t>
            </w:r>
          </w:p>
        </w:tc>
        <w:tc>
          <w:tcPr>
            <w:tcW w:w="680" w:type="dxa"/>
            <w:vAlign w:val="bottom"/>
          </w:tcPr>
          <w:p>
            <w:pPr>
              <w:spacing w:after="0"/>
              <w:rPr>
                <w:sz w:val="22"/>
                <w:szCs w:val="22"/>
                <w:color w:val="auto"/>
              </w:rPr>
            </w:pP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9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880"/>
        <w:spacing w:after="0"/>
        <w:tabs>
          <w:tab w:leader="none" w:pos="5420" w:val="left"/>
          <w:tab w:leader="none" w:pos="6980" w:val="left"/>
          <w:tab w:leader="none" w:pos="7640" w:val="left"/>
          <w:tab w:leader="none" w:pos="8920" w:val="left"/>
          <w:tab w:leader="none" w:pos="9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230,159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121,388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161,680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340"/>
          </w:cols>
          <w:pgMar w:left="240" w:top="622" w:right="319" w:bottom="1440" w:gutter="0" w:footer="0" w:header="0"/>
        </w:sectPr>
      </w:pPr>
    </w:p>
    <w:bookmarkStart w:id="33" w:name="page34"/>
    <w:bookmarkEnd w:id="33"/>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465" w:right="4140" w:hanging="465"/>
        <w:spacing w:after="0" w:line="375"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BETWEEN GENERALLY ACCEPTED ACCOUNTING PRINCIPLES IN CANADA AND IN THE UNITED STATES:</w:t>
      </w:r>
    </w:p>
    <w:p>
      <w:pPr>
        <w:spacing w:after="0" w:line="1" w:lineRule="exact"/>
        <w:rPr>
          <w:rFonts w:ascii="Courier New" w:cs="Courier New" w:eastAsia="Courier New" w:hAnsi="Courier New"/>
          <w:sz w:val="15"/>
          <w:szCs w:val="15"/>
          <w:color w:val="auto"/>
        </w:rPr>
      </w:pPr>
    </w:p>
    <w:p>
      <w:pPr>
        <w:ind w:left="465" w:right="3960"/>
        <w:spacing w:after="0" w:line="27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consolidated financial statements are prepared in accordance with generally accepted accounting principles (GAAP) in Canada which differ in some respects from those applicable in the United States (U.S.). The following table sets forth the impact of material differences between Canadian GAAP and U.S. GAAP on the Company's consolidated financial statements.</w:t>
      </w:r>
    </w:p>
    <w:p>
      <w:pPr>
        <w:spacing w:after="0" w:line="69"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earnings: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7845"/>
        <w:spacing w:after="0"/>
        <w:tabs>
          <w:tab w:leader="none" w:pos="976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825" w:type="dxa"/>
        <w:tblCellMar>
          <w:top w:w="0" w:type="dxa"/>
          <w:left w:w="0" w:type="dxa"/>
          <w:bottom w:w="0" w:type="dxa"/>
          <w:right w:w="0" w:type="dxa"/>
        </w:tblCellMar>
      </w:tblPr>
      <w:tr>
        <w:trPr>
          <w:trHeight w:val="177"/>
        </w:trPr>
        <w:tc>
          <w:tcPr>
            <w:tcW w:w="5820" w:type="dxa"/>
            <w:vAlign w:val="bottom"/>
          </w:tcPr>
          <w:p>
            <w:pPr>
              <w:spacing w:after="0"/>
              <w:rPr>
                <w:sz w:val="20"/>
                <w:szCs w:val="20"/>
                <w:color w:val="auto"/>
              </w:rPr>
            </w:pPr>
            <w:r>
              <w:rPr>
                <w:rFonts w:ascii="Courier New" w:cs="Courier New" w:eastAsia="Courier New" w:hAnsi="Courier New"/>
                <w:sz w:val="15"/>
                <w:szCs w:val="15"/>
                <w:color w:val="auto"/>
              </w:rPr>
              <w:t>Net earnings (loss), as reported under Canadian GAAP</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33,305</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(2,395)</w:t>
            </w:r>
          </w:p>
        </w:tc>
        <w:tc>
          <w:tcPr>
            <w:tcW w:w="0" w:type="dxa"/>
            <w:vAlign w:val="bottom"/>
          </w:tcPr>
          <w:p>
            <w:pPr>
              <w:spacing w:after="0"/>
              <w:rPr>
                <w:sz w:val="1"/>
                <w:szCs w:val="1"/>
                <w:color w:val="auto"/>
              </w:rPr>
            </w:pPr>
          </w:p>
        </w:tc>
      </w:tr>
      <w:tr>
        <w:trPr>
          <w:trHeight w:val="177"/>
        </w:trPr>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Adjustments:</w:t>
            </w:r>
          </w:p>
        </w:tc>
        <w:tc>
          <w:tcPr>
            <w:tcW w:w="740" w:type="dxa"/>
            <w:vAlign w:val="bottom"/>
          </w:tcPr>
          <w:p>
            <w:pPr>
              <w:spacing w:after="0"/>
              <w:rPr>
                <w:sz w:val="15"/>
                <w:szCs w:val="15"/>
                <w:color w:val="auto"/>
              </w:rPr>
            </w:pPr>
          </w:p>
        </w:tc>
        <w:tc>
          <w:tcPr>
            <w:tcW w:w="124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(6,085)</w:t>
            </w:r>
          </w:p>
        </w:tc>
        <w:tc>
          <w:tcPr>
            <w:tcW w:w="700" w:type="dxa"/>
            <w:vAlign w:val="bottom"/>
          </w:tcPr>
          <w:p>
            <w:pPr>
              <w:spacing w:after="0"/>
              <w:rPr>
                <w:sz w:val="15"/>
                <w:szCs w:val="15"/>
                <w:color w:val="auto"/>
              </w:rPr>
            </w:pPr>
          </w:p>
        </w:tc>
        <w:tc>
          <w:tcPr>
            <w:tcW w:w="92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Unrealized foreign exchange loss on long-term debt (i)</w:t>
            </w:r>
          </w:p>
        </w:tc>
        <w:tc>
          <w:tcPr>
            <w:tcW w:w="7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Forward exchange contracts (ii)</w:t>
            </w:r>
          </w:p>
        </w:tc>
        <w:tc>
          <w:tcPr>
            <w:tcW w:w="74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488</w:t>
            </w: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Start-up costs (iii)</w:t>
            </w:r>
          </w:p>
        </w:tc>
        <w:tc>
          <w:tcPr>
            <w:tcW w:w="74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3,981</w:t>
            </w: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(6,137)</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Interest expenses on convertible debentures (iv)</w:t>
            </w:r>
          </w:p>
        </w:tc>
        <w:tc>
          <w:tcPr>
            <w:tcW w:w="7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(903)</w:t>
            </w: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Amortization of deferred financing costs (iv)</w:t>
            </w:r>
          </w:p>
        </w:tc>
        <w:tc>
          <w:tcPr>
            <w:tcW w:w="7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(61)</w:t>
            </w: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 (v)</w:t>
            </w:r>
          </w:p>
        </w:tc>
        <w:tc>
          <w:tcPr>
            <w:tcW w:w="7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(3,624)</w:t>
            </w:r>
          </w:p>
        </w:tc>
        <w:tc>
          <w:tcPr>
            <w:tcW w:w="7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Stock-based compensation (vi)</w:t>
            </w:r>
          </w:p>
        </w:tc>
        <w:tc>
          <w:tcPr>
            <w:tcW w:w="7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(497)</w:t>
            </w:r>
          </w:p>
        </w:tc>
        <w:tc>
          <w:tcPr>
            <w:tcW w:w="70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Share in income of a company subject to significant</w:t>
            </w:r>
          </w:p>
        </w:tc>
        <w:tc>
          <w:tcPr>
            <w:tcW w:w="740" w:type="dxa"/>
            <w:vAlign w:val="bottom"/>
          </w:tcPr>
          <w:p>
            <w:pPr>
              <w:spacing w:after="0"/>
              <w:rPr>
                <w:sz w:val="15"/>
                <w:szCs w:val="15"/>
                <w:color w:val="auto"/>
              </w:rPr>
            </w:pPr>
          </w:p>
        </w:tc>
        <w:tc>
          <w:tcPr>
            <w:tcW w:w="124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169</w:t>
            </w:r>
          </w:p>
        </w:tc>
        <w:tc>
          <w:tcPr>
            <w:tcW w:w="7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(283)</w:t>
            </w:r>
          </w:p>
        </w:tc>
        <w:tc>
          <w:tcPr>
            <w:tcW w:w="0" w:type="dxa"/>
            <w:vAlign w:val="bottom"/>
          </w:tcPr>
          <w:p>
            <w:pPr>
              <w:spacing w:after="0"/>
              <w:rPr>
                <w:sz w:val="1"/>
                <w:szCs w:val="1"/>
                <w:color w:val="auto"/>
              </w:rPr>
            </w:pPr>
          </w:p>
        </w:tc>
      </w:tr>
      <w:tr>
        <w:trPr>
          <w:trHeight w:val="177"/>
        </w:trPr>
        <w:tc>
          <w:tcPr>
            <w:tcW w:w="5820" w:type="dxa"/>
            <w:vAlign w:val="bottom"/>
          </w:tcPr>
          <w:p>
            <w:pPr>
              <w:ind w:left="660"/>
              <w:spacing w:after="0"/>
              <w:rPr>
                <w:sz w:val="20"/>
                <w:szCs w:val="20"/>
                <w:color w:val="auto"/>
              </w:rPr>
            </w:pPr>
            <w:r>
              <w:rPr>
                <w:rFonts w:ascii="Courier New" w:cs="Courier New" w:eastAsia="Courier New" w:hAnsi="Courier New"/>
                <w:sz w:val="15"/>
                <w:szCs w:val="15"/>
                <w:color w:val="auto"/>
              </w:rPr>
              <w:t>influence (vii)</w:t>
            </w:r>
          </w:p>
        </w:tc>
        <w:tc>
          <w:tcPr>
            <w:tcW w:w="7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Minority interest (viii)</w:t>
            </w:r>
          </w:p>
        </w:tc>
        <w:tc>
          <w:tcPr>
            <w:tcW w:w="7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1,560</w:t>
            </w:r>
          </w:p>
        </w:tc>
        <w:tc>
          <w:tcPr>
            <w:tcW w:w="0" w:type="dxa"/>
            <w:vAlign w:val="bottom"/>
          </w:tcPr>
          <w:p>
            <w:pPr>
              <w:spacing w:after="0"/>
              <w:rPr>
                <w:sz w:val="1"/>
                <w:szCs w:val="1"/>
                <w:color w:val="auto"/>
              </w:rPr>
            </w:pPr>
          </w:p>
        </w:tc>
      </w:tr>
      <w:tr>
        <w:trPr>
          <w:trHeight w:val="177"/>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Depreciation of fixed assets (v)</w:t>
            </w:r>
          </w:p>
        </w:tc>
        <w:tc>
          <w:tcPr>
            <w:tcW w:w="7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(713)</w:t>
            </w:r>
          </w:p>
        </w:tc>
        <w:tc>
          <w:tcPr>
            <w:tcW w:w="70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05"/>
        </w:trPr>
        <w:tc>
          <w:tcPr>
            <w:tcW w:w="582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 on the above adjustments</w:t>
            </w:r>
          </w:p>
        </w:tc>
        <w:tc>
          <w:tcPr>
            <w:tcW w:w="740" w:type="dxa"/>
            <w:vAlign w:val="bottom"/>
          </w:tcPr>
          <w:p>
            <w:pPr>
              <w:spacing w:after="0"/>
              <w:rPr>
                <w:sz w:val="17"/>
                <w:szCs w:val="17"/>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(899)</w:t>
            </w:r>
          </w:p>
        </w:tc>
        <w:tc>
          <w:tcPr>
            <w:tcW w:w="70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2,218</w:t>
            </w:r>
          </w:p>
        </w:tc>
        <w:tc>
          <w:tcPr>
            <w:tcW w:w="0" w:type="dxa"/>
            <w:vAlign w:val="bottom"/>
          </w:tcPr>
          <w:p>
            <w:pPr>
              <w:spacing w:after="0"/>
              <w:rPr>
                <w:sz w:val="1"/>
                <w:szCs w:val="1"/>
                <w:color w:val="auto"/>
              </w:rPr>
            </w:pPr>
          </w:p>
        </w:tc>
      </w:tr>
    </w:tbl>
    <w:p>
      <w:pPr>
        <w:ind w:left="8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25"/>
        <w:spacing w:after="0"/>
        <w:tabs>
          <w:tab w:leader="none" w:pos="4505" w:val="left"/>
          <w:tab w:leader="none" w:pos="6985" w:val="left"/>
          <w:tab w:leader="none" w:pos="7725" w:val="left"/>
          <w:tab w:leader="none" w:pos="8925" w:val="left"/>
          <w:tab w:leader="none" w:pos="9585" w:val="left"/>
        </w:tabs>
        <w:rPr>
          <w:sz w:val="20"/>
          <w:szCs w:val="20"/>
          <w:color w:val="auto"/>
        </w:rPr>
      </w:pPr>
      <w:r>
        <w:rPr>
          <w:rFonts w:ascii="Courier New" w:cs="Courier New" w:eastAsia="Courier New" w:hAnsi="Courier New"/>
          <w:sz w:val="15"/>
          <w:szCs w:val="15"/>
          <w:color w:val="auto"/>
        </w:rPr>
        <w:t>Net earnings (loss) in accordance with</w:t>
        <w:tab/>
        <w:t>U.S. GAAP</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25,130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(5,361)</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tbl>
      <w:tblPr>
        <w:tblLayout w:type="fixed"/>
        <w:tblInd w:w="825" w:type="dxa"/>
        <w:tblCellMar>
          <w:top w:w="0" w:type="dxa"/>
          <w:left w:w="0" w:type="dxa"/>
          <w:bottom w:w="0" w:type="dxa"/>
          <w:right w:w="0" w:type="dxa"/>
        </w:tblCellMar>
      </w:tblPr>
      <w:tr>
        <w:trPr>
          <w:trHeight w:val="177"/>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earnings (loss) per share under</w:t>
            </w:r>
          </w:p>
        </w:tc>
        <w:tc>
          <w:tcPr>
            <w:tcW w:w="1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U.S. GAAP (x):</w:t>
            </w:r>
          </w:p>
        </w:tc>
        <w:tc>
          <w:tcPr>
            <w:tcW w:w="194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1.59</w:t>
            </w:r>
          </w:p>
        </w:tc>
        <w:tc>
          <w:tcPr>
            <w:tcW w:w="74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(0.34)</w:t>
            </w:r>
          </w:p>
        </w:tc>
        <w:tc>
          <w:tcPr>
            <w:tcW w:w="0" w:type="dxa"/>
            <w:vAlign w:val="bottom"/>
          </w:tcPr>
          <w:p>
            <w:pPr>
              <w:spacing w:after="0"/>
              <w:rPr>
                <w:sz w:val="1"/>
                <w:szCs w:val="1"/>
                <w:color w:val="auto"/>
              </w:rPr>
            </w:pPr>
          </w:p>
        </w:tc>
      </w:tr>
      <w:tr>
        <w:trPr>
          <w:trHeight w:val="177"/>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Basic</w:t>
            </w:r>
          </w:p>
        </w:tc>
        <w:tc>
          <w:tcPr>
            <w:tcW w:w="19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760" w:type="dxa"/>
            <w:vAlign w:val="bottom"/>
          </w:tcPr>
          <w:p>
            <w:pPr>
              <w:ind w:left="460"/>
              <w:spacing w:after="0"/>
              <w:rPr>
                <w:sz w:val="20"/>
                <w:szCs w:val="20"/>
                <w:color w:val="auto"/>
              </w:rPr>
            </w:pPr>
            <w:r>
              <w:rPr>
                <w:rFonts w:ascii="Courier New" w:cs="Courier New" w:eastAsia="Courier New" w:hAnsi="Courier New"/>
                <w:sz w:val="15"/>
                <w:szCs w:val="15"/>
                <w:color w:val="auto"/>
              </w:rPr>
              <w:t>Fully diluted</w:t>
            </w:r>
          </w:p>
        </w:tc>
        <w:tc>
          <w:tcPr>
            <w:tcW w:w="1940" w:type="dxa"/>
            <w:vAlign w:val="bottom"/>
          </w:tcPr>
          <w:p>
            <w:pPr>
              <w:spacing w:after="0"/>
              <w:rPr>
                <w:sz w:val="22"/>
                <w:szCs w:val="22"/>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1.27</w:t>
            </w:r>
          </w:p>
        </w:tc>
        <w:tc>
          <w:tcPr>
            <w:tcW w:w="7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(0.34)</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345"/>
          </w:cols>
          <w:pgMar w:left="235" w:top="800" w:right="319" w:bottom="1440" w:gutter="0" w:footer="0" w:header="0"/>
        </w:sectPr>
      </w:pPr>
    </w:p>
    <w:bookmarkStart w:id="34" w:name="page35"/>
    <w:bookmarkEnd w:id="34"/>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365" w:right="3119" w:hanging="365"/>
        <w:spacing w:after="0" w:line="375" w:lineRule="auto"/>
        <w:tabs>
          <w:tab w:leader="none" w:pos="36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BETWEEN GENERALLY ACCEPTED ACCOUNTING PRINCIPLES IN CANADA AND IN THE UNITED STATES (CONTINUED):</w:t>
      </w:r>
    </w:p>
    <w:p>
      <w:pPr>
        <w:spacing w:after="0" w:line="1" w:lineRule="exact"/>
        <w:rPr>
          <w:rFonts w:ascii="Courier New" w:cs="Courier New" w:eastAsia="Courier New" w:hAnsi="Courier New"/>
          <w:sz w:val="15"/>
          <w:szCs w:val="15"/>
          <w:color w:val="auto"/>
        </w:rPr>
      </w:pPr>
    </w:p>
    <w:p>
      <w:pPr>
        <w:ind w:left="1205" w:hanging="375"/>
        <w:spacing w:after="0"/>
        <w:tabs>
          <w:tab w:leader="none" w:pos="12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Unrealized foreign exchange loss on long-term debt:</w:t>
      </w:r>
    </w:p>
    <w:p>
      <w:pPr>
        <w:spacing w:after="0" w:line="185" w:lineRule="exact"/>
        <w:rPr>
          <w:sz w:val="20"/>
          <w:szCs w:val="20"/>
          <w:color w:val="auto"/>
        </w:rPr>
      </w:pPr>
    </w:p>
    <w:p>
      <w:pPr>
        <w:ind w:left="1285" w:right="2939"/>
        <w:spacing w:after="0" w:line="276" w:lineRule="auto"/>
        <w:rPr>
          <w:sz w:val="20"/>
          <w:szCs w:val="20"/>
          <w:color w:val="auto"/>
        </w:rPr>
      </w:pPr>
      <w:r>
        <w:rPr>
          <w:rFonts w:ascii="Courier New" w:cs="Courier New" w:eastAsia="Courier New" w:hAnsi="Courier New"/>
          <w:sz w:val="15"/>
          <w:szCs w:val="15"/>
          <w:color w:val="auto"/>
        </w:rPr>
        <w:t>Under Canadian GAAP, unrealized exchange losses arising from the translation of long-term debt denominated in foreign currencies are deferred and amortized over the remaining life of the related debt. Under U.S. GAAP, these losses would have been included in income and, consequently, no amount would have been deferred in Other assets.</w:t>
      </w:r>
    </w:p>
    <w:p>
      <w:pPr>
        <w:spacing w:after="0" w:line="70" w:lineRule="exact"/>
        <w:rPr>
          <w:sz w:val="20"/>
          <w:szCs w:val="20"/>
          <w:color w:val="auto"/>
        </w:rPr>
      </w:pPr>
    </w:p>
    <w:p>
      <w:pPr>
        <w:ind w:left="1285" w:hanging="455"/>
        <w:spacing w:after="0"/>
        <w:tabs>
          <w:tab w:leader="none" w:pos="12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Forward exchange contracts:</w:t>
      </w:r>
    </w:p>
    <w:p>
      <w:pPr>
        <w:spacing w:after="0" w:line="184" w:lineRule="exact"/>
        <w:rPr>
          <w:rFonts w:ascii="Courier New" w:cs="Courier New" w:eastAsia="Courier New" w:hAnsi="Courier New"/>
          <w:sz w:val="15"/>
          <w:szCs w:val="15"/>
          <w:color w:val="auto"/>
        </w:rPr>
      </w:pPr>
    </w:p>
    <w:p>
      <w:pPr>
        <w:ind w:left="1285" w:right="2839"/>
        <w:spacing w:after="0" w:line="27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unrealized and realized gains and losses on foreign currency transactions identified as hedges may be deferred as long as there is reasonable assurance that the hedge will be effective. Under U.S. GAAP, deferral is allowed only on foreign currency transactions intended to hedge identifiable firm foreign currency commitments.</w:t>
      </w:r>
    </w:p>
    <w:p>
      <w:pPr>
        <w:spacing w:after="0" w:line="69" w:lineRule="exact"/>
        <w:rPr>
          <w:rFonts w:ascii="Courier New" w:cs="Courier New" w:eastAsia="Courier New" w:hAnsi="Courier New"/>
          <w:sz w:val="15"/>
          <w:szCs w:val="15"/>
          <w:color w:val="auto"/>
        </w:rPr>
      </w:pPr>
    </w:p>
    <w:p>
      <w:pPr>
        <w:ind w:left="1385" w:hanging="555"/>
        <w:spacing w:after="0"/>
        <w:tabs>
          <w:tab w:leader="none" w:pos="13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Start-up costs:</w:t>
      </w:r>
    </w:p>
    <w:p>
      <w:pPr>
        <w:spacing w:after="0" w:line="185" w:lineRule="exact"/>
        <w:rPr>
          <w:sz w:val="20"/>
          <w:szCs w:val="20"/>
          <w:color w:val="auto"/>
        </w:rPr>
      </w:pPr>
    </w:p>
    <w:p>
      <w:pPr>
        <w:ind w:left="1285" w:right="3119"/>
        <w:spacing w:after="0" w:line="314" w:lineRule="auto"/>
        <w:rPr>
          <w:sz w:val="20"/>
          <w:szCs w:val="20"/>
          <w:color w:val="auto"/>
        </w:rPr>
      </w:pPr>
      <w:r>
        <w:rPr>
          <w:rFonts w:ascii="Courier New" w:cs="Courier New" w:eastAsia="Courier New" w:hAnsi="Courier New"/>
          <w:sz w:val="15"/>
          <w:szCs w:val="15"/>
          <w:color w:val="auto"/>
        </w:rPr>
        <w:t>Under Canadian GAAP, certain costs incurred to start up new facility were deferred and amortized over future periods. Under U.S. GAAP, such costs were expensed as incurred.</w:t>
      </w:r>
    </w:p>
    <w:p>
      <w:pPr>
        <w:spacing w:after="0" w:line="43" w:lineRule="exact"/>
        <w:rPr>
          <w:sz w:val="20"/>
          <w:szCs w:val="20"/>
          <w:color w:val="auto"/>
        </w:rPr>
      </w:pPr>
    </w:p>
    <w:p>
      <w:pPr>
        <w:ind w:left="1285" w:hanging="455"/>
        <w:spacing w:after="0"/>
        <w:tabs>
          <w:tab w:leader="none" w:pos="12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w:t>
      </w:r>
    </w:p>
    <w:p>
      <w:pPr>
        <w:spacing w:after="0" w:line="184" w:lineRule="exact"/>
        <w:rPr>
          <w:rFonts w:ascii="Courier New" w:cs="Courier New" w:eastAsia="Courier New" w:hAnsi="Courier New"/>
          <w:sz w:val="15"/>
          <w:szCs w:val="15"/>
          <w:color w:val="auto"/>
        </w:rPr>
      </w:pPr>
    </w:p>
    <w:p>
      <w:pPr>
        <w:ind w:left="1285" w:right="2939"/>
        <w:spacing w:after="0" w:line="28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 Company's convertible debentures are recorded in part as debt and in part as shareholders' equity. Under U.S. GAAP, the convertible subordinated debentures would be recorded as debt. Consequently, interest expenses and issue costs were adjusted.</w:t>
      </w:r>
    </w:p>
    <w:p>
      <w:pPr>
        <w:spacing w:after="0" w:line="200" w:lineRule="exact"/>
        <w:rPr>
          <w:rFonts w:ascii="Courier New" w:cs="Courier New" w:eastAsia="Courier New" w:hAnsi="Courier New"/>
          <w:sz w:val="15"/>
          <w:szCs w:val="15"/>
          <w:color w:val="auto"/>
        </w:rPr>
      </w:pPr>
    </w:p>
    <w:p>
      <w:pPr>
        <w:spacing w:after="0" w:line="221" w:lineRule="exact"/>
        <w:rPr>
          <w:rFonts w:ascii="Courier New" w:cs="Courier New" w:eastAsia="Courier New" w:hAnsi="Courier New"/>
          <w:sz w:val="15"/>
          <w:szCs w:val="15"/>
          <w:color w:val="auto"/>
        </w:rPr>
      </w:pPr>
    </w:p>
    <w:p>
      <w:pPr>
        <w:ind w:left="1285" w:hanging="455"/>
        <w:spacing w:after="0"/>
        <w:tabs>
          <w:tab w:leader="none" w:pos="12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taxes:</w:t>
      </w:r>
    </w:p>
    <w:p>
      <w:pPr>
        <w:spacing w:after="0" w:line="184" w:lineRule="exact"/>
        <w:rPr>
          <w:rFonts w:ascii="Courier New" w:cs="Courier New" w:eastAsia="Courier New" w:hAnsi="Courier New"/>
          <w:sz w:val="15"/>
          <w:szCs w:val="15"/>
          <w:color w:val="auto"/>
        </w:rPr>
      </w:pPr>
    </w:p>
    <w:p>
      <w:pPr>
        <w:ind w:left="1285" w:right="293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income taxes are provided on the deferral method basis whereas under U.S. GAAP, income taxes are accounted for by liability method. Statement of Financial Accounting Standards ("SFAS") No. 109, "Accounting for Income Taxes", requires the recognition of deferred tax assets and liabilities for the expected future tax consequences of events that have been recognized in the Company's financial statements or tax returns. U.S. GAAP adjustments relate primarily to the recording of taxes on the difference between the book value and the tax value of the investment in Panneaux Chambord Inc., income tax consequences resulting from purchase price allocation following business combination accounted for as a purchase and the effect on income taxes as a result of changes in tax rates over the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5" w:top="800" w:right="1440" w:bottom="1440" w:gutter="0" w:footer="0" w:header="0"/>
        </w:sectPr>
      </w:pPr>
    </w:p>
    <w:bookmarkStart w:id="35" w:name="page36"/>
    <w:bookmarkEnd w:id="35"/>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365" w:right="4240" w:hanging="365"/>
        <w:spacing w:after="0" w:line="375" w:lineRule="auto"/>
        <w:tabs>
          <w:tab w:leader="none" w:pos="36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BETWEEN GENERALLY ACCEPTED ACCOUNTING PRINCIPLES IN CANADA AND IN THE UNITED STATES (CONTINUED):</w:t>
      </w:r>
    </w:p>
    <w:p>
      <w:pPr>
        <w:spacing w:after="0" w:line="1" w:lineRule="exact"/>
        <w:rPr>
          <w:rFonts w:ascii="Courier New" w:cs="Courier New" w:eastAsia="Courier New" w:hAnsi="Courier New"/>
          <w:sz w:val="15"/>
          <w:szCs w:val="15"/>
          <w:color w:val="auto"/>
        </w:rPr>
      </w:pPr>
    </w:p>
    <w:p>
      <w:pPr>
        <w:ind w:left="825" w:hanging="456"/>
        <w:spacing w:after="0"/>
        <w:tabs>
          <w:tab w:leader="none" w:pos="82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earnings (continued):</w:t>
      </w:r>
    </w:p>
    <w:p>
      <w:pPr>
        <w:spacing w:after="0" w:line="184" w:lineRule="exact"/>
        <w:rPr>
          <w:rFonts w:ascii="Courier New" w:cs="Courier New" w:eastAsia="Courier New" w:hAnsi="Courier New"/>
          <w:sz w:val="15"/>
          <w:szCs w:val="15"/>
          <w:color w:val="auto"/>
        </w:rPr>
      </w:pPr>
    </w:p>
    <w:p>
      <w:pPr>
        <w:ind w:left="1385" w:hanging="555"/>
        <w:spacing w:after="0"/>
        <w:tabs>
          <w:tab w:leader="none" w:pos="1385" w:val="left"/>
        </w:tabs>
        <w:numPr>
          <w:ilvl w:val="3"/>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84" w:lineRule="exact"/>
        <w:rPr>
          <w:rFonts w:ascii="Courier New" w:cs="Courier New" w:eastAsia="Courier New" w:hAnsi="Courier New"/>
          <w:sz w:val="15"/>
          <w:szCs w:val="15"/>
          <w:color w:val="auto"/>
        </w:rPr>
      </w:pPr>
    </w:p>
    <w:p>
      <w:pPr>
        <w:ind w:left="1385" w:right="4060"/>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FAS 123 requires that all transactions in which goods or services are the consideration received for the issuance of equity instruments shall be accounted for based on fair value of the consideration received or the fair value of the equity instruments issued. In 1998, the Company granted to a lender an option to purchase 1,000,000 shares at a price of $4.50 per share. The fair value of the option was estimated at $1,626,000 and accounted for as deferred financing costs. These costs are being amortized over the period of the loan.</w:t>
      </w:r>
    </w:p>
    <w:p>
      <w:pPr>
        <w:spacing w:after="0" w:line="82" w:lineRule="exact"/>
        <w:rPr>
          <w:rFonts w:ascii="Courier New" w:cs="Courier New" w:eastAsia="Courier New" w:hAnsi="Courier New"/>
          <w:sz w:val="15"/>
          <w:szCs w:val="15"/>
          <w:color w:val="auto"/>
        </w:rPr>
      </w:pPr>
    </w:p>
    <w:p>
      <w:pPr>
        <w:ind w:left="1385" w:hanging="555"/>
        <w:spacing w:after="0"/>
        <w:tabs>
          <w:tab w:leader="none" w:pos="1385" w:val="left"/>
        </w:tabs>
        <w:numPr>
          <w:ilvl w:val="3"/>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company subject to significant influence:</w:t>
      </w:r>
    </w:p>
    <w:p>
      <w:pPr>
        <w:spacing w:after="0" w:line="184" w:lineRule="exact"/>
        <w:rPr>
          <w:rFonts w:ascii="Courier New" w:cs="Courier New" w:eastAsia="Courier New" w:hAnsi="Courier New"/>
          <w:sz w:val="15"/>
          <w:szCs w:val="15"/>
          <w:color w:val="auto"/>
        </w:rPr>
      </w:pPr>
    </w:p>
    <w:p>
      <w:pPr>
        <w:ind w:left="1385" w:right="4060"/>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 in income (loss) of a company subject to significant influence has been adjusted to take into consideration U.S. GAAP adjustment recorded for that company.</w:t>
      </w:r>
    </w:p>
    <w:p>
      <w:pPr>
        <w:spacing w:after="0" w:line="42" w:lineRule="exact"/>
        <w:rPr>
          <w:rFonts w:ascii="Courier New" w:cs="Courier New" w:eastAsia="Courier New" w:hAnsi="Courier New"/>
          <w:sz w:val="15"/>
          <w:szCs w:val="15"/>
          <w:color w:val="auto"/>
        </w:rPr>
      </w:pPr>
    </w:p>
    <w:p>
      <w:pPr>
        <w:ind w:left="1385" w:hanging="647"/>
        <w:spacing w:after="0"/>
        <w:tabs>
          <w:tab w:leader="none" w:pos="1385"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Minority interest:</w:t>
      </w:r>
    </w:p>
    <w:p>
      <w:pPr>
        <w:spacing w:after="0" w:line="184" w:lineRule="exact"/>
        <w:rPr>
          <w:rFonts w:ascii="Courier New" w:cs="Courier New" w:eastAsia="Courier New" w:hAnsi="Courier New"/>
          <w:sz w:val="15"/>
          <w:szCs w:val="15"/>
          <w:color w:val="auto"/>
        </w:rPr>
      </w:pPr>
    </w:p>
    <w:p>
      <w:pPr>
        <w:ind w:left="1385" w:right="4340"/>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Minority interest was adjusted to take into consideration minority interest resulting from the U.S. GAAP adjustments in each of the subsidiaries of the Company.</w:t>
      </w:r>
    </w:p>
    <w:p>
      <w:pPr>
        <w:spacing w:after="0" w:line="42" w:lineRule="exact"/>
        <w:rPr>
          <w:rFonts w:ascii="Courier New" w:cs="Courier New" w:eastAsia="Courier New" w:hAnsi="Courier New"/>
          <w:sz w:val="15"/>
          <w:szCs w:val="15"/>
          <w:color w:val="auto"/>
        </w:rPr>
      </w:pPr>
    </w:p>
    <w:p>
      <w:pPr>
        <w:ind w:left="1385" w:hanging="555"/>
        <w:spacing w:after="0"/>
        <w:tabs>
          <w:tab w:leader="none" w:pos="1385" w:val="left"/>
        </w:tabs>
        <w:numPr>
          <w:ilvl w:val="3"/>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proportionate consolidation on the financial statement:</w:t>
      </w:r>
    </w:p>
    <w:p>
      <w:pPr>
        <w:spacing w:after="0" w:line="184" w:lineRule="exact"/>
        <w:rPr>
          <w:rFonts w:ascii="Courier New" w:cs="Courier New" w:eastAsia="Courier New" w:hAnsi="Courier New"/>
          <w:sz w:val="15"/>
          <w:szCs w:val="15"/>
          <w:color w:val="auto"/>
        </w:rPr>
      </w:pPr>
    </w:p>
    <w:p>
      <w:pPr>
        <w:ind w:left="1385" w:right="3960"/>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interests in a jointly controlled entity which have been proportionately consolidated in the Company's financial statements under Canadian GAAP. For purposes of U.S. GAAP, this interest would be accounted for by the equity method. Net income, earnings per share and shareholders' equity under U.S. GAAP are not impacted by the proportionate consolidation of this interest in a jointly controlled entity.</w:t>
      </w:r>
    </w:p>
    <w:p>
      <w:pPr>
        <w:spacing w:after="0" w:line="76" w:lineRule="exact"/>
        <w:rPr>
          <w:rFonts w:ascii="Courier New" w:cs="Courier New" w:eastAsia="Courier New" w:hAnsi="Courier New"/>
          <w:sz w:val="15"/>
          <w:szCs w:val="15"/>
          <w:color w:val="auto"/>
        </w:rPr>
      </w:pPr>
    </w:p>
    <w:p>
      <w:pPr>
        <w:ind w:left="1385" w:right="3960"/>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consolidated statements of earnings in accordance with Canadian GAAP include the Company's proportionate share of operations of Panneaux Chambord Inc.</w:t>
      </w:r>
    </w:p>
    <w:p>
      <w:pPr>
        <w:spacing w:after="0" w:line="200" w:lineRule="exact"/>
        <w:rPr>
          <w:rFonts w:ascii="Courier New" w:cs="Courier New" w:eastAsia="Courier New" w:hAnsi="Courier New"/>
          <w:sz w:val="15"/>
          <w:szCs w:val="15"/>
          <w:color w:val="auto"/>
        </w:rPr>
      </w:pPr>
    </w:p>
    <w:p>
      <w:pPr>
        <w:spacing w:after="0" w:line="375" w:lineRule="exact"/>
        <w:rPr>
          <w:rFonts w:ascii="Courier New" w:cs="Courier New" w:eastAsia="Courier New" w:hAnsi="Courier New"/>
          <w:sz w:val="15"/>
          <w:szCs w:val="15"/>
          <w:color w:val="auto"/>
        </w:rPr>
      </w:pPr>
    </w:p>
    <w:p>
      <w:pPr>
        <w:ind w:left="13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7845"/>
        <w:spacing w:after="0"/>
        <w:tabs>
          <w:tab w:leader="none" w:pos="976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1385" w:type="dxa"/>
        <w:tblCellMar>
          <w:top w:w="0" w:type="dxa"/>
          <w:left w:w="0" w:type="dxa"/>
          <w:bottom w:w="0" w:type="dxa"/>
          <w:right w:w="0" w:type="dxa"/>
        </w:tblCellMar>
      </w:tblP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47,566</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21,648</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58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31,558</w:t>
            </w:r>
          </w:p>
        </w:tc>
        <w:tc>
          <w:tcPr>
            <w:tcW w:w="74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21,291</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158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470</w:t>
            </w:r>
          </w:p>
        </w:tc>
        <w:tc>
          <w:tcPr>
            <w:tcW w:w="74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1,411</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Financial expenses</w:t>
            </w:r>
          </w:p>
        </w:tc>
        <w:tc>
          <w:tcPr>
            <w:tcW w:w="158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382</w:t>
            </w:r>
          </w:p>
        </w:tc>
        <w:tc>
          <w:tcPr>
            <w:tcW w:w="74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324</w:t>
            </w:r>
          </w:p>
        </w:tc>
      </w:tr>
      <w:tr>
        <w:trPr>
          <w:trHeight w:val="260"/>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Income taxes (recovery)</w:t>
            </w:r>
          </w:p>
        </w:tc>
        <w:tc>
          <w:tcPr>
            <w:tcW w:w="1580" w:type="dxa"/>
            <w:vAlign w:val="bottom"/>
          </w:tcPr>
          <w:p>
            <w:pPr>
              <w:spacing w:after="0"/>
              <w:rPr>
                <w:sz w:val="22"/>
                <w:szCs w:val="22"/>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4,799</w:t>
            </w:r>
          </w:p>
        </w:tc>
        <w:tc>
          <w:tcPr>
            <w:tcW w:w="7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r>
    </w:tbl>
    <w:p>
      <w:pPr>
        <w:spacing w:after="0" w:line="95"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345"/>
          </w:cols>
          <w:pgMar w:left="235" w:top="1155" w:right="319"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360" w:right="4240" w:hanging="359"/>
        <w:spacing w:after="0" w:line="375" w:lineRule="auto"/>
        <w:tabs>
          <w:tab w:leader="none" w:pos="340" w:val="left"/>
        </w:tabs>
        <w:rPr>
          <w:sz w:val="20"/>
          <w:szCs w:val="20"/>
          <w:color w:val="auto"/>
        </w:rPr>
      </w:pPr>
      <w:r>
        <w:rPr>
          <w:rFonts w:ascii="Courier New" w:cs="Courier New" w:eastAsia="Courier New" w:hAnsi="Courier New"/>
          <w:sz w:val="15"/>
          <w:szCs w:val="15"/>
          <w:color w:val="auto"/>
        </w:rPr>
        <w:t>20.</w:t>
        <w:tab/>
        <w:t>RECONCILIATION BETWEEN GENERALLY ACCEPTED ACCOUNTING PRINCIPLES IN CANADA AND IN THE UNITED STATES (CONTINUED):</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Consolidated statements of earnings (continued):</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(x) Earnings per share:</w:t>
      </w:r>
    </w:p>
    <w:p>
      <w:pPr>
        <w:spacing w:after="0" w:line="185" w:lineRule="exact"/>
        <w:rPr>
          <w:sz w:val="20"/>
          <w:szCs w:val="20"/>
          <w:color w:val="auto"/>
        </w:rPr>
      </w:pPr>
    </w:p>
    <w:p>
      <w:pPr>
        <w:ind w:left="1100" w:right="3960"/>
        <w:spacing w:after="0" w:line="268" w:lineRule="auto"/>
        <w:rPr>
          <w:sz w:val="20"/>
          <w:szCs w:val="20"/>
          <w:color w:val="auto"/>
        </w:rPr>
      </w:pPr>
      <w:r>
        <w:rPr>
          <w:rFonts w:ascii="Courier New" w:cs="Courier New" w:eastAsia="Courier New" w:hAnsi="Courier New"/>
          <w:sz w:val="15"/>
          <w:szCs w:val="15"/>
          <w:color w:val="auto"/>
        </w:rPr>
        <w:t>For the purpose of reporting under U.S. GAAP, SFAS No. 128 requires to replace the presentation of primary earnings per share ("EPS") with a presentation of basic EPS. This is consistent with the calculation for Canadian GAAP. The statement also requires dual presentation of basic and fully diluted EPS ( which includes the effect of stock options and convertible debentures having a dilutive impact) for all entities with complex capital structures. In 1997, options and convertible debentures are anti-dilutive.</w:t>
      </w:r>
    </w:p>
    <w:p>
      <w:pPr>
        <w:spacing w:after="0" w:line="7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 Consolidated statement of changes in financial position:</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185" w:lineRule="exact"/>
        <w:rPr>
          <w:sz w:val="20"/>
          <w:szCs w:val="20"/>
          <w:color w:val="auto"/>
        </w:rPr>
      </w:pPr>
    </w:p>
    <w:p>
      <w:pPr>
        <w:ind w:left="740"/>
        <w:spacing w:after="0"/>
        <w:tabs>
          <w:tab w:leader="none" w:pos="1180" w:val="left"/>
        </w:tabs>
        <w:rPr>
          <w:sz w:val="20"/>
          <w:szCs w:val="20"/>
          <w:color w:val="auto"/>
        </w:rPr>
      </w:pPr>
      <w:r>
        <w:rPr>
          <w:rFonts w:ascii="Courier New" w:cs="Courier New" w:eastAsia="Courier New" w:hAnsi="Courier New"/>
          <w:sz w:val="15"/>
          <w:szCs w:val="15"/>
          <w:color w:val="auto"/>
        </w:rPr>
        <w:t>(i)</w:t>
        <w:tab/>
        <w:t>Cash paid during the year for:</w:t>
      </w:r>
    </w:p>
    <w:p>
      <w:pPr>
        <w:spacing w:after="0" w:line="200" w:lineRule="exact"/>
        <w:rPr>
          <w:sz w:val="20"/>
          <w:szCs w:val="20"/>
          <w:color w:val="auto"/>
        </w:rPr>
      </w:pPr>
    </w:p>
    <w:p>
      <w:pPr>
        <w:spacing w:after="0" w:line="34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7840"/>
        <w:spacing w:after="0"/>
        <w:tabs>
          <w:tab w:leader="none" w:pos="9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1280" w:type="dxa"/>
        <w:tblCellMar>
          <w:top w:w="0" w:type="dxa"/>
          <w:left w:w="0" w:type="dxa"/>
          <w:bottom w:w="0" w:type="dxa"/>
          <w:right w:w="0" w:type="dxa"/>
        </w:tblCellMar>
      </w:tblP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Interests</w:t>
            </w:r>
          </w:p>
        </w:tc>
        <w:tc>
          <w:tcPr>
            <w:tcW w:w="26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15,374</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2,967</w:t>
            </w:r>
          </w:p>
        </w:tc>
      </w:tr>
      <w:tr>
        <w:trPr>
          <w:trHeight w:val="26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80" w:type="dxa"/>
            <w:vAlign w:val="bottom"/>
          </w:tcPr>
          <w:p>
            <w:pPr>
              <w:spacing w:after="0"/>
              <w:rPr>
                <w:sz w:val="22"/>
                <w:szCs w:val="22"/>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1,301</w:t>
            </w:r>
          </w:p>
        </w:tc>
        <w:tc>
          <w:tcPr>
            <w:tcW w:w="7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1,295</w:t>
            </w:r>
          </w:p>
        </w:tc>
      </w:tr>
    </w:tbl>
    <w:p>
      <w:pPr>
        <w:spacing w:after="0" w:line="9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1280" w:right="4060" w:hanging="460"/>
        <w:spacing w:after="0" w:line="282" w:lineRule="auto"/>
        <w:rPr>
          <w:sz w:val="20"/>
          <w:szCs w:val="20"/>
          <w:color w:val="auto"/>
        </w:rPr>
      </w:pPr>
      <w:r>
        <w:rPr>
          <w:rFonts w:ascii="Courier New" w:cs="Courier New" w:eastAsia="Courier New" w:hAnsi="Courier New"/>
          <w:sz w:val="15"/>
          <w:szCs w:val="15"/>
          <w:color w:val="auto"/>
        </w:rPr>
        <w:t>(ii) The Company's statements of changes in financial position reconcile the changes in cash, temporary investment, bank indebtedness and bank loan. Under the U.S. GAAP, changes in bank indebtedness and bank loan amounting to $5,542 in 1998 ($1,882 in 1997) would have been classified as financing activities.</w:t>
      </w:r>
    </w:p>
    <w:p>
      <w:pPr>
        <w:spacing w:after="0" w:line="66" w:lineRule="exact"/>
        <w:rPr>
          <w:sz w:val="20"/>
          <w:szCs w:val="20"/>
          <w:color w:val="auto"/>
        </w:rPr>
      </w:pPr>
    </w:p>
    <w:p>
      <w:pPr>
        <w:ind w:left="1280" w:right="4240" w:hanging="460"/>
        <w:spacing w:after="0" w:line="314" w:lineRule="auto"/>
        <w:rPr>
          <w:sz w:val="20"/>
          <w:szCs w:val="20"/>
          <w:color w:val="auto"/>
        </w:rPr>
      </w:pPr>
      <w:r>
        <w:rPr>
          <w:rFonts w:ascii="Courier New" w:cs="Courier New" w:eastAsia="Courier New" w:hAnsi="Courier New"/>
          <w:sz w:val="15"/>
          <w:szCs w:val="15"/>
          <w:color w:val="auto"/>
        </w:rPr>
        <w:t>(iii)In 1998 and 1997, the consolidated statements of financial position in accordance with Canadian GAAP include the Company's proportionate share of activities of Panneaux Chambord Inc.</w:t>
      </w:r>
    </w:p>
    <w:p>
      <w:pPr>
        <w:spacing w:after="0" w:line="200" w:lineRule="exact"/>
        <w:rPr>
          <w:sz w:val="20"/>
          <w:szCs w:val="20"/>
          <w:color w:val="auto"/>
        </w:rPr>
      </w:pPr>
    </w:p>
    <w:p>
      <w:pPr>
        <w:spacing w:after="0" w:line="37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7840"/>
        <w:spacing w:after="0"/>
        <w:tabs>
          <w:tab w:leader="none" w:pos="9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1280" w:type="dxa"/>
        <w:tblCellMar>
          <w:top w:w="0" w:type="dxa"/>
          <w:left w:w="0" w:type="dxa"/>
          <w:bottom w:w="0" w:type="dxa"/>
          <w:right w:w="0" w:type="dxa"/>
        </w:tblCellMar>
      </w:tblP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27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17,123</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5,617</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272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(936)</w:t>
            </w: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(5,674)</w:t>
            </w:r>
          </w:p>
        </w:tc>
      </w:tr>
      <w:tr>
        <w:trPr>
          <w:trHeight w:val="260"/>
        </w:trPr>
        <w:tc>
          <w:tcPr>
            <w:tcW w:w="338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2720" w:type="dxa"/>
            <w:vAlign w:val="bottom"/>
          </w:tcPr>
          <w:p>
            <w:pPr>
              <w:spacing w:after="0"/>
              <w:rPr>
                <w:sz w:val="22"/>
                <w:szCs w:val="22"/>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(2,260)</w:t>
            </w:r>
          </w:p>
        </w:tc>
        <w:tc>
          <w:tcPr>
            <w:tcW w:w="7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(2,260)</w:t>
            </w:r>
          </w:p>
        </w:tc>
      </w:tr>
    </w:tbl>
    <w:p>
      <w:pPr>
        <w:spacing w:after="0" w:line="9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40"/>
          </w:cols>
          <w:pgMar w:left="240" w:top="1155" w:right="319" w:bottom="1440" w:gutter="0" w:footer="0" w:header="0"/>
        </w:sectPr>
      </w:pPr>
    </w:p>
    <w:bookmarkStart w:id="37" w:name="page38"/>
    <w:bookmarkEnd w:id="37"/>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465" w:right="4140" w:hanging="465"/>
        <w:spacing w:after="0" w:line="375" w:lineRule="auto"/>
        <w:tabs>
          <w:tab w:leader="none" w:pos="4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BETWEEN GENERALLY ACCEPTED ACCOUNTING PRINCIPLES IN CANADA AND IN THE UNITED STATES (CONTINUED):</w:t>
      </w:r>
    </w:p>
    <w:p>
      <w:pPr>
        <w:spacing w:after="0" w:line="1"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w:t>
      </w:r>
    </w:p>
    <w:p>
      <w:pPr>
        <w:spacing w:after="0" w:line="184" w:lineRule="exact"/>
        <w:rPr>
          <w:rFonts w:ascii="Courier New" w:cs="Courier New" w:eastAsia="Courier New" w:hAnsi="Courier New"/>
          <w:sz w:val="15"/>
          <w:szCs w:val="15"/>
          <w:color w:val="auto"/>
        </w:rPr>
      </w:pPr>
    </w:p>
    <w:p>
      <w:pPr>
        <w:ind w:left="825" w:right="4140"/>
        <w:spacing w:after="0" w:line="3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summarizes the balance sheet amounts in accordance with U.S. GAAP:</w:t>
      </w:r>
    </w:p>
    <w:p>
      <w:pPr>
        <w:spacing w:after="0" w:line="200" w:lineRule="exact"/>
        <w:rPr>
          <w:rFonts w:ascii="Courier New" w:cs="Courier New" w:eastAsia="Courier New" w:hAnsi="Courier New"/>
          <w:sz w:val="15"/>
          <w:szCs w:val="15"/>
          <w:color w:val="auto"/>
        </w:rPr>
      </w:pPr>
    </w:p>
    <w:p>
      <w:pPr>
        <w:spacing w:after="0" w:line="330"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5345"/>
        <w:spacing w:after="0"/>
        <w:tabs>
          <w:tab w:leader="none" w:pos="864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p>
      <w:pPr>
        <w:ind w:left="4425"/>
        <w:spacing w:after="0"/>
        <w:tabs>
          <w:tab w:leader="none" w:pos="5425" w:val="left"/>
          <w:tab w:leader="none" w:pos="7645" w:val="left"/>
          <w:tab w:leader="none" w:pos="8925" w:val="left"/>
        </w:tabs>
        <w:rPr>
          <w:sz w:val="20"/>
          <w:szCs w:val="20"/>
          <w:color w:val="auto"/>
        </w:rPr>
      </w:pP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5"/>
          <w:szCs w:val="15"/>
          <w:color w:val="auto"/>
        </w:rPr>
        <w:t>United States</w:t>
      </w:r>
      <w:r>
        <w:rPr>
          <w:sz w:val="20"/>
          <w:szCs w:val="20"/>
          <w:color w:val="auto"/>
        </w:rPr>
        <w:tab/>
      </w:r>
      <w:r>
        <w:rPr>
          <w:rFonts w:ascii="Courier New" w:cs="Courier New" w:eastAsia="Courier New" w:hAnsi="Courier New"/>
          <w:sz w:val="15"/>
          <w:szCs w:val="15"/>
          <w:color w:val="auto"/>
        </w:rPr>
        <w:t>Canada</w:t>
      </w:r>
      <w:r>
        <w:rPr>
          <w:sz w:val="20"/>
          <w:szCs w:val="20"/>
          <w:color w:val="auto"/>
        </w:rPr>
        <w:tab/>
      </w:r>
      <w:r>
        <w:rPr>
          <w:rFonts w:ascii="Courier New" w:cs="Courier New" w:eastAsia="Courier New" w:hAnsi="Courier New"/>
          <w:sz w:val="15"/>
          <w:szCs w:val="15"/>
          <w:color w:val="auto"/>
        </w:rPr>
        <w:t>United States</w:t>
      </w:r>
    </w:p>
    <w:p>
      <w:pPr>
        <w:spacing w:after="0" w:line="36"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825" w:type="dxa"/>
        <w:tblCellMar>
          <w:top w:w="0" w:type="dxa"/>
          <w:left w:w="0" w:type="dxa"/>
          <w:bottom w:w="0" w:type="dxa"/>
          <w:right w:w="0" w:type="dxa"/>
        </w:tblCellMar>
      </w:tblP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Current assets (i), (ii)</w:t>
            </w:r>
          </w:p>
        </w:tc>
        <w:tc>
          <w:tcPr>
            <w:tcW w:w="34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96,029</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73,462</w:t>
            </w:r>
          </w:p>
        </w:tc>
        <w:tc>
          <w:tcPr>
            <w:tcW w:w="5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76,336</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66,001</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(i), (iii), (iv)</w:t>
            </w:r>
          </w:p>
        </w:tc>
        <w:tc>
          <w:tcPr>
            <w:tcW w:w="34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2,244</w:t>
            </w:r>
          </w:p>
        </w:tc>
        <w:tc>
          <w:tcPr>
            <w:tcW w:w="5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40,908</w:t>
            </w:r>
          </w:p>
        </w:tc>
        <w:tc>
          <w:tcPr>
            <w:tcW w:w="5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2,425</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27,415</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Fixed assets (i), (v)</w:t>
            </w:r>
          </w:p>
        </w:tc>
        <w:tc>
          <w:tcPr>
            <w:tcW w:w="34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247,122</w:t>
            </w:r>
          </w:p>
        </w:tc>
        <w:tc>
          <w:tcPr>
            <w:tcW w:w="5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231,029</w:t>
            </w:r>
          </w:p>
        </w:tc>
        <w:tc>
          <w:tcPr>
            <w:tcW w:w="5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236,419</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210,516</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assets (i), (v), (vi)</w:t>
            </w:r>
          </w:p>
        </w:tc>
        <w:tc>
          <w:tcPr>
            <w:tcW w:w="34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17,075</w:t>
            </w:r>
          </w:p>
        </w:tc>
        <w:tc>
          <w:tcPr>
            <w:tcW w:w="5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7,696</w:t>
            </w:r>
          </w:p>
        </w:tc>
        <w:tc>
          <w:tcPr>
            <w:tcW w:w="5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13,602</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3,740</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Current liabilities (i), (ii)</w:t>
            </w:r>
          </w:p>
        </w:tc>
        <w:tc>
          <w:tcPr>
            <w:tcW w:w="34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28,912</w:t>
            </w:r>
          </w:p>
        </w:tc>
        <w:tc>
          <w:tcPr>
            <w:tcW w:w="5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20,814</w:t>
            </w:r>
          </w:p>
        </w:tc>
        <w:tc>
          <w:tcPr>
            <w:tcW w:w="5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38,916</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32,308</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Long-term debt (i), (vii)</w:t>
            </w:r>
          </w:p>
        </w:tc>
        <w:tc>
          <w:tcPr>
            <w:tcW w:w="34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167,742</w:t>
            </w:r>
          </w:p>
        </w:tc>
        <w:tc>
          <w:tcPr>
            <w:tcW w:w="5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186,901</w:t>
            </w:r>
          </w:p>
        </w:tc>
        <w:tc>
          <w:tcPr>
            <w:tcW w:w="5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114,357</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131,458</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Deferred income taxes (i), (v)</w:t>
            </w:r>
          </w:p>
        </w:tc>
        <w:tc>
          <w:tcPr>
            <w:tcW w:w="340" w:type="dxa"/>
            <w:vAlign w:val="bottom"/>
          </w:tcPr>
          <w:p>
            <w:pPr>
              <w:spacing w:after="0"/>
              <w:rPr>
                <w:sz w:val="15"/>
                <w:szCs w:val="15"/>
                <w:color w:val="auto"/>
              </w:rPr>
            </w:pP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30,849</w:t>
            </w:r>
          </w:p>
        </w:tc>
        <w:tc>
          <w:tcPr>
            <w:tcW w:w="5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44,614</w:t>
            </w:r>
          </w:p>
        </w:tc>
        <w:tc>
          <w:tcPr>
            <w:tcW w:w="5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17,162</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18,520</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Minority interests (viii)</w:t>
            </w:r>
          </w:p>
        </w:tc>
        <w:tc>
          <w:tcPr>
            <w:tcW w:w="340" w:type="dxa"/>
            <w:vAlign w:val="bottom"/>
          </w:tcPr>
          <w:p>
            <w:pPr>
              <w:spacing w:after="0"/>
              <w:rPr>
                <w:sz w:val="15"/>
                <w:szCs w:val="15"/>
                <w:color w:val="auto"/>
              </w:rPr>
            </w:pP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57,028</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51,863</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Shareholders' equity (ii), (iii),</w:t>
            </w:r>
          </w:p>
        </w:tc>
        <w:tc>
          <w:tcPr>
            <w:tcW w:w="340" w:type="dxa"/>
            <w:vAlign w:val="bottom"/>
          </w:tcPr>
          <w:p>
            <w:pPr>
              <w:spacing w:after="0"/>
              <w:rPr>
                <w:sz w:val="15"/>
                <w:szCs w:val="15"/>
                <w:color w:val="auto"/>
              </w:rPr>
            </w:pPr>
          </w:p>
        </w:tc>
        <w:tc>
          <w:tcPr>
            <w:tcW w:w="10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134,967</w:t>
            </w:r>
          </w:p>
        </w:tc>
        <w:tc>
          <w:tcPr>
            <w:tcW w:w="540" w:type="dxa"/>
            <w:vAlign w:val="bottom"/>
          </w:tcPr>
          <w:p>
            <w:pPr>
              <w:spacing w:after="0"/>
              <w:rPr>
                <w:sz w:val="15"/>
                <w:szCs w:val="15"/>
                <w:color w:val="auto"/>
              </w:rPr>
            </w:pPr>
          </w:p>
        </w:tc>
        <w:tc>
          <w:tcPr>
            <w:tcW w:w="102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rPr>
              <w:t>100,766</w:t>
            </w:r>
          </w:p>
        </w:tc>
        <w:tc>
          <w:tcPr>
            <w:tcW w:w="500" w:type="dxa"/>
            <w:vAlign w:val="bottom"/>
          </w:tcPr>
          <w:p>
            <w:pPr>
              <w:spacing w:after="0"/>
              <w:rPr>
                <w:sz w:val="15"/>
                <w:szCs w:val="15"/>
                <w:color w:val="auto"/>
              </w:rPr>
            </w:pPr>
          </w:p>
        </w:tc>
        <w:tc>
          <w:tcPr>
            <w:tcW w:w="126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rPr>
              <w:t>101,319</w:t>
            </w:r>
          </w:p>
        </w:tc>
        <w:tc>
          <w:tcPr>
            <w:tcW w:w="6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73,523</w:t>
            </w:r>
          </w:p>
        </w:tc>
        <w:tc>
          <w:tcPr>
            <w:tcW w:w="0" w:type="dxa"/>
            <w:vAlign w:val="bottom"/>
          </w:tcPr>
          <w:p>
            <w:pPr>
              <w:spacing w:after="0"/>
              <w:rPr>
                <w:sz w:val="1"/>
                <w:szCs w:val="1"/>
                <w:color w:val="auto"/>
              </w:rPr>
            </w:pPr>
          </w:p>
        </w:tc>
      </w:tr>
      <w:tr>
        <w:trPr>
          <w:trHeight w:val="260"/>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(iv), (v), (vi), (vii) and (viii)</w:t>
            </w:r>
          </w:p>
        </w:tc>
        <w:tc>
          <w:tcPr>
            <w:tcW w:w="106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1285" w:right="4060" w:hanging="363"/>
        <w:spacing w:after="0" w:line="271" w:lineRule="auto"/>
        <w:tabs>
          <w:tab w:leader="none" w:pos="12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interests in a jointly controlled entity which have been proportionately consolidated in the Company's financial statements under Canadian GAAP. For purposes of U.S. GAAP, this interest would be accounted for by the equity method. Net income, earnings per share and shareholders' equity under U.S. GAAP are not impacted by the proportionate consolidation of this interest in a jointly controlled entity.</w:t>
      </w:r>
    </w:p>
    <w:p>
      <w:pPr>
        <w:spacing w:after="0" w:line="76" w:lineRule="exact"/>
        <w:rPr>
          <w:rFonts w:ascii="Courier New" w:cs="Courier New" w:eastAsia="Courier New" w:hAnsi="Courier New"/>
          <w:sz w:val="15"/>
          <w:szCs w:val="15"/>
          <w:color w:val="auto"/>
        </w:rPr>
      </w:pPr>
    </w:p>
    <w:p>
      <w:pPr>
        <w:ind w:left="1285" w:right="4240"/>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consolidated balance sheet in accordance with Canadian GAAP include the Company's proportionate share of assets and liabilities of Panneaux Cambord Inc.</w:t>
      </w:r>
    </w:p>
    <w:p>
      <w:pPr>
        <w:spacing w:after="0" w:line="200" w:lineRule="exact"/>
        <w:rPr>
          <w:rFonts w:ascii="Courier New" w:cs="Courier New" w:eastAsia="Courier New" w:hAnsi="Courier New"/>
          <w:sz w:val="15"/>
          <w:szCs w:val="15"/>
          <w:color w:val="auto"/>
        </w:rPr>
      </w:pPr>
    </w:p>
    <w:p>
      <w:pPr>
        <w:spacing w:after="0" w:line="375" w:lineRule="exact"/>
        <w:rPr>
          <w:rFonts w:ascii="Courier New" w:cs="Courier New" w:eastAsia="Courier New" w:hAnsi="Courier New"/>
          <w:sz w:val="15"/>
          <w:szCs w:val="15"/>
          <w:color w:val="auto"/>
        </w:rPr>
      </w:pPr>
    </w:p>
    <w:p>
      <w:pPr>
        <w:ind w:left="1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7845"/>
        <w:spacing w:after="0"/>
        <w:tabs>
          <w:tab w:leader="none" w:pos="976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1285" w:type="dxa"/>
        <w:tblCellMar>
          <w:top w:w="0" w:type="dxa"/>
          <w:left w:w="0" w:type="dxa"/>
          <w:bottom w:w="0" w:type="dxa"/>
          <w:right w:w="0" w:type="dxa"/>
        </w:tblCellMar>
      </w:tblPr>
      <w:tr>
        <w:trPr>
          <w:trHeight w:val="177"/>
        </w:trPr>
        <w:tc>
          <w:tcPr>
            <w:tcW w:w="3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22,850</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10,335</w:t>
            </w:r>
          </w:p>
        </w:tc>
      </w:tr>
      <w:tr>
        <w:trPr>
          <w:trHeight w:val="177"/>
        </w:trPr>
        <w:tc>
          <w:tcPr>
            <w:tcW w:w="384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226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25,093</w:t>
            </w:r>
          </w:p>
        </w:tc>
        <w:tc>
          <w:tcPr>
            <w:tcW w:w="7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25,903</w:t>
            </w:r>
          </w:p>
        </w:tc>
      </w:tr>
      <w:tr>
        <w:trPr>
          <w:trHeight w:val="177"/>
        </w:trPr>
        <w:tc>
          <w:tcPr>
            <w:tcW w:w="3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60" w:type="dxa"/>
            <w:vAlign w:val="bottom"/>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1,628</w:t>
            </w:r>
          </w:p>
        </w:tc>
        <w:tc>
          <w:tcPr>
            <w:tcW w:w="70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1,827</w:t>
            </w:r>
          </w:p>
        </w:tc>
      </w:tr>
      <w:tr>
        <w:trPr>
          <w:trHeight w:val="177"/>
        </w:trPr>
        <w:tc>
          <w:tcPr>
            <w:tcW w:w="3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6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(8,462)</w:t>
            </w: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(6,814)</w:t>
            </w:r>
          </w:p>
        </w:tc>
      </w:tr>
      <w:tr>
        <w:trPr>
          <w:trHeight w:val="177"/>
        </w:trPr>
        <w:tc>
          <w:tcPr>
            <w:tcW w:w="38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60" w:type="dxa"/>
            <w:vAlign w:val="bottom"/>
          </w:tcPr>
          <w:p>
            <w:pPr>
              <w:spacing w:after="0"/>
              <w:rPr>
                <w:sz w:val="15"/>
                <w:szCs w:val="15"/>
                <w:color w:val="auto"/>
              </w:rPr>
            </w:pP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(1,155)</w:t>
            </w:r>
          </w:p>
        </w:tc>
      </w:tr>
      <w:tr>
        <w:trPr>
          <w:trHeight w:val="260"/>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60" w:type="dxa"/>
            <w:vAlign w:val="bottom"/>
          </w:tcPr>
          <w:p>
            <w:pPr>
              <w:spacing w:after="0"/>
              <w:rPr>
                <w:sz w:val="22"/>
                <w:szCs w:val="22"/>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(4,841)</w:t>
            </w:r>
          </w:p>
        </w:tc>
        <w:tc>
          <w:tcPr>
            <w:tcW w:w="7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(4,205)</w:t>
            </w:r>
          </w:p>
        </w:tc>
      </w:tr>
    </w:tbl>
    <w:p>
      <w:pPr>
        <w:spacing w:after="0" w:line="95"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345"/>
          </w:cols>
          <w:pgMar w:left="235" w:top="1154" w:right="319" w:bottom="1440" w:gutter="0" w:footer="0" w:header="0"/>
        </w:sectPr>
      </w:pPr>
    </w:p>
    <w:bookmarkStart w:id="38" w:name="page39"/>
    <w:bookmarkEnd w:id="38"/>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465" w:right="4140" w:hanging="465"/>
        <w:spacing w:after="0" w:line="375" w:lineRule="auto"/>
        <w:tabs>
          <w:tab w:leader="none" w:pos="46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BETWEEN GENERALLY ACCEPTED ACCOUNTING PRINCIPLES IN CANADA AND IN THE UNITED STATES (CONTINUED):</w:t>
      </w:r>
    </w:p>
    <w:p>
      <w:pPr>
        <w:spacing w:after="0" w:line="1" w:lineRule="exact"/>
        <w:rPr>
          <w:rFonts w:ascii="Courier New" w:cs="Courier New" w:eastAsia="Courier New" w:hAnsi="Courier New"/>
          <w:sz w:val="15"/>
          <w:szCs w:val="15"/>
          <w:color w:val="auto"/>
        </w:rPr>
      </w:pPr>
    </w:p>
    <w:p>
      <w:pPr>
        <w:ind w:left="825" w:hanging="364"/>
        <w:spacing w:after="0"/>
        <w:tabs>
          <w:tab w:leader="none" w:pos="82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 (continued):</w:t>
      </w:r>
    </w:p>
    <w:p>
      <w:pPr>
        <w:spacing w:after="0" w:line="184" w:lineRule="exact"/>
        <w:rPr>
          <w:rFonts w:ascii="Courier New" w:cs="Courier New" w:eastAsia="Courier New" w:hAnsi="Courier New"/>
          <w:sz w:val="15"/>
          <w:szCs w:val="15"/>
          <w:color w:val="auto"/>
        </w:rPr>
      </w:pPr>
    </w:p>
    <w:p>
      <w:pPr>
        <w:ind w:left="1485" w:hanging="655"/>
        <w:spacing w:after="0"/>
        <w:tabs>
          <w:tab w:leader="none" w:pos="1485"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 to (a) (ii) above.</w:t>
      </w:r>
    </w:p>
    <w:p>
      <w:pPr>
        <w:spacing w:after="0" w:line="184" w:lineRule="exact"/>
        <w:rPr>
          <w:rFonts w:ascii="Courier New" w:cs="Courier New" w:eastAsia="Courier New" w:hAnsi="Courier New"/>
          <w:sz w:val="15"/>
          <w:szCs w:val="15"/>
          <w:color w:val="auto"/>
        </w:rPr>
      </w:pPr>
    </w:p>
    <w:p>
      <w:pPr>
        <w:ind w:left="1485" w:hanging="655"/>
        <w:spacing w:after="0"/>
        <w:tabs>
          <w:tab w:leader="none" w:pos="1485"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 to (a) (vii) above.</w:t>
      </w:r>
    </w:p>
    <w:p>
      <w:pPr>
        <w:spacing w:after="0" w:line="184" w:lineRule="exact"/>
        <w:rPr>
          <w:rFonts w:ascii="Courier New" w:cs="Courier New" w:eastAsia="Courier New" w:hAnsi="Courier New"/>
          <w:sz w:val="15"/>
          <w:szCs w:val="15"/>
          <w:color w:val="auto"/>
        </w:rPr>
      </w:pPr>
    </w:p>
    <w:p>
      <w:pPr>
        <w:ind w:left="1485" w:right="4060" w:hanging="655"/>
        <w:spacing w:after="0" w:line="293" w:lineRule="auto"/>
        <w:tabs>
          <w:tab w:leader="none" w:pos="1485"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FAS 115 requires that investments available for sale be measured at fair value. Unrealized gains or losses were excluded from earnings and reported in shareholders' equity.</w:t>
      </w:r>
    </w:p>
    <w:p>
      <w:pPr>
        <w:spacing w:after="0" w:line="57" w:lineRule="exact"/>
        <w:rPr>
          <w:rFonts w:ascii="Courier New" w:cs="Courier New" w:eastAsia="Courier New" w:hAnsi="Courier New"/>
          <w:sz w:val="15"/>
          <w:szCs w:val="15"/>
          <w:color w:val="auto"/>
        </w:rPr>
      </w:pPr>
    </w:p>
    <w:p>
      <w:pPr>
        <w:ind w:left="1485" w:hanging="655"/>
        <w:spacing w:after="0"/>
        <w:tabs>
          <w:tab w:leader="none" w:pos="1485"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 to (a) (v) above.</w:t>
      </w:r>
    </w:p>
    <w:p>
      <w:pPr>
        <w:spacing w:after="0" w:line="184" w:lineRule="exact"/>
        <w:rPr>
          <w:rFonts w:ascii="Courier New" w:cs="Courier New" w:eastAsia="Courier New" w:hAnsi="Courier New"/>
          <w:sz w:val="15"/>
          <w:szCs w:val="15"/>
          <w:color w:val="auto"/>
        </w:rPr>
      </w:pPr>
    </w:p>
    <w:p>
      <w:pPr>
        <w:ind w:left="1485" w:hanging="655"/>
        <w:spacing w:after="0"/>
        <w:tabs>
          <w:tab w:leader="none" w:pos="1485"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 to (a) (i), (iii) and (iv) above.</w:t>
      </w:r>
    </w:p>
    <w:p>
      <w:pPr>
        <w:spacing w:after="0" w:line="184" w:lineRule="exact"/>
        <w:rPr>
          <w:rFonts w:ascii="Courier New" w:cs="Courier New" w:eastAsia="Courier New" w:hAnsi="Courier New"/>
          <w:sz w:val="15"/>
          <w:szCs w:val="15"/>
          <w:color w:val="auto"/>
        </w:rPr>
      </w:pPr>
    </w:p>
    <w:p>
      <w:pPr>
        <w:ind w:left="1485" w:hanging="655"/>
        <w:spacing w:after="0"/>
        <w:tabs>
          <w:tab w:leader="none" w:pos="1485"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 to (a) (iv) above.</w:t>
      </w:r>
    </w:p>
    <w:p>
      <w:pPr>
        <w:spacing w:after="0" w:line="184" w:lineRule="exact"/>
        <w:rPr>
          <w:rFonts w:ascii="Courier New" w:cs="Courier New" w:eastAsia="Courier New" w:hAnsi="Courier New"/>
          <w:sz w:val="15"/>
          <w:szCs w:val="15"/>
          <w:color w:val="auto"/>
        </w:rPr>
      </w:pPr>
    </w:p>
    <w:p>
      <w:pPr>
        <w:ind w:left="1485" w:hanging="655"/>
        <w:spacing w:after="0"/>
        <w:tabs>
          <w:tab w:leader="none" w:pos="1485"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 to (a) (viii) above.</w:t>
      </w:r>
    </w:p>
    <w:p>
      <w:pPr>
        <w:spacing w:after="0" w:line="185" w:lineRule="exact"/>
        <w:rPr>
          <w:sz w:val="20"/>
          <w:szCs w:val="20"/>
          <w:color w:val="auto"/>
        </w:rPr>
      </w:pPr>
    </w:p>
    <w:p>
      <w:pPr>
        <w:ind w:left="825" w:hanging="825"/>
        <w:spacing w:after="0"/>
        <w:tabs>
          <w:tab w:leader="none" w:pos="82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 of comprehensive income:</w:t>
      </w:r>
    </w:p>
    <w:p>
      <w:pPr>
        <w:spacing w:after="0" w:line="184" w:lineRule="exact"/>
        <w:rPr>
          <w:rFonts w:ascii="Courier New" w:cs="Courier New" w:eastAsia="Courier New" w:hAnsi="Courier New"/>
          <w:sz w:val="15"/>
          <w:szCs w:val="15"/>
          <w:color w:val="auto"/>
        </w:rPr>
      </w:pPr>
    </w:p>
    <w:p>
      <w:pPr>
        <w:ind w:left="825" w:right="4060"/>
        <w:spacing w:after="0" w:line="27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130, "Reporting comprehensive Income", requires that a statement of comprehensive income be displayed with the same prominence as other financial statements. Comprehensive income, which incorporates net income, includes all changes in equity during a period except those resulting from investments by and distributions to owners. There is no requirement to disclose comprehensive income under Canadian GAAP.</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1"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7845"/>
        <w:spacing w:after="0"/>
        <w:tabs>
          <w:tab w:leader="none" w:pos="9765"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825" w:type="dxa"/>
        <w:tblCellMar>
          <w:top w:w="0" w:type="dxa"/>
          <w:left w:w="0" w:type="dxa"/>
          <w:bottom w:w="0" w:type="dxa"/>
          <w:right w:w="0" w:type="dxa"/>
        </w:tblCellMar>
      </w:tblP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Net earnings (loss) in accordance with U.S. GAAP</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25,130</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(5,361)</w:t>
            </w:r>
          </w:p>
        </w:tc>
        <w:tc>
          <w:tcPr>
            <w:tcW w:w="0" w:type="dxa"/>
            <w:vAlign w:val="bottom"/>
          </w:tcPr>
          <w:p>
            <w:pPr>
              <w:spacing w:after="0"/>
              <w:rPr>
                <w:sz w:val="1"/>
                <w:szCs w:val="1"/>
                <w:color w:val="auto"/>
              </w:rPr>
            </w:pPr>
          </w:p>
        </w:tc>
      </w:tr>
      <w:tr>
        <w:trPr>
          <w:trHeight w:val="177"/>
        </w:trPr>
        <w:tc>
          <w:tcPr>
            <w:tcW w:w="5640" w:type="dxa"/>
            <w:vAlign w:val="bottom"/>
          </w:tcPr>
          <w:p>
            <w:pPr>
              <w:spacing w:after="0"/>
              <w:rPr>
                <w:sz w:val="20"/>
                <w:szCs w:val="20"/>
                <w:color w:val="auto"/>
              </w:rPr>
            </w:pPr>
            <w:r>
              <w:rPr>
                <w:rFonts w:ascii="Courier New" w:cs="Courier New" w:eastAsia="Courier New" w:hAnsi="Courier New"/>
                <w:sz w:val="15"/>
                <w:szCs w:val="15"/>
                <w:color w:val="auto"/>
              </w:rPr>
              <w:t>Other comprehensive earnings (loss), net of taxes:</w:t>
            </w:r>
          </w:p>
        </w:tc>
        <w:tc>
          <w:tcPr>
            <w:tcW w:w="860" w:type="dxa"/>
            <w:vAlign w:val="bottom"/>
          </w:tcPr>
          <w:p>
            <w:pPr>
              <w:spacing w:after="0"/>
              <w:rPr>
                <w:sz w:val="15"/>
                <w:szCs w:val="15"/>
                <w:color w:val="auto"/>
              </w:rPr>
            </w:pPr>
          </w:p>
        </w:tc>
        <w:tc>
          <w:tcPr>
            <w:tcW w:w="1200" w:type="dxa"/>
            <w:vAlign w:val="bottom"/>
            <w:vMerge w:val="restart"/>
          </w:tcPr>
          <w:p>
            <w:pPr>
              <w:jc w:val="right"/>
              <w:ind w:right="323"/>
              <w:spacing w:after="0"/>
              <w:rPr>
                <w:sz w:val="20"/>
                <w:szCs w:val="20"/>
                <w:color w:val="auto"/>
              </w:rPr>
            </w:pPr>
            <w:r>
              <w:rPr>
                <w:rFonts w:ascii="Courier New" w:cs="Courier New" w:eastAsia="Courier New" w:hAnsi="Courier New"/>
                <w:sz w:val="15"/>
                <w:szCs w:val="15"/>
                <w:color w:val="auto"/>
              </w:rPr>
              <w:t>487</w:t>
            </w: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(281)</w:t>
            </w:r>
          </w:p>
        </w:tc>
        <w:tc>
          <w:tcPr>
            <w:tcW w:w="0" w:type="dxa"/>
            <w:vAlign w:val="bottom"/>
          </w:tcPr>
          <w:p>
            <w:pPr>
              <w:spacing w:after="0"/>
              <w:rPr>
                <w:sz w:val="1"/>
                <w:szCs w:val="1"/>
                <w:color w:val="auto"/>
              </w:rPr>
            </w:pPr>
          </w:p>
        </w:tc>
      </w:tr>
      <w:tr>
        <w:trPr>
          <w:trHeight w:val="260"/>
        </w:trPr>
        <w:tc>
          <w:tcPr>
            <w:tcW w:w="5640" w:type="dxa"/>
            <w:vAlign w:val="bottom"/>
          </w:tcPr>
          <w:p>
            <w:pPr>
              <w:ind w:left="460"/>
              <w:spacing w:after="0"/>
              <w:rPr>
                <w:sz w:val="20"/>
                <w:szCs w:val="20"/>
                <w:color w:val="auto"/>
              </w:rPr>
            </w:pPr>
            <w:r>
              <w:rPr>
                <w:rFonts w:ascii="Courier New" w:cs="Courier New" w:eastAsia="Courier New" w:hAnsi="Courier New"/>
                <w:sz w:val="15"/>
                <w:szCs w:val="15"/>
                <w:color w:val="auto"/>
              </w:rPr>
              <w:t>Unrealized losses on available-for-sale-securities</w:t>
            </w:r>
          </w:p>
        </w:tc>
        <w:tc>
          <w:tcPr>
            <w:tcW w:w="8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825"/>
        <w:spacing w:after="0"/>
        <w:tabs>
          <w:tab w:leader="none" w:pos="6985" w:val="left"/>
          <w:tab w:leader="none" w:pos="7645" w:val="left"/>
          <w:tab w:leader="none" w:pos="8925" w:val="left"/>
          <w:tab w:leader="none" w:pos="9765" w:val="left"/>
        </w:tabs>
        <w:rPr>
          <w:sz w:val="20"/>
          <w:szCs w:val="20"/>
          <w:color w:val="auto"/>
        </w:rPr>
      </w:pPr>
      <w:r>
        <w:rPr>
          <w:rFonts w:ascii="Courier New" w:cs="Courier New" w:eastAsia="Courier New" w:hAnsi="Courier New"/>
          <w:sz w:val="15"/>
          <w:szCs w:val="15"/>
          <w:color w:val="auto"/>
        </w:rPr>
        <w:t>Consolidated comprehensive earnings (loss)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25,617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(5,642)</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345"/>
          </w:cols>
          <w:pgMar w:left="235" w:top="1155" w:right="319" w:bottom="1440" w:gutter="0" w:footer="0" w:header="0"/>
        </w:sectPr>
      </w:pPr>
    </w:p>
    <w:bookmarkStart w:id="39" w:name="page40"/>
    <w:bookmarkEnd w:id="39"/>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465" w:hanging="465"/>
        <w:spacing w:after="0"/>
        <w:tabs>
          <w:tab w:leader="none" w:pos="46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1996 - PROPORTIONATE CONSOLIDATION:</w:t>
      </w:r>
    </w:p>
    <w:p>
      <w:pPr>
        <w:spacing w:after="0" w:line="184" w:lineRule="exact"/>
        <w:rPr>
          <w:rFonts w:ascii="Courier New" w:cs="Courier New" w:eastAsia="Courier New" w:hAnsi="Courier New"/>
          <w:sz w:val="15"/>
          <w:szCs w:val="15"/>
          <w:color w:val="auto"/>
        </w:rPr>
      </w:pPr>
    </w:p>
    <w:p>
      <w:pPr>
        <w:ind w:left="465" w:right="4060"/>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which had previously enabled Forex to consolidate in its financial statements those of Panneaux Chambord Inc. are not present anymore. Consequently, it was decided that beginning with the year commencing on January 1, 1997, the Company will consolidate Panneaux Chambord Inc. using the proportionate consolidation method. The summarized financial statements hereafter, for the year ended December 31, 1996, present the effect of this change on a pro forma basis: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8"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 w:lineRule="exact"/>
        <w:rPr>
          <w:sz w:val="20"/>
          <w:szCs w:val="20"/>
          <w:color w:val="auto"/>
        </w:rPr>
      </w:pPr>
    </w:p>
    <w:tbl>
      <w:tblPr>
        <w:tblLayout w:type="fixed"/>
        <w:tblInd w:w="6005" w:type="dxa"/>
        <w:tblCellMar>
          <w:top w:w="0" w:type="dxa"/>
          <w:left w:w="0" w:type="dxa"/>
          <w:bottom w:w="0" w:type="dxa"/>
          <w:right w:w="0" w:type="dxa"/>
        </w:tblCellMar>
      </w:tblPr>
      <w:tr>
        <w:trPr>
          <w:trHeight w:val="170"/>
        </w:trPr>
        <w:tc>
          <w:tcPr>
            <w:tcW w:w="74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w w:val="94"/>
              </w:rPr>
              <w:t>1996</w:t>
            </w:r>
          </w:p>
        </w:tc>
        <w:tc>
          <w:tcPr>
            <w:tcW w:w="2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7"/>
        </w:trPr>
        <w:tc>
          <w:tcPr>
            <w:tcW w:w="740" w:type="dxa"/>
            <w:vAlign w:val="bottom"/>
            <w:vMerge w:val="continue"/>
          </w:tcPr>
          <w:p>
            <w:pPr>
              <w:spacing w:after="0"/>
              <w:rPr>
                <w:sz w:val="15"/>
                <w:szCs w:val="15"/>
                <w:color w:val="auto"/>
              </w:rPr>
            </w:pPr>
          </w:p>
        </w:tc>
        <w:tc>
          <w:tcPr>
            <w:tcW w:w="2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1996</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2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Chambord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bl>
    <w:p>
      <w:pPr>
        <w:ind w:left="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465" w:type="dxa"/>
        <w:tblCellMar>
          <w:top w:w="0" w:type="dxa"/>
          <w:left w:w="0" w:type="dxa"/>
          <w:bottom w:w="0" w:type="dxa"/>
          <w:right w:w="0" w:type="dxa"/>
        </w:tblCellMar>
      </w:tblPr>
      <w:tr>
        <w:trPr>
          <w:trHeight w:val="260"/>
        </w:trPr>
        <w:tc>
          <w:tcPr>
            <w:tcW w:w="36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22"/>
                <w:szCs w:val="22"/>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27"/>
        </w:trPr>
        <w:tc>
          <w:tcPr>
            <w:tcW w:w="3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Non-cash working capital item</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30,616</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8,171</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22,445</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3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2,529</w:t>
            </w:r>
          </w:p>
        </w:tc>
        <w:tc>
          <w:tcPr>
            <w:tcW w:w="70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2,489</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340" w:type="dxa"/>
            <w:vAlign w:val="bottom"/>
          </w:tcPr>
          <w:p>
            <w:pPr>
              <w:spacing w:after="0"/>
              <w:rPr>
                <w:sz w:val="15"/>
                <w:szCs w:val="15"/>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211,503</w:t>
            </w:r>
          </w:p>
        </w:tc>
        <w:tc>
          <w:tcPr>
            <w:tcW w:w="70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23,246</w:t>
            </w:r>
          </w:p>
        </w:tc>
        <w:tc>
          <w:tcPr>
            <w:tcW w:w="6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188,257</w:t>
            </w:r>
          </w:p>
        </w:tc>
      </w:tr>
      <w:tr>
        <w:trPr>
          <w:trHeight w:val="260"/>
        </w:trPr>
        <w:tc>
          <w:tcPr>
            <w:tcW w:w="36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40" w:type="dxa"/>
            <w:vAlign w:val="bottom"/>
          </w:tcPr>
          <w:p>
            <w:pPr>
              <w:spacing w:after="0"/>
              <w:rPr>
                <w:sz w:val="22"/>
                <w:szCs w:val="22"/>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6,387</w:t>
            </w:r>
          </w:p>
        </w:tc>
        <w:tc>
          <w:tcPr>
            <w:tcW w:w="700" w:type="dxa"/>
            <w:vAlign w:val="bottom"/>
          </w:tcPr>
          <w:p>
            <w:pPr>
              <w:spacing w:after="0"/>
              <w:rPr>
                <w:sz w:val="22"/>
                <w:szCs w:val="22"/>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848</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5,539</w:t>
            </w:r>
          </w:p>
        </w:tc>
      </w:tr>
    </w:tbl>
    <w:p>
      <w:pPr>
        <w:spacing w:after="0" w:line="9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5065"/>
        <w:spacing w:after="0"/>
        <w:tabs>
          <w:tab w:leader="none" w:pos="5705" w:val="left"/>
          <w:tab w:leader="none" w:pos="6985" w:val="left"/>
          <w:tab w:leader="none" w:pos="7725" w:val="left"/>
          <w:tab w:leader="none" w:pos="8925" w:val="left"/>
          <w:tab w:leader="none" w:pos="948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251,035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32,305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218,730</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tbl>
      <w:tblPr>
        <w:tblLayout w:type="fixed"/>
        <w:tblInd w:w="465" w:type="dxa"/>
        <w:tblCellMar>
          <w:top w:w="0" w:type="dxa"/>
          <w:left w:w="0" w:type="dxa"/>
          <w:bottom w:w="0" w:type="dxa"/>
          <w:right w:w="0" w:type="dxa"/>
        </w:tblCellMar>
      </w:tblPr>
      <w:tr>
        <w:trPr>
          <w:trHeight w:val="260"/>
        </w:trPr>
        <w:tc>
          <w:tcPr>
            <w:tcW w:w="32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2"/>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80,767</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5,675</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75,092</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7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19,029</w:t>
            </w:r>
          </w:p>
        </w:tc>
        <w:tc>
          <w:tcPr>
            <w:tcW w:w="70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2,923</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16,106</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740" w:type="dxa"/>
            <w:vAlign w:val="bottom"/>
          </w:tcPr>
          <w:p>
            <w:pPr>
              <w:spacing w:after="0"/>
              <w:rPr>
                <w:sz w:val="15"/>
                <w:szCs w:val="15"/>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85,596</w:t>
            </w:r>
          </w:p>
        </w:tc>
        <w:tc>
          <w:tcPr>
            <w:tcW w:w="70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28,000</w:t>
            </w:r>
          </w:p>
        </w:tc>
        <w:tc>
          <w:tcPr>
            <w:tcW w:w="7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57,596</w:t>
            </w:r>
          </w:p>
        </w:tc>
      </w:tr>
      <w:tr>
        <w:trPr>
          <w:trHeight w:val="2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40" w:type="dxa"/>
            <w:vAlign w:val="bottom"/>
          </w:tcPr>
          <w:p>
            <w:pPr>
              <w:spacing w:after="0"/>
              <w:rPr>
                <w:sz w:val="17"/>
                <w:szCs w:val="17"/>
                <w:color w:val="auto"/>
              </w:rPr>
            </w:pP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86,218</w:t>
            </w:r>
          </w:p>
        </w:tc>
        <w:tc>
          <w:tcPr>
            <w:tcW w:w="700" w:type="dxa"/>
            <w:vAlign w:val="bottom"/>
          </w:tcPr>
          <w:p>
            <w:pPr>
              <w:spacing w:after="0"/>
              <w:rPr>
                <w:sz w:val="17"/>
                <w:szCs w:val="17"/>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86,218</w:t>
            </w:r>
          </w:p>
        </w:tc>
      </w:tr>
    </w:tbl>
    <w:p>
      <w:pPr>
        <w:ind w:left="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465" w:type="dxa"/>
        <w:tblCellMar>
          <w:top w:w="0" w:type="dxa"/>
          <w:left w:w="0" w:type="dxa"/>
          <w:bottom w:w="0" w:type="dxa"/>
          <w:right w:w="0" w:type="dxa"/>
        </w:tblCellMar>
      </w:tblPr>
      <w:tr>
        <w:trPr>
          <w:trHeight w:val="260"/>
        </w:trPr>
        <w:tc>
          <w:tcPr>
            <w:tcW w:w="3220" w:type="dxa"/>
            <w:vAlign w:val="bottom"/>
          </w:tcPr>
          <w:p>
            <w:pPr>
              <w:spacing w:after="0"/>
              <w:rPr>
                <w:sz w:val="22"/>
                <w:szCs w:val="22"/>
                <w:color w:val="auto"/>
              </w:rPr>
            </w:pPr>
          </w:p>
        </w:tc>
        <w:tc>
          <w:tcPr>
            <w:tcW w:w="33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271,610</w:t>
            </w:r>
          </w:p>
        </w:tc>
        <w:tc>
          <w:tcPr>
            <w:tcW w:w="18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36,598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235,012</w:t>
            </w:r>
          </w:p>
        </w:tc>
      </w:tr>
      <w:tr>
        <w:trPr>
          <w:trHeight w:val="327"/>
        </w:trPr>
        <w:tc>
          <w:tcPr>
            <w:tcW w:w="3220" w:type="dxa"/>
            <w:vAlign w:val="bottom"/>
          </w:tcPr>
          <w:p>
            <w:pPr>
              <w:spacing w:after="0"/>
              <w:rPr>
                <w:sz w:val="20"/>
                <w:szCs w:val="20"/>
                <w:color w:val="auto"/>
              </w:rPr>
            </w:pPr>
            <w:r>
              <w:rPr>
                <w:rFonts w:ascii="Courier New" w:cs="Courier New" w:eastAsia="Courier New" w:hAnsi="Courier New"/>
                <w:sz w:val="15"/>
                <w:szCs w:val="15"/>
                <w:color w:val="auto"/>
              </w:rPr>
              <w:t>Cash position</w:t>
            </w:r>
          </w:p>
        </w:tc>
        <w:tc>
          <w:tcPr>
            <w:tcW w:w="33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20,575</w:t>
            </w:r>
          </w:p>
        </w:tc>
        <w:tc>
          <w:tcPr>
            <w:tcW w:w="18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4,293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16,282</w:t>
            </w:r>
          </w:p>
        </w:tc>
      </w:tr>
    </w:tbl>
    <w:p>
      <w:pPr>
        <w:spacing w:after="0" w:line="9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5065"/>
        <w:spacing w:after="0"/>
        <w:tabs>
          <w:tab w:leader="none" w:pos="5705" w:val="left"/>
          <w:tab w:leader="none" w:pos="6985" w:val="left"/>
          <w:tab w:leader="none" w:pos="7725" w:val="left"/>
          <w:tab w:leader="none" w:pos="8925" w:val="left"/>
          <w:tab w:leader="none" w:pos="948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251,035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32,305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218,730</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1285" w:hanging="824"/>
        <w:spacing w:after="0"/>
        <w:tabs>
          <w:tab w:leader="none" w:pos="12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statements.</w:t>
      </w:r>
    </w:p>
    <w:p>
      <w:pPr>
        <w:spacing w:after="0" w:line="184" w:lineRule="exact"/>
        <w:rPr>
          <w:rFonts w:ascii="Courier New" w:cs="Courier New" w:eastAsia="Courier New" w:hAnsi="Courier New"/>
          <w:sz w:val="15"/>
          <w:szCs w:val="15"/>
          <w:color w:val="auto"/>
        </w:rPr>
      </w:pPr>
    </w:p>
    <w:p>
      <w:pPr>
        <w:ind w:left="1285" w:hanging="824"/>
        <w:spacing w:after="0"/>
        <w:tabs>
          <w:tab w:leader="none" w:pos="12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Deduct 50% of Chambord.</w:t>
      </w:r>
    </w:p>
    <w:p>
      <w:pPr>
        <w:spacing w:after="0" w:line="184" w:lineRule="exact"/>
        <w:rPr>
          <w:rFonts w:ascii="Courier New" w:cs="Courier New" w:eastAsia="Courier New" w:hAnsi="Courier New"/>
          <w:sz w:val="15"/>
          <w:szCs w:val="15"/>
          <w:color w:val="auto"/>
        </w:rPr>
      </w:pPr>
    </w:p>
    <w:p>
      <w:pPr>
        <w:ind w:left="1285" w:hanging="824"/>
        <w:spacing w:after="0"/>
        <w:tabs>
          <w:tab w:leader="none" w:pos="12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on proportionate consolidation basis.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345"/>
          </w:cols>
          <w:pgMar w:left="235" w:top="1155" w:right="319"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PRO FORMA 1996 - PROPORTIONATE CONSOLIDATION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tbl>
      <w:tblPr>
        <w:tblLayout w:type="fixed"/>
        <w:tblInd w:w="6000" w:type="dxa"/>
        <w:tblCellMar>
          <w:top w:w="0" w:type="dxa"/>
          <w:left w:w="0" w:type="dxa"/>
          <w:bottom w:w="0" w:type="dxa"/>
          <w:right w:w="0" w:type="dxa"/>
        </w:tblCellMar>
      </w:tblPr>
      <w:tr>
        <w:trPr>
          <w:trHeight w:val="170"/>
        </w:trPr>
        <w:tc>
          <w:tcPr>
            <w:tcW w:w="74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w w:val="94"/>
              </w:rPr>
              <w:t>1996</w:t>
            </w:r>
          </w:p>
        </w:tc>
        <w:tc>
          <w:tcPr>
            <w:tcW w:w="2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7"/>
        </w:trPr>
        <w:tc>
          <w:tcPr>
            <w:tcW w:w="740" w:type="dxa"/>
            <w:vAlign w:val="bottom"/>
            <w:vMerge w:val="continue"/>
          </w:tcPr>
          <w:p>
            <w:pPr>
              <w:spacing w:after="0"/>
              <w:rPr>
                <w:sz w:val="15"/>
                <w:szCs w:val="15"/>
                <w:color w:val="auto"/>
              </w:rPr>
            </w:pPr>
          </w:p>
        </w:tc>
        <w:tc>
          <w:tcPr>
            <w:tcW w:w="2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1996</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2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Chambord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bl>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26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spacing w:after="0"/>
              <w:rPr>
                <w:sz w:val="22"/>
                <w:szCs w:val="22"/>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27"/>
        </w:trPr>
        <w:tc>
          <w:tcPr>
            <w:tcW w:w="26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161,680</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32,746</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128,934</w:t>
            </w:r>
          </w:p>
        </w:tc>
      </w:tr>
      <w:tr>
        <w:trPr>
          <w:trHeight w:val="260"/>
        </w:trPr>
        <w:tc>
          <w:tcPr>
            <w:tcW w:w="26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300" w:type="dxa"/>
            <w:vAlign w:val="bottom"/>
          </w:tcPr>
          <w:p>
            <w:pPr>
              <w:spacing w:after="0"/>
              <w:rPr>
                <w:sz w:val="22"/>
                <w:szCs w:val="22"/>
                <w:color w:val="auto"/>
              </w:rPr>
            </w:pP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131,264</w:t>
            </w:r>
          </w:p>
        </w:tc>
        <w:tc>
          <w:tcPr>
            <w:tcW w:w="700" w:type="dxa"/>
            <w:vAlign w:val="bottom"/>
          </w:tcPr>
          <w:p>
            <w:pPr>
              <w:spacing w:after="0"/>
              <w:rPr>
                <w:sz w:val="22"/>
                <w:szCs w:val="22"/>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24,119</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107,145</w:t>
            </w:r>
          </w:p>
        </w:tc>
      </w:tr>
    </w:tbl>
    <w:p>
      <w:pPr>
        <w:spacing w:after="0" w:line="9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Earnings before income taxes and</w:t>
            </w:r>
          </w:p>
        </w:tc>
        <w:tc>
          <w:tcPr>
            <w:tcW w:w="2460" w:type="dxa"/>
            <w:vAlign w:val="bottom"/>
            <w:vMerge w:val="restart"/>
          </w:tcPr>
          <w:p>
            <w:pPr>
              <w:jc w:val="right"/>
              <w:ind w:right="623"/>
              <w:spacing w:after="0"/>
              <w:rPr>
                <w:sz w:val="20"/>
                <w:szCs w:val="20"/>
                <w:color w:val="auto"/>
              </w:rPr>
            </w:pPr>
            <w:r>
              <w:rPr>
                <w:rFonts w:ascii="Courier New" w:cs="Courier New" w:eastAsia="Courier New" w:hAnsi="Courier New"/>
                <w:sz w:val="15"/>
                <w:szCs w:val="15"/>
                <w:color w:val="auto"/>
              </w:rPr>
              <w:t>30,416</w:t>
            </w:r>
          </w:p>
        </w:tc>
        <w:tc>
          <w:tcPr>
            <w:tcW w:w="1840" w:type="dxa"/>
            <w:vAlign w:val="bottom"/>
            <w:vMerge w:val="restart"/>
          </w:tcPr>
          <w:p>
            <w:pPr>
              <w:jc w:val="right"/>
              <w:ind w:right="623"/>
              <w:spacing w:after="0"/>
              <w:rPr>
                <w:sz w:val="20"/>
                <w:szCs w:val="20"/>
                <w:color w:val="auto"/>
              </w:rPr>
            </w:pPr>
            <w:r>
              <w:rPr>
                <w:rFonts w:ascii="Courier New" w:cs="Courier New" w:eastAsia="Courier New" w:hAnsi="Courier New"/>
                <w:sz w:val="15"/>
                <w:szCs w:val="15"/>
                <w:color w:val="auto"/>
              </w:rPr>
              <w:t>8,627</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21,789</w:t>
            </w:r>
          </w:p>
        </w:tc>
        <w:tc>
          <w:tcPr>
            <w:tcW w:w="0" w:type="dxa"/>
            <w:vAlign w:val="bottom"/>
          </w:tcPr>
          <w:p>
            <w:pPr>
              <w:spacing w:after="0"/>
              <w:rPr>
                <w:sz w:val="1"/>
                <w:szCs w:val="1"/>
                <w:color w:val="auto"/>
              </w:rPr>
            </w:pPr>
          </w:p>
        </w:tc>
      </w:tr>
      <w:tr>
        <w:trPr>
          <w:trHeight w:val="26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2460" w:type="dxa"/>
            <w:vAlign w:val="bottom"/>
            <w:vMerge w:val="continue"/>
          </w:tcPr>
          <w:p>
            <w:pPr>
              <w:spacing w:after="0"/>
              <w:rPr>
                <w:sz w:val="22"/>
                <w:szCs w:val="22"/>
                <w:color w:val="auto"/>
              </w:rPr>
            </w:pPr>
          </w:p>
        </w:tc>
        <w:tc>
          <w:tcPr>
            <w:tcW w:w="184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46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9,339</w:t>
            </w:r>
          </w:p>
        </w:tc>
        <w:tc>
          <w:tcPr>
            <w:tcW w:w="18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2,776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6,563</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260"/>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earnings before minority interest</w:t>
            </w:r>
          </w:p>
        </w:tc>
        <w:tc>
          <w:tcPr>
            <w:tcW w:w="22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21,077</w:t>
            </w:r>
          </w:p>
        </w:tc>
        <w:tc>
          <w:tcPr>
            <w:tcW w:w="18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5,851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15,226</w:t>
            </w:r>
          </w:p>
        </w:tc>
      </w:tr>
      <w:tr>
        <w:trPr>
          <w:trHeight w:val="327"/>
        </w:trPr>
        <w:tc>
          <w:tcPr>
            <w:tcW w:w="43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10,431</w:t>
            </w:r>
          </w:p>
        </w:tc>
        <w:tc>
          <w:tcPr>
            <w:tcW w:w="18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5,851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4,580</w:t>
            </w:r>
          </w:p>
        </w:tc>
      </w:tr>
    </w:tbl>
    <w:p>
      <w:pPr>
        <w:spacing w:after="0" w:line="9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6" w:lineRule="exact"/>
        <w:rPr>
          <w:sz w:val="20"/>
          <w:szCs w:val="20"/>
          <w:color w:val="auto"/>
        </w:rPr>
      </w:pPr>
    </w:p>
    <w:p>
      <w:pPr>
        <w:ind w:left="460"/>
        <w:spacing w:after="0"/>
        <w:tabs>
          <w:tab w:leader="none" w:pos="5040" w:val="left"/>
          <w:tab w:leader="none" w:pos="5780" w:val="left"/>
          <w:tab w:leader="none" w:pos="6980" w:val="left"/>
          <w:tab w:leader="none" w:pos="8000" w:val="left"/>
          <w:tab w:leader="none" w:pos="8920" w:val="left"/>
          <w:tab w:leader="none" w:pos="9580" w:val="left"/>
        </w:tabs>
        <w:rPr>
          <w:sz w:val="20"/>
          <w:szCs w:val="20"/>
          <w:color w:val="auto"/>
        </w:rPr>
      </w:pPr>
      <w:r>
        <w:rPr>
          <w:rFonts w:ascii="Courier New" w:cs="Courier New" w:eastAsia="Courier New" w:hAnsi="Courier New"/>
          <w:sz w:val="15"/>
          <w:szCs w:val="15"/>
          <w:color w:val="auto"/>
        </w:rPr>
        <w:t>Net earnings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10,646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10,646</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per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8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fully diluted</w:t>
            </w: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0.67</w:t>
            </w: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c>
          <w:tcPr>
            <w:tcW w:w="0" w:type="dxa"/>
            <w:vAlign w:val="bottom"/>
          </w:tcPr>
          <w:p>
            <w:pPr>
              <w:spacing w:after="0"/>
              <w:rPr>
                <w:sz w:val="1"/>
                <w:szCs w:val="1"/>
                <w:color w:val="auto"/>
              </w:rPr>
            </w:pPr>
          </w:p>
        </w:tc>
      </w:tr>
      <w:tr>
        <w:trPr>
          <w:trHeight w:val="26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per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880" w:type="dxa"/>
            <w:vAlign w:val="bottom"/>
            <w:vMerge w:val="continue"/>
          </w:tcPr>
          <w:p>
            <w:pPr>
              <w:spacing w:after="0"/>
              <w:rPr>
                <w:sz w:val="22"/>
                <w:szCs w:val="22"/>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0.61</w:t>
            </w: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0.61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ind w:left="1280" w:hanging="824"/>
        <w:spacing w:after="0"/>
        <w:tabs>
          <w:tab w:leader="none" w:pos="1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statements.</w:t>
      </w:r>
    </w:p>
    <w:p>
      <w:pPr>
        <w:spacing w:after="0" w:line="184" w:lineRule="exact"/>
        <w:rPr>
          <w:rFonts w:ascii="Courier New" w:cs="Courier New" w:eastAsia="Courier New" w:hAnsi="Courier New"/>
          <w:sz w:val="15"/>
          <w:szCs w:val="15"/>
          <w:color w:val="auto"/>
        </w:rPr>
      </w:pPr>
    </w:p>
    <w:p>
      <w:pPr>
        <w:ind w:left="1280" w:hanging="824"/>
        <w:spacing w:after="0"/>
        <w:tabs>
          <w:tab w:leader="none" w:pos="1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Deduct 50% of Chambord.</w:t>
      </w:r>
    </w:p>
    <w:p>
      <w:pPr>
        <w:spacing w:after="0" w:line="184" w:lineRule="exact"/>
        <w:rPr>
          <w:rFonts w:ascii="Courier New" w:cs="Courier New" w:eastAsia="Courier New" w:hAnsi="Courier New"/>
          <w:sz w:val="15"/>
          <w:szCs w:val="15"/>
          <w:color w:val="auto"/>
        </w:rPr>
      </w:pPr>
    </w:p>
    <w:p>
      <w:pPr>
        <w:ind w:left="1280" w:hanging="824"/>
        <w:spacing w:after="0"/>
        <w:tabs>
          <w:tab w:leader="none" w:pos="1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on proportionate consolidation basis.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340"/>
          </w:cols>
          <w:pgMar w:left="240" w:top="1155" w:right="319" w:bottom="1440" w:gutter="0" w:footer="0" w:header="0"/>
        </w:sectPr>
      </w:pPr>
    </w:p>
    <w:bookmarkStart w:id="41" w:name="page42"/>
    <w:bookmarkEnd w:id="41"/>
    <w:p>
      <w:pPr>
        <w:ind w:left="5"/>
        <w:spacing w:after="0"/>
        <w:rPr>
          <w:sz w:val="20"/>
          <w:szCs w:val="20"/>
          <w:color w:val="auto"/>
        </w:rPr>
      </w:pPr>
      <w:r>
        <w:rPr>
          <w:rFonts w:ascii="Courier New" w:cs="Courier New" w:eastAsia="Courier New" w:hAnsi="Courier New"/>
          <w:sz w:val="15"/>
          <w:szCs w:val="15"/>
          <w:color w:val="auto"/>
        </w:rPr>
        <w:t>LE GROUPE FOREX INC.</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of Canadian dollars)</w:t>
      </w:r>
    </w:p>
    <w:p>
      <w:pPr>
        <w:spacing w:after="0" w:line="1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465" w:hanging="465"/>
        <w:spacing w:after="0"/>
        <w:tabs>
          <w:tab w:leader="none" w:pos="46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UNCERTAINTY DUE TO YEAR 2000 ISSUE:</w:t>
      </w:r>
    </w:p>
    <w:p>
      <w:pPr>
        <w:spacing w:after="0" w:line="184" w:lineRule="exact"/>
        <w:rPr>
          <w:rFonts w:ascii="Courier New" w:cs="Courier New" w:eastAsia="Courier New" w:hAnsi="Courier New"/>
          <w:sz w:val="15"/>
          <w:szCs w:val="15"/>
          <w:color w:val="auto"/>
        </w:rPr>
      </w:pPr>
    </w:p>
    <w:p>
      <w:pPr>
        <w:ind w:left="465" w:right="283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Year 2000 Issue arises because many computerized systems use two digits rather than four to identify a year. Date-sensitive systems may recognize the year 2000 as 1900 or some other date, resulting in errors when information using year 2000 dates is processed. In addition, similar problems may arise in some systems which use certain dates in 1999 to represent something other than a date. The effects of the Year 2000 Issue may be experienced before, on, or after January 1, 2000, and, if not addressed, the impact on operations and financial reporting may range from minor errors to significant systems failure which could affect an entity's ability to conduct normal business operations. It is not possible to be certain that all aspects of the Year 2000 Issue affecting the entity, including those related to the efforts of customers, suppliers, or other third parties, will be fully resolved.</w:t>
      </w:r>
    </w:p>
    <w:p>
      <w:pPr>
        <w:spacing w:after="0" w:line="81"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COMPARATIVE FIGURES:</w:t>
      </w:r>
    </w:p>
    <w:p>
      <w:pPr>
        <w:spacing w:after="0" w:line="184" w:lineRule="exact"/>
        <w:rPr>
          <w:rFonts w:ascii="Courier New" w:cs="Courier New" w:eastAsia="Courier New" w:hAnsi="Courier New"/>
          <w:sz w:val="15"/>
          <w:szCs w:val="15"/>
          <w:color w:val="auto"/>
        </w:rPr>
      </w:pPr>
    </w:p>
    <w:p>
      <w:pPr>
        <w:ind w:left="465" w:right="3299"/>
        <w:spacing w:after="0" w:line="3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comparative figures have been reclassified to conform with the presentation adopted in the current year.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5" w:top="1154" w:right="1440" w:bottom="1440" w:gutter="0" w:footer="0" w:header="0"/>
        </w:sectPr>
      </w:pPr>
    </w:p>
    <w:bookmarkStart w:id="42" w:name="page43"/>
    <w:bookmarkEnd w:id="42"/>
    <w:p>
      <w:pPr>
        <w:ind w:left="6180"/>
        <w:spacing w:after="0"/>
        <w:rPr>
          <w:sz w:val="20"/>
          <w:szCs w:val="20"/>
          <w:color w:val="auto"/>
        </w:rPr>
      </w:pPr>
      <w:r>
        <w:rPr>
          <w:rFonts w:ascii="Courier New" w:cs="Courier New" w:eastAsia="Courier New" w:hAnsi="Courier New"/>
          <w:sz w:val="15"/>
          <w:szCs w:val="15"/>
          <w:color w:val="auto"/>
        </w:rPr>
        <w:t>EXHIBIT 99.6</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PRO FORMA FINANCIAL DATA</w:t>
      </w:r>
    </w:p>
    <w:p>
      <w:pPr>
        <w:spacing w:after="0" w:line="185" w:lineRule="exact"/>
        <w:rPr>
          <w:sz w:val="20"/>
          <w:szCs w:val="20"/>
          <w:color w:val="auto"/>
        </w:rPr>
      </w:pPr>
    </w:p>
    <w:p>
      <w:pPr>
        <w:ind w:right="2839" w:firstLine="461"/>
        <w:spacing w:after="0" w:line="256" w:lineRule="auto"/>
        <w:rPr>
          <w:sz w:val="20"/>
          <w:szCs w:val="20"/>
          <w:color w:val="auto"/>
        </w:rPr>
      </w:pPr>
      <w:r>
        <w:rPr>
          <w:rFonts w:ascii="Courier New" w:cs="Courier New" w:eastAsia="Courier New" w:hAnsi="Courier New"/>
          <w:sz w:val="15"/>
          <w:szCs w:val="15"/>
          <w:color w:val="auto"/>
        </w:rPr>
        <w:t>The unaudited pro forma financial statements presented below give effect to the acquisition of LeGroupe Forex Inc. ("Forex") and related financing transactions as if they had been consummated on June 30, 1999, in the case of the Unaudited Pro Forma Condensed Consolidated Balance Sheet, and at the beginning of the periods presented, in the case of the Pro Forma Condensed Consolidated Statements of Income. The Forex historical financial data included in the unaudited pro forma financial statements has been adjusted to conform to generally accepted accounting principles in the United States. The Unaudited Pro Forma Condensed Consolidated Statement of Income for the year ended December 31, 1998 presented below does not give effect to the acquisition by Louisiana-Pacific Corporation ("Louisiana-Pacific") of ABT Building Products Corporation, which was consummated on February 25, 1999, and related financing transactions, or to the buyout by Forex of a joint venture partner's 50% interest in a Forex subsidiary, which was consummated on April 13, 1999. These unaudited pro forma financial statements should be read in conjunction with the consolidated financial statements (including the notes thereto) included in Louisiana-Pacific's Annual Report on Form 10-K for the fiscal year ended December 31, 1998 and Quarterly Report on Form 10-Q for the fiscal quarter ended June 30, 1999. These unaudited pro forma financial statements are presented for illustrative purposes only and are not necessarily indicative of what Louisiana-Pacific's actual financial position or results of operations would have been had such transactions been consummated on such date or of the financial position or results of operations that may be reported by Louisiana-Pacific in the future.</w:t>
      </w:r>
    </w:p>
    <w:p>
      <w:pPr>
        <w:sectPr>
          <w:pgSz w:w="11900" w:h="16838" w:orient="portrait"/>
          <w:cols w:equalWidth="0" w:num="1">
            <w:col w:w="10219"/>
          </w:cols>
          <w:pgMar w:left="240" w:top="468" w:right="1440" w:bottom="1440" w:gutter="0" w:footer="0" w:header="0"/>
        </w:sectPr>
      </w:pPr>
    </w:p>
    <w:bookmarkStart w:id="43" w:name="page44"/>
    <w:bookmarkEnd w:id="43"/>
    <w:p>
      <w:pPr>
        <w:jc w:val="center"/>
        <w:ind w:right="3320"/>
        <w:spacing w:after="0"/>
        <w:rPr>
          <w:sz w:val="20"/>
          <w:szCs w:val="20"/>
          <w:color w:val="auto"/>
        </w:rPr>
      </w:pPr>
      <w:r>
        <w:rPr>
          <w:rFonts w:ascii="Courier New" w:cs="Courier New" w:eastAsia="Courier New" w:hAnsi="Courier New"/>
          <w:sz w:val="15"/>
          <w:szCs w:val="15"/>
          <w:color w:val="auto"/>
        </w:rPr>
        <w:t>LOUISIANA-PACIFIC CORPORATION AND SUBSIDIARIES</w:t>
      </w:r>
    </w:p>
    <w:p>
      <w:pPr>
        <w:spacing w:after="0" w:line="18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 MILLIONS OF US DOLLARS)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OF JUNE 30, 1999</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2"/>
                <w:szCs w:val="22"/>
                <w:color w:val="auto"/>
              </w:rPr>
            </w:pPr>
          </w:p>
        </w:tc>
        <w:tc>
          <w:tcPr>
            <w:tcW w:w="70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50"/>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740" w:type="dxa"/>
            <w:vAlign w:val="bottom"/>
          </w:tcPr>
          <w:p>
            <w:pPr>
              <w:spacing w:after="0"/>
              <w:rPr>
                <w:sz w:val="24"/>
                <w:szCs w:val="24"/>
                <w:color w:val="auto"/>
              </w:rPr>
            </w:pPr>
          </w:p>
        </w:tc>
        <w:tc>
          <w:tcPr>
            <w:tcW w:w="1120" w:type="dxa"/>
            <w:vAlign w:val="bottom"/>
            <w:vMerge w:val="restart"/>
          </w:tcPr>
          <w:p>
            <w:pPr>
              <w:jc w:val="right"/>
              <w:ind w:right="763"/>
              <w:spacing w:after="0"/>
              <w:rPr>
                <w:sz w:val="20"/>
                <w:szCs w:val="20"/>
                <w:color w:val="auto"/>
              </w:rPr>
            </w:pPr>
            <w:r>
              <w:rPr>
                <w:rFonts w:ascii="Courier New" w:cs="Courier New" w:eastAsia="Courier New" w:hAnsi="Courier New"/>
                <w:sz w:val="15"/>
                <w:szCs w:val="15"/>
                <w:color w:val="auto"/>
                <w:w w:val="96"/>
              </w:rPr>
              <w:t>L-P</w:t>
            </w:r>
          </w:p>
        </w:tc>
        <w:tc>
          <w:tcPr>
            <w:tcW w:w="400" w:type="dxa"/>
            <w:vAlign w:val="bottom"/>
          </w:tcPr>
          <w:p>
            <w:pPr>
              <w:spacing w:after="0"/>
              <w:rPr>
                <w:sz w:val="24"/>
                <w:szCs w:val="24"/>
                <w:color w:val="auto"/>
              </w:rPr>
            </w:pPr>
          </w:p>
        </w:tc>
        <w:tc>
          <w:tcPr>
            <w:tcW w:w="1480" w:type="dxa"/>
            <w:vAlign w:val="bottom"/>
            <w:vMerge w:val="restart"/>
          </w:tcPr>
          <w:p>
            <w:pPr>
              <w:jc w:val="right"/>
              <w:ind w:right="603"/>
              <w:spacing w:after="0"/>
              <w:rPr>
                <w:sz w:val="20"/>
                <w:szCs w:val="20"/>
                <w:color w:val="auto"/>
              </w:rPr>
            </w:pPr>
            <w:r>
              <w:rPr>
                <w:rFonts w:ascii="Courier New" w:cs="Courier New" w:eastAsia="Courier New" w:hAnsi="Courier New"/>
                <w:sz w:val="15"/>
                <w:szCs w:val="15"/>
                <w:color w:val="auto"/>
              </w:rPr>
              <w:t>FOREX</w:t>
            </w:r>
          </w:p>
        </w:tc>
        <w:tc>
          <w:tcPr>
            <w:tcW w:w="420" w:type="dxa"/>
            <w:vAlign w:val="bottom"/>
          </w:tcPr>
          <w:p>
            <w:pPr>
              <w:spacing w:after="0"/>
              <w:rPr>
                <w:sz w:val="24"/>
                <w:szCs w:val="24"/>
                <w:color w:val="auto"/>
              </w:rPr>
            </w:pPr>
          </w:p>
        </w:tc>
        <w:tc>
          <w:tcPr>
            <w:tcW w:w="14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24"/>
                <w:szCs w:val="24"/>
                <w:color w:val="auto"/>
              </w:rPr>
            </w:pPr>
          </w:p>
        </w:tc>
        <w:tc>
          <w:tcPr>
            <w:tcW w:w="11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7"/>
        </w:trPr>
        <w:tc>
          <w:tcPr>
            <w:tcW w:w="36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ADJUSTMENTS</w:t>
            </w: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2"/>
                <w:szCs w:val="22"/>
                <w:color w:val="auto"/>
              </w:rPr>
            </w:pP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152.9</w:t>
            </w:r>
          </w:p>
        </w:tc>
        <w:tc>
          <w:tcPr>
            <w:tcW w:w="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66.7</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3"/>
                <w:szCs w:val="23"/>
                <w:color w:val="auto"/>
              </w:rPr>
            </w:pPr>
          </w:p>
        </w:tc>
        <w:tc>
          <w:tcPr>
            <w:tcW w:w="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219.6</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204.2</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22.7</w:t>
            </w:r>
          </w:p>
        </w:tc>
        <w:tc>
          <w:tcPr>
            <w:tcW w:w="420" w:type="dxa"/>
            <w:vAlign w:val="bottom"/>
          </w:tcPr>
          <w:p>
            <w:pPr>
              <w:spacing w:after="0"/>
              <w:rPr>
                <w:sz w:val="15"/>
                <w:szCs w:val="15"/>
                <w:color w:val="auto"/>
              </w:rPr>
            </w:pPr>
          </w:p>
        </w:tc>
        <w:tc>
          <w:tcPr>
            <w:tcW w:w="142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6.2(c)(d)</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226.9</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239.7</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26.7</w:t>
            </w:r>
          </w:p>
        </w:tc>
        <w:tc>
          <w:tcPr>
            <w:tcW w:w="4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272.6</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19.6</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tax refunds receivable</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121.8</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121.8</w:t>
            </w:r>
          </w:p>
        </w:tc>
        <w:tc>
          <w:tcPr>
            <w:tcW w:w="0" w:type="dxa"/>
            <w:vAlign w:val="bottom"/>
          </w:tcPr>
          <w:p>
            <w:pPr>
              <w:spacing w:after="0"/>
              <w:rPr>
                <w:sz w:val="1"/>
                <w:szCs w:val="1"/>
                <w:color w:val="auto"/>
              </w:rPr>
            </w:pPr>
          </w:p>
        </w:tc>
      </w:tr>
      <w:tr>
        <w:trPr>
          <w:trHeight w:val="177"/>
        </w:trPr>
        <w:tc>
          <w:tcPr>
            <w:tcW w:w="368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740" w:type="dxa"/>
            <w:vAlign w:val="bottom"/>
          </w:tcPr>
          <w:p>
            <w:pPr>
              <w:ind w:left="180"/>
              <w:spacing w:after="0"/>
              <w:rPr>
                <w:sz w:val="20"/>
                <w:szCs w:val="20"/>
                <w:color w:val="auto"/>
              </w:rPr>
            </w:pPr>
            <w:r>
              <w:rPr>
                <w:rFonts w:ascii="Courier New" w:cs="Courier New" w:eastAsia="Courier New" w:hAnsi="Courier New"/>
                <w:sz w:val="8"/>
                <w:szCs w:val="8"/>
                <w:color w:val="auto"/>
                <w:w w:val="70"/>
              </w:rPr>
              <w:t>----------------</w:t>
            </w: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738.2</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80" w:type="dxa"/>
            <w:vAlign w:val="bottom"/>
            <w:vMerge w:val="continue"/>
          </w:tcPr>
          <w:p>
            <w:pPr>
              <w:spacing w:after="0"/>
              <w:rPr>
                <w:sz w:val="22"/>
                <w:szCs w:val="22"/>
                <w:color w:val="auto"/>
              </w:rPr>
            </w:pPr>
          </w:p>
        </w:tc>
        <w:tc>
          <w:tcPr>
            <w:tcW w:w="7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118.1</w:t>
            </w:r>
          </w:p>
        </w:tc>
        <w:tc>
          <w:tcPr>
            <w:tcW w:w="420" w:type="dxa"/>
            <w:vAlign w:val="bottom"/>
          </w:tcPr>
          <w:p>
            <w:pPr>
              <w:spacing w:after="0"/>
              <w:rPr>
                <w:sz w:val="22"/>
                <w:szCs w:val="22"/>
                <w:color w:val="auto"/>
              </w:rPr>
            </w:pP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6.2</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862.5</w:t>
            </w:r>
          </w:p>
        </w:tc>
        <w:tc>
          <w:tcPr>
            <w:tcW w:w="0" w:type="dxa"/>
            <w:vAlign w:val="bottom"/>
          </w:tcPr>
          <w:p>
            <w:pPr>
              <w:spacing w:after="0"/>
              <w:rPr>
                <w:sz w:val="1"/>
                <w:szCs w:val="1"/>
                <w:color w:val="auto"/>
              </w:rPr>
            </w:pPr>
          </w:p>
        </w:tc>
      </w:tr>
      <w:tr>
        <w:trPr>
          <w:trHeight w:val="35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Timber and Timberlands</w:t>
            </w:r>
          </w:p>
        </w:tc>
        <w:tc>
          <w:tcPr>
            <w:tcW w:w="740" w:type="dxa"/>
            <w:vAlign w:val="bottom"/>
          </w:tcPr>
          <w:p>
            <w:pPr>
              <w:spacing w:after="0"/>
              <w:rPr>
                <w:sz w:val="24"/>
                <w:szCs w:val="24"/>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498.4</w:t>
            </w:r>
          </w:p>
        </w:tc>
        <w:tc>
          <w:tcPr>
            <w:tcW w:w="400" w:type="dxa"/>
            <w:vAlign w:val="bottom"/>
          </w:tcPr>
          <w:p>
            <w:pPr>
              <w:spacing w:after="0"/>
              <w:rPr>
                <w:sz w:val="24"/>
                <w:szCs w:val="24"/>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w:t>
            </w:r>
          </w:p>
        </w:tc>
        <w:tc>
          <w:tcPr>
            <w:tcW w:w="420" w:type="dxa"/>
            <w:vAlign w:val="bottom"/>
          </w:tcPr>
          <w:p>
            <w:pPr>
              <w:spacing w:after="0"/>
              <w:rPr>
                <w:sz w:val="24"/>
                <w:szCs w:val="24"/>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112.8(c)(d)</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613.1</w:t>
            </w:r>
          </w:p>
        </w:tc>
        <w:tc>
          <w:tcPr>
            <w:tcW w:w="0" w:type="dxa"/>
            <w:vAlign w:val="bottom"/>
          </w:tcPr>
          <w:p>
            <w:pPr>
              <w:spacing w:after="0"/>
              <w:rPr>
                <w:sz w:val="1"/>
                <w:szCs w:val="1"/>
                <w:color w:val="auto"/>
              </w:rPr>
            </w:pPr>
          </w:p>
        </w:tc>
      </w:tr>
      <w:tr>
        <w:trPr>
          <w:trHeight w:val="35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property, plant and equipment</w:t>
            </w:r>
          </w:p>
        </w:tc>
        <w:tc>
          <w:tcPr>
            <w:tcW w:w="740" w:type="dxa"/>
            <w:vAlign w:val="bottom"/>
          </w:tcPr>
          <w:p>
            <w:pPr>
              <w:spacing w:after="0"/>
              <w:rPr>
                <w:sz w:val="24"/>
                <w:szCs w:val="24"/>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1,010.9</w:t>
            </w:r>
          </w:p>
        </w:tc>
        <w:tc>
          <w:tcPr>
            <w:tcW w:w="400" w:type="dxa"/>
            <w:vAlign w:val="bottom"/>
          </w:tcPr>
          <w:p>
            <w:pPr>
              <w:spacing w:after="0"/>
              <w:rPr>
                <w:sz w:val="24"/>
                <w:szCs w:val="24"/>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214.7</w:t>
            </w:r>
          </w:p>
        </w:tc>
        <w:tc>
          <w:tcPr>
            <w:tcW w:w="420" w:type="dxa"/>
            <w:vAlign w:val="bottom"/>
          </w:tcPr>
          <w:p>
            <w:pPr>
              <w:spacing w:after="0"/>
              <w:rPr>
                <w:sz w:val="24"/>
                <w:szCs w:val="24"/>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68.1(c)(d)</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1,293.7</w:t>
            </w:r>
          </w:p>
        </w:tc>
        <w:tc>
          <w:tcPr>
            <w:tcW w:w="0" w:type="dxa"/>
            <w:vAlign w:val="bottom"/>
          </w:tcPr>
          <w:p>
            <w:pPr>
              <w:spacing w:after="0"/>
              <w:rPr>
                <w:sz w:val="1"/>
                <w:szCs w:val="1"/>
                <w:color w:val="auto"/>
              </w:rPr>
            </w:pPr>
          </w:p>
        </w:tc>
      </w:tr>
      <w:tr>
        <w:trPr>
          <w:trHeight w:val="2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Goodwill, net of amortization</w:t>
            </w:r>
          </w:p>
        </w:tc>
        <w:tc>
          <w:tcPr>
            <w:tcW w:w="74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132.9</w:t>
            </w:r>
          </w:p>
        </w:tc>
        <w:tc>
          <w:tcPr>
            <w:tcW w:w="400" w:type="dxa"/>
            <w:vAlign w:val="bottom"/>
          </w:tcPr>
          <w:p>
            <w:pPr>
              <w:spacing w:after="0"/>
              <w:rPr>
                <w:sz w:val="23"/>
                <w:szCs w:val="23"/>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3"/>
                <w:szCs w:val="23"/>
                <w:color w:val="auto"/>
              </w:rPr>
            </w:pPr>
          </w:p>
        </w:tc>
        <w:tc>
          <w:tcPr>
            <w:tcW w:w="14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289.7(b)</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422.6</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Notes receivable from asset sales</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403.8</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vMerge w:val="restart"/>
          </w:tcPr>
          <w:p>
            <w:pPr>
              <w:jc w:val="right"/>
              <w:ind w:right="323"/>
              <w:spacing w:after="0"/>
              <w:rPr>
                <w:sz w:val="20"/>
                <w:szCs w:val="20"/>
                <w:color w:val="auto"/>
              </w:rPr>
            </w:pPr>
            <w:r>
              <w:rPr>
                <w:rFonts w:ascii="Courier New" w:cs="Courier New" w:eastAsia="Courier New" w:hAnsi="Courier New"/>
                <w:sz w:val="15"/>
                <w:szCs w:val="15"/>
                <w:color w:val="auto"/>
              </w:rPr>
              <w:t>0.8(c)</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403.8</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30.0</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6.3</w:t>
            </w:r>
          </w:p>
        </w:tc>
        <w:tc>
          <w:tcPr>
            <w:tcW w:w="4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2"/>
                <w:szCs w:val="22"/>
                <w:color w:val="auto"/>
              </w:rPr>
            </w:pP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8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2,814.2</w:t>
            </w:r>
          </w:p>
        </w:tc>
        <w:tc>
          <w:tcPr>
            <w:tcW w:w="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341.0</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477.6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3,632.8</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2"/>
                <w:szCs w:val="22"/>
                <w:color w:val="auto"/>
              </w:rPr>
            </w:pP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6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23.2</w:t>
            </w:r>
          </w:p>
        </w:tc>
        <w:tc>
          <w:tcPr>
            <w:tcW w:w="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5.8</w:t>
            </w:r>
          </w:p>
        </w:tc>
        <w:tc>
          <w:tcPr>
            <w:tcW w:w="4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33.5(b)</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Short-term notes payable</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Accounts payable and accrued</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270.2</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24.7</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294.9</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740" w:type="dxa"/>
            <w:vAlign w:val="bottom"/>
          </w:tcPr>
          <w:p>
            <w:pPr>
              <w:spacing w:after="0"/>
              <w:rPr>
                <w:sz w:val="15"/>
                <w:szCs w:val="15"/>
                <w:color w:val="auto"/>
              </w:rPr>
            </w:pP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205.0</w:t>
            </w:r>
          </w:p>
        </w:tc>
        <w:tc>
          <w:tcPr>
            <w:tcW w:w="400" w:type="dxa"/>
            <w:vAlign w:val="bottom"/>
          </w:tcPr>
          <w:p>
            <w:pPr>
              <w:spacing w:after="0"/>
              <w:rPr>
                <w:sz w:val="15"/>
                <w:szCs w:val="15"/>
                <w:color w:val="auto"/>
              </w:rPr>
            </w:pPr>
          </w:p>
        </w:tc>
        <w:tc>
          <w:tcPr>
            <w:tcW w:w="148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205.0</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portion of contingency reserves</w:t>
            </w:r>
          </w:p>
        </w:tc>
        <w:tc>
          <w:tcPr>
            <w:tcW w:w="7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13.4</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7.1</w:t>
            </w:r>
          </w:p>
        </w:tc>
        <w:tc>
          <w:tcPr>
            <w:tcW w:w="1840" w:type="dxa"/>
            <w:vAlign w:val="bottom"/>
            <w:gridSpan w:val="2"/>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7"/>
        </w:trPr>
        <w:tc>
          <w:tcPr>
            <w:tcW w:w="368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current liabilities</w:t>
            </w:r>
          </w:p>
        </w:tc>
        <w:tc>
          <w:tcPr>
            <w:tcW w:w="740" w:type="dxa"/>
            <w:vAlign w:val="bottom"/>
          </w:tcPr>
          <w:p>
            <w:pPr>
              <w:ind w:left="180"/>
              <w:spacing w:after="0"/>
              <w:rPr>
                <w:sz w:val="20"/>
                <w:szCs w:val="20"/>
                <w:color w:val="auto"/>
              </w:rPr>
            </w:pPr>
            <w:r>
              <w:rPr>
                <w:rFonts w:ascii="Courier New" w:cs="Courier New" w:eastAsia="Courier New" w:hAnsi="Courier New"/>
                <w:sz w:val="8"/>
                <w:szCs w:val="8"/>
                <w:color w:val="auto"/>
                <w:w w:val="70"/>
              </w:rPr>
              <w:t>----------------</w:t>
            </w: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511.8</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80" w:type="dxa"/>
            <w:vAlign w:val="bottom"/>
            <w:vMerge w:val="continue"/>
          </w:tcPr>
          <w:p>
            <w:pPr>
              <w:spacing w:after="0"/>
              <w:rPr>
                <w:sz w:val="22"/>
                <w:szCs w:val="22"/>
                <w:color w:val="auto"/>
              </w:rPr>
            </w:pPr>
          </w:p>
        </w:tc>
        <w:tc>
          <w:tcPr>
            <w:tcW w:w="7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37.6</w:t>
            </w:r>
          </w:p>
        </w:tc>
        <w:tc>
          <w:tcPr>
            <w:tcW w:w="420" w:type="dxa"/>
            <w:vAlign w:val="bottom"/>
          </w:tcPr>
          <w:p>
            <w:pPr>
              <w:spacing w:after="0"/>
              <w:rPr>
                <w:sz w:val="22"/>
                <w:szCs w:val="22"/>
                <w:color w:val="auto"/>
              </w:rPr>
            </w:pPr>
          </w:p>
        </w:tc>
        <w:tc>
          <w:tcPr>
            <w:tcW w:w="142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33.5</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582.9</w:t>
            </w:r>
          </w:p>
        </w:tc>
        <w:tc>
          <w:tcPr>
            <w:tcW w:w="0" w:type="dxa"/>
            <w:vAlign w:val="bottom"/>
          </w:tcPr>
          <w:p>
            <w:pPr>
              <w:spacing w:after="0"/>
              <w:rPr>
                <w:sz w:val="1"/>
                <w:szCs w:val="1"/>
                <w:color w:val="auto"/>
              </w:rPr>
            </w:pPr>
          </w:p>
        </w:tc>
      </w:tr>
      <w:tr>
        <w:trPr>
          <w:trHeight w:val="2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Limited recourse notes payable</w:t>
            </w:r>
          </w:p>
        </w:tc>
        <w:tc>
          <w:tcPr>
            <w:tcW w:w="74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396.5</w:t>
            </w:r>
          </w:p>
        </w:tc>
        <w:tc>
          <w:tcPr>
            <w:tcW w:w="400" w:type="dxa"/>
            <w:vAlign w:val="bottom"/>
          </w:tcPr>
          <w:p>
            <w:pPr>
              <w:spacing w:after="0"/>
              <w:rPr>
                <w:sz w:val="23"/>
                <w:szCs w:val="23"/>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3"/>
                <w:szCs w:val="23"/>
                <w:color w:val="auto"/>
              </w:rPr>
            </w:pPr>
          </w:p>
        </w:tc>
        <w:tc>
          <w:tcPr>
            <w:tcW w:w="142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485.1(a)(b)</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396.5</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debt</w:t>
            </w:r>
          </w:p>
        </w:tc>
        <w:tc>
          <w:tcPr>
            <w:tcW w:w="740" w:type="dxa"/>
            <w:vAlign w:val="bottom"/>
          </w:tcPr>
          <w:p>
            <w:pPr>
              <w:spacing w:after="0"/>
              <w:rPr>
                <w:sz w:val="15"/>
                <w:szCs w:val="15"/>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181.6</w:t>
            </w:r>
          </w:p>
        </w:tc>
        <w:tc>
          <w:tcPr>
            <w:tcW w:w="40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143.5</w:t>
            </w:r>
          </w:p>
        </w:tc>
        <w:tc>
          <w:tcPr>
            <w:tcW w:w="4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810.2</w:t>
            </w:r>
          </w:p>
        </w:tc>
        <w:tc>
          <w:tcPr>
            <w:tcW w:w="0" w:type="dxa"/>
            <w:vAlign w:val="bottom"/>
          </w:tcPr>
          <w:p>
            <w:pPr>
              <w:spacing w:after="0"/>
              <w:rPr>
                <w:sz w:val="1"/>
                <w:szCs w:val="1"/>
                <w:color w:val="auto"/>
              </w:rPr>
            </w:pPr>
          </w:p>
        </w:tc>
      </w:tr>
      <w:tr>
        <w:trPr>
          <w:trHeight w:val="260"/>
        </w:trPr>
        <w:tc>
          <w:tcPr>
            <w:tcW w:w="368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long-term debt, excluding</w:t>
            </w: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578.1</w:t>
            </w:r>
          </w:p>
        </w:tc>
        <w:tc>
          <w:tcPr>
            <w:tcW w:w="400" w:type="dxa"/>
            <w:vAlign w:val="bottom"/>
          </w:tcPr>
          <w:p>
            <w:pPr>
              <w:spacing w:after="0"/>
              <w:rPr>
                <w:sz w:val="8"/>
                <w:szCs w:val="8"/>
                <w:color w:val="auto"/>
              </w:rPr>
            </w:pPr>
          </w:p>
        </w:tc>
        <w:tc>
          <w:tcPr>
            <w:tcW w:w="148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143.5</w:t>
            </w:r>
          </w:p>
        </w:tc>
        <w:tc>
          <w:tcPr>
            <w:tcW w:w="420" w:type="dxa"/>
            <w:vAlign w:val="bottom"/>
          </w:tcPr>
          <w:p>
            <w:pPr>
              <w:spacing w:after="0"/>
              <w:rPr>
                <w:sz w:val="8"/>
                <w:szCs w:val="8"/>
                <w:color w:val="auto"/>
              </w:rPr>
            </w:pPr>
          </w:p>
        </w:tc>
        <w:tc>
          <w:tcPr>
            <w:tcW w:w="1420" w:type="dxa"/>
            <w:vAlign w:val="bottom"/>
            <w:vMerge w:val="restart"/>
          </w:tcPr>
          <w:p>
            <w:pPr>
              <w:jc w:val="right"/>
              <w:ind w:right="603"/>
              <w:spacing w:after="0"/>
              <w:rPr>
                <w:sz w:val="20"/>
                <w:szCs w:val="20"/>
                <w:color w:val="auto"/>
              </w:rPr>
            </w:pPr>
            <w:r>
              <w:rPr>
                <w:rFonts w:ascii="Courier New" w:cs="Courier New" w:eastAsia="Courier New" w:hAnsi="Courier New"/>
                <w:sz w:val="15"/>
                <w:szCs w:val="15"/>
                <w:color w:val="auto"/>
              </w:rPr>
              <w:t>485.1</w:t>
            </w:r>
          </w:p>
        </w:tc>
        <w:tc>
          <w:tcPr>
            <w:tcW w:w="28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1,206.7</w:t>
            </w:r>
          </w:p>
        </w:tc>
        <w:tc>
          <w:tcPr>
            <w:tcW w:w="0" w:type="dxa"/>
            <w:vAlign w:val="bottom"/>
          </w:tcPr>
          <w:p>
            <w:pPr>
              <w:spacing w:after="0"/>
              <w:rPr>
                <w:sz w:val="1"/>
                <w:szCs w:val="1"/>
                <w:color w:val="auto"/>
              </w:rPr>
            </w:pPr>
          </w:p>
        </w:tc>
      </w:tr>
      <w:tr>
        <w:trPr>
          <w:trHeight w:val="260"/>
        </w:trPr>
        <w:tc>
          <w:tcPr>
            <w:tcW w:w="3680" w:type="dxa"/>
            <w:vAlign w:val="bottom"/>
          </w:tcPr>
          <w:p>
            <w:pPr>
              <w:ind w:left="460"/>
              <w:spacing w:after="0"/>
              <w:rPr>
                <w:sz w:val="20"/>
                <w:szCs w:val="20"/>
                <w:color w:val="auto"/>
              </w:rPr>
            </w:pPr>
            <w:r>
              <w:rPr>
                <w:rFonts w:ascii="Courier New" w:cs="Courier New" w:eastAsia="Courier New" w:hAnsi="Courier New"/>
                <w:sz w:val="15"/>
                <w:szCs w:val="15"/>
                <w:color w:val="auto"/>
              </w:rPr>
              <w:t>Current portion</w:t>
            </w:r>
          </w:p>
        </w:tc>
        <w:tc>
          <w:tcPr>
            <w:tcW w:w="7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Contingency reserves, excluding</w:t>
            </w:r>
          </w:p>
        </w:tc>
        <w:tc>
          <w:tcPr>
            <w:tcW w:w="740" w:type="dxa"/>
            <w:vAlign w:val="bottom"/>
          </w:tcPr>
          <w:p>
            <w:pPr>
              <w:spacing w:after="0"/>
              <w:rPr>
                <w:sz w:val="23"/>
                <w:szCs w:val="23"/>
                <w:color w:val="auto"/>
              </w:rPr>
            </w:pP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102.9</w:t>
            </w:r>
          </w:p>
        </w:tc>
        <w:tc>
          <w:tcPr>
            <w:tcW w:w="400" w:type="dxa"/>
            <w:vAlign w:val="bottom"/>
          </w:tcPr>
          <w:p>
            <w:pPr>
              <w:spacing w:after="0"/>
              <w:rPr>
                <w:sz w:val="23"/>
                <w:szCs w:val="23"/>
                <w:color w:val="auto"/>
              </w:rPr>
            </w:pPr>
          </w:p>
        </w:tc>
        <w:tc>
          <w:tcPr>
            <w:tcW w:w="148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102.9</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portion</w:t>
            </w:r>
          </w:p>
        </w:tc>
        <w:tc>
          <w:tcPr>
            <w:tcW w:w="7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restart"/>
          </w:tcPr>
          <w:p>
            <w:pPr>
              <w:jc w:val="right"/>
              <w:ind w:right="323"/>
              <w:spacing w:after="0"/>
              <w:rPr>
                <w:sz w:val="20"/>
                <w:szCs w:val="20"/>
                <w:color w:val="auto"/>
              </w:rPr>
            </w:pPr>
            <w:r>
              <w:rPr>
                <w:rFonts w:ascii="Courier New" w:cs="Courier New" w:eastAsia="Courier New" w:hAnsi="Courier New"/>
                <w:sz w:val="15"/>
                <w:szCs w:val="15"/>
                <w:color w:val="auto"/>
              </w:rPr>
              <w:t>68.7(d)</w:t>
            </w: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0"/>
                <w:szCs w:val="20"/>
                <w:color w:val="auto"/>
              </w:rPr>
            </w:pPr>
            <w:r>
              <w:rPr>
                <w:rFonts w:ascii="Courier New" w:cs="Courier New" w:eastAsia="Courier New" w:hAnsi="Courier New"/>
                <w:sz w:val="15"/>
                <w:szCs w:val="15"/>
                <w:color w:val="auto"/>
              </w:rPr>
              <w:t>Deferred income taxes and other</w:t>
            </w:r>
          </w:p>
        </w:tc>
        <w:tc>
          <w:tcPr>
            <w:tcW w:w="740" w:type="dxa"/>
            <w:vAlign w:val="bottom"/>
          </w:tcPr>
          <w:p>
            <w:pPr>
              <w:spacing w:after="0"/>
              <w:rPr>
                <w:sz w:val="22"/>
                <w:szCs w:val="22"/>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301.8</w:t>
            </w:r>
          </w:p>
        </w:tc>
        <w:tc>
          <w:tcPr>
            <w:tcW w:w="400" w:type="dxa"/>
            <w:vAlign w:val="bottom"/>
          </w:tcPr>
          <w:p>
            <w:pPr>
              <w:spacing w:after="0"/>
              <w:rPr>
                <w:sz w:val="22"/>
                <w:szCs w:val="22"/>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50.2</w:t>
            </w:r>
          </w:p>
        </w:tc>
        <w:tc>
          <w:tcPr>
            <w:tcW w:w="42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420.7</w:t>
            </w:r>
          </w:p>
        </w:tc>
        <w:tc>
          <w:tcPr>
            <w:tcW w:w="0" w:type="dxa"/>
            <w:vAlign w:val="bottom"/>
          </w:tcPr>
          <w:p>
            <w:pPr>
              <w:spacing w:after="0"/>
              <w:rPr>
                <w:sz w:val="1"/>
                <w:szCs w:val="1"/>
                <w:color w:val="auto"/>
              </w:rPr>
            </w:pPr>
          </w:p>
        </w:tc>
      </w:tr>
      <w:tr>
        <w:trPr>
          <w:trHeight w:val="2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40" w:type="dxa"/>
            <w:vAlign w:val="bottom"/>
          </w:tcPr>
          <w:p>
            <w:pPr>
              <w:spacing w:after="0"/>
              <w:rPr>
                <w:sz w:val="23"/>
                <w:szCs w:val="23"/>
                <w:color w:val="auto"/>
              </w:rPr>
            </w:pP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1,319.6</w:t>
            </w:r>
          </w:p>
        </w:tc>
        <w:tc>
          <w:tcPr>
            <w:tcW w:w="400" w:type="dxa"/>
            <w:vAlign w:val="bottom"/>
          </w:tcPr>
          <w:p>
            <w:pPr>
              <w:spacing w:after="0"/>
              <w:rPr>
                <w:sz w:val="23"/>
                <w:szCs w:val="23"/>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109.7</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(109.7)(a)(b)</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1,319.6</w:t>
            </w: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2"/>
                <w:szCs w:val="22"/>
                <w:color w:val="auto"/>
              </w:rPr>
            </w:pP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80" w:type="dxa"/>
            <w:vAlign w:val="bottom"/>
          </w:tcPr>
          <w:p>
            <w:pPr>
              <w:ind w:left="460"/>
              <w:spacing w:after="0"/>
              <w:rPr>
                <w:sz w:val="20"/>
                <w:szCs w:val="20"/>
                <w:color w:val="auto"/>
              </w:rPr>
            </w:pPr>
            <w:r>
              <w:rPr>
                <w:rFonts w:ascii="Courier New" w:cs="Courier New" w:eastAsia="Courier New" w:hAnsi="Courier New"/>
                <w:sz w:val="15"/>
                <w:szCs w:val="15"/>
                <w:color w:val="auto"/>
              </w:rPr>
              <w:t>TOTAL LIABILITIES &amp; STOCKHOLDERS'</w:t>
            </w:r>
          </w:p>
        </w:tc>
        <w:tc>
          <w:tcPr>
            <w:tcW w:w="7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23"/>
              <w:spacing w:after="0"/>
              <w:rPr>
                <w:sz w:val="20"/>
                <w:szCs w:val="20"/>
                <w:color w:val="auto"/>
              </w:rPr>
            </w:pPr>
            <w:r>
              <w:rPr>
                <w:rFonts w:ascii="Courier New" w:cs="Courier New" w:eastAsia="Courier New" w:hAnsi="Courier New"/>
                <w:sz w:val="15"/>
                <w:szCs w:val="15"/>
                <w:color w:val="auto"/>
              </w:rPr>
              <w:t>2,814.2</w:t>
            </w:r>
          </w:p>
        </w:tc>
        <w:tc>
          <w:tcPr>
            <w:tcW w:w="40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341.0</w:t>
            </w:r>
          </w:p>
        </w:tc>
        <w:tc>
          <w:tcPr>
            <w:tcW w:w="42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603"/>
              <w:spacing w:after="0"/>
              <w:rPr>
                <w:sz w:val="20"/>
                <w:szCs w:val="20"/>
                <w:color w:val="auto"/>
              </w:rPr>
            </w:pPr>
            <w:r>
              <w:rPr>
                <w:rFonts w:ascii="Courier New" w:cs="Courier New" w:eastAsia="Courier New" w:hAnsi="Courier New"/>
                <w:sz w:val="15"/>
                <w:szCs w:val="15"/>
                <w:color w:val="auto"/>
              </w:rPr>
              <w:t>477.6</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3,632.8</w:t>
            </w:r>
          </w:p>
        </w:tc>
        <w:tc>
          <w:tcPr>
            <w:tcW w:w="0" w:type="dxa"/>
            <w:vAlign w:val="bottom"/>
          </w:tcPr>
          <w:p>
            <w:pPr>
              <w:spacing w:after="0"/>
              <w:rPr>
                <w:sz w:val="1"/>
                <w:szCs w:val="1"/>
                <w:color w:val="auto"/>
              </w:rPr>
            </w:pPr>
          </w:p>
        </w:tc>
      </w:tr>
      <w:tr>
        <w:trPr>
          <w:trHeight w:val="177"/>
        </w:trPr>
        <w:tc>
          <w:tcPr>
            <w:tcW w:w="3680" w:type="dxa"/>
            <w:vAlign w:val="bottom"/>
          </w:tcPr>
          <w:p>
            <w:pPr>
              <w:ind w:left="460"/>
              <w:spacing w:after="0"/>
              <w:rPr>
                <w:sz w:val="20"/>
                <w:szCs w:val="20"/>
                <w:color w:val="auto"/>
              </w:rPr>
            </w:pPr>
            <w:r>
              <w:rPr>
                <w:rFonts w:ascii="Courier New" w:cs="Courier New" w:eastAsia="Courier New" w:hAnsi="Courier New"/>
                <w:sz w:val="15"/>
                <w:szCs w:val="15"/>
                <w:color w:val="auto"/>
              </w:rPr>
              <w:t>EQUITY</w:t>
            </w:r>
          </w:p>
        </w:tc>
        <w:tc>
          <w:tcPr>
            <w:tcW w:w="7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2"/>
                <w:szCs w:val="22"/>
                <w:color w:val="auto"/>
              </w:rPr>
            </w:pPr>
          </w:p>
        </w:tc>
        <w:tc>
          <w:tcPr>
            <w:tcW w:w="18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information.</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700"/>
          </w:cols>
          <w:pgMar w:left="240" w:top="800" w:right="959" w:bottom="1440" w:gutter="0" w:footer="0" w:header="0"/>
        </w:sectPr>
      </w:pPr>
    </w:p>
    <w:bookmarkStart w:id="44" w:name="page45"/>
    <w:bookmarkEnd w:id="44"/>
    <w:p>
      <w:pPr>
        <w:jc w:val="center"/>
        <w:ind w:right="3320"/>
        <w:spacing w:after="0"/>
        <w:rPr>
          <w:sz w:val="20"/>
          <w:szCs w:val="20"/>
          <w:color w:val="auto"/>
        </w:rPr>
      </w:pPr>
      <w:r>
        <w:rPr>
          <w:rFonts w:ascii="Courier New" w:cs="Courier New" w:eastAsia="Courier New" w:hAnsi="Courier New"/>
          <w:sz w:val="15"/>
          <w:szCs w:val="15"/>
          <w:color w:val="auto"/>
        </w:rPr>
        <w:t>LOUISIANA-PACIFIC CORPORATION AND SUBSIDIARIES</w:t>
      </w:r>
    </w:p>
    <w:p>
      <w:pPr>
        <w:spacing w:after="0" w:line="18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UNAUDITED PRO FORMA CONDENSED CONSOLIDATED</w:t>
      </w:r>
    </w:p>
    <w:p>
      <w:pPr>
        <w:spacing w:after="0" w:line="3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INCOME STATEMENT</w:t>
      </w:r>
    </w:p>
    <w:p>
      <w:pPr>
        <w:spacing w:after="0" w:line="157"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36"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5"/>
          <w:szCs w:val="15"/>
          <w:color w:val="auto"/>
        </w:rPr>
        <w:t>(IN MILLIONS OF US DOLLARS, EXCEPT PER SHARE DATA WHICH</w:t>
      </w:r>
    </w:p>
    <w:p>
      <w:pPr>
        <w:spacing w:after="0" w:line="8"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ARE IN US DOLLARS)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40" w:type="dxa"/>
            <w:vAlign w:val="bottom"/>
          </w:tcPr>
          <w:p>
            <w:pPr>
              <w:spacing w:after="0"/>
              <w:rPr>
                <w:sz w:val="15"/>
                <w:szCs w:val="15"/>
                <w:color w:val="auto"/>
              </w:rPr>
            </w:pPr>
          </w:p>
        </w:tc>
        <w:tc>
          <w:tcPr>
            <w:tcW w:w="106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L-P</w:t>
            </w: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restart"/>
          </w:tcPr>
          <w:p>
            <w:pPr>
              <w:jc w:val="right"/>
              <w:ind w:right="703"/>
              <w:spacing w:after="0"/>
              <w:rPr>
                <w:sz w:val="20"/>
                <w:szCs w:val="20"/>
                <w:color w:val="auto"/>
              </w:rPr>
            </w:pPr>
            <w:r>
              <w:rPr>
                <w:rFonts w:ascii="Courier New" w:cs="Courier New" w:eastAsia="Courier New" w:hAnsi="Courier New"/>
                <w:sz w:val="15"/>
                <w:szCs w:val="15"/>
                <w:color w:val="auto"/>
              </w:rPr>
              <w:t>FOREX</w:t>
            </w:r>
          </w:p>
        </w:tc>
        <w:tc>
          <w:tcPr>
            <w:tcW w:w="1800" w:type="dxa"/>
            <w:vAlign w:val="bottom"/>
            <w:gridSpan w:val="2"/>
          </w:tcPr>
          <w:p>
            <w:pPr>
              <w:jc w:val="center"/>
              <w:ind w:right="423"/>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spacing w:after="0"/>
              <w:rPr>
                <w:sz w:val="15"/>
                <w:szCs w:val="15"/>
                <w:color w:val="auto"/>
              </w:rPr>
            </w:pPr>
          </w:p>
        </w:tc>
        <w:tc>
          <w:tcPr>
            <w:tcW w:w="11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800" w:type="dxa"/>
            <w:vAlign w:val="bottom"/>
            <w:gridSpan w:val="2"/>
          </w:tcPr>
          <w:p>
            <w:pPr>
              <w:jc w:val="center"/>
              <w:ind w:right="423"/>
              <w:spacing w:after="0"/>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w:t>
            </w:r>
          </w:p>
        </w:tc>
        <w:tc>
          <w:tcPr>
            <w:tcW w:w="7060" w:type="dxa"/>
            <w:vAlign w:val="bottom"/>
            <w:gridSpan w:val="8"/>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2,297.1</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122.3</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2,419.4</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32"/>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6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1,853.8</w:t>
            </w:r>
          </w:p>
        </w:tc>
        <w:tc>
          <w:tcPr>
            <w:tcW w:w="420" w:type="dxa"/>
            <w:vAlign w:val="bottom"/>
          </w:tcPr>
          <w:p>
            <w:pPr>
              <w:spacing w:after="0"/>
              <w:rPr>
                <w:sz w:val="24"/>
                <w:szCs w:val="24"/>
                <w:color w:val="auto"/>
              </w:rPr>
            </w:pP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74.3</w:t>
            </w:r>
          </w:p>
        </w:tc>
        <w:tc>
          <w:tcPr>
            <w:tcW w:w="500" w:type="dxa"/>
            <w:vAlign w:val="bottom"/>
          </w:tcPr>
          <w:p>
            <w:pPr>
              <w:spacing w:after="0"/>
              <w:rPr>
                <w:sz w:val="24"/>
                <w:szCs w:val="24"/>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6.2(e)</w:t>
            </w:r>
          </w:p>
        </w:tc>
        <w:tc>
          <w:tcPr>
            <w:tcW w:w="320" w:type="dxa"/>
            <w:vAlign w:val="bottom"/>
          </w:tcPr>
          <w:p>
            <w:pPr>
              <w:spacing w:after="0"/>
              <w:rPr>
                <w:sz w:val="24"/>
                <w:szCs w:val="24"/>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1,934.3</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Depreciation, amortization &amp; depletion</w:t>
            </w:r>
          </w:p>
        </w:tc>
        <w:tc>
          <w:tcPr>
            <w:tcW w:w="106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185.4</w:t>
            </w:r>
          </w:p>
        </w:tc>
        <w:tc>
          <w:tcPr>
            <w:tcW w:w="420" w:type="dxa"/>
            <w:vAlign w:val="bottom"/>
          </w:tcPr>
          <w:p>
            <w:pPr>
              <w:spacing w:after="0"/>
              <w:rPr>
                <w:sz w:val="15"/>
                <w:szCs w:val="15"/>
                <w:color w:val="auto"/>
              </w:rPr>
            </w:pP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11.9</w:t>
            </w:r>
          </w:p>
        </w:tc>
        <w:tc>
          <w:tcPr>
            <w:tcW w:w="50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27.1(c)</w:t>
            </w:r>
          </w:p>
        </w:tc>
        <w:tc>
          <w:tcPr>
            <w:tcW w:w="320" w:type="dxa"/>
            <w:vAlign w:val="bottom"/>
          </w:tcPr>
          <w:p>
            <w:pPr>
              <w:spacing w:after="0"/>
              <w:rPr>
                <w:sz w:val="15"/>
                <w:szCs w:val="15"/>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224.4</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Selling and administrative</w:t>
            </w:r>
          </w:p>
        </w:tc>
        <w:tc>
          <w:tcPr>
            <w:tcW w:w="106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183.3</w:t>
            </w:r>
          </w:p>
        </w:tc>
        <w:tc>
          <w:tcPr>
            <w:tcW w:w="420" w:type="dxa"/>
            <w:vAlign w:val="bottom"/>
          </w:tcPr>
          <w:p>
            <w:pPr>
              <w:spacing w:after="0"/>
              <w:rPr>
                <w:sz w:val="15"/>
                <w:szCs w:val="15"/>
                <w:color w:val="auto"/>
              </w:rPr>
            </w:pP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6.9</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190.2</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Settlements and other unusual items,</w:t>
            </w:r>
          </w:p>
        </w:tc>
        <w:tc>
          <w:tcPr>
            <w:tcW w:w="1060" w:type="dxa"/>
            <w:vAlign w:val="bottom"/>
          </w:tcPr>
          <w:p>
            <w:pPr>
              <w:spacing w:after="0"/>
              <w:rPr>
                <w:sz w:val="15"/>
                <w:szCs w:val="15"/>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47.8</w:t>
            </w:r>
          </w:p>
        </w:tc>
        <w:tc>
          <w:tcPr>
            <w:tcW w:w="420" w:type="dxa"/>
            <w:vAlign w:val="bottom"/>
          </w:tcPr>
          <w:p>
            <w:pPr>
              <w:spacing w:after="0"/>
              <w:rPr>
                <w:sz w:val="15"/>
                <w:szCs w:val="15"/>
                <w:color w:val="auto"/>
              </w:rPr>
            </w:pP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47.8</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060" w:type="dxa"/>
            <w:vAlign w:val="bottom"/>
          </w:tcPr>
          <w:p>
            <w:pPr>
              <w:spacing w:after="0"/>
              <w:rPr>
                <w:sz w:val="15"/>
                <w:szCs w:val="15"/>
                <w:color w:val="auto"/>
              </w:rPr>
            </w:pPr>
          </w:p>
        </w:tc>
        <w:tc>
          <w:tcPr>
            <w:tcW w:w="8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37.5</w:t>
            </w:r>
          </w:p>
        </w:tc>
        <w:tc>
          <w:tcPr>
            <w:tcW w:w="420" w:type="dxa"/>
            <w:vAlign w:val="bottom"/>
          </w:tcPr>
          <w:p>
            <w:pPr>
              <w:spacing w:after="0"/>
              <w:rPr>
                <w:sz w:val="15"/>
                <w:szCs w:val="15"/>
                <w:color w:val="auto"/>
              </w:rPr>
            </w:pPr>
          </w:p>
        </w:tc>
        <w:tc>
          <w:tcPr>
            <w:tcW w:w="142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8.8</w:t>
            </w:r>
          </w:p>
        </w:tc>
        <w:tc>
          <w:tcPr>
            <w:tcW w:w="500" w:type="dxa"/>
            <w:vAlign w:val="bottom"/>
          </w:tcPr>
          <w:p>
            <w:pPr>
              <w:spacing w:after="0"/>
              <w:rPr>
                <w:sz w:val="15"/>
                <w:szCs w:val="15"/>
                <w:color w:val="auto"/>
              </w:rPr>
            </w:pPr>
          </w:p>
        </w:tc>
        <w:tc>
          <w:tcPr>
            <w:tcW w:w="130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28.2(a)(b)</w:t>
            </w:r>
          </w:p>
        </w:tc>
        <w:tc>
          <w:tcPr>
            <w:tcW w:w="320" w:type="dxa"/>
            <w:vAlign w:val="bottom"/>
          </w:tcPr>
          <w:p>
            <w:pPr>
              <w:spacing w:after="0"/>
              <w:rPr>
                <w:sz w:val="15"/>
                <w:szCs w:val="15"/>
                <w:color w:val="auto"/>
              </w:rPr>
            </w:pPr>
          </w:p>
        </w:tc>
        <w:tc>
          <w:tcPr>
            <w:tcW w:w="116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74.5</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(24.7)</w:t>
            </w:r>
          </w:p>
        </w:tc>
        <w:tc>
          <w:tcPr>
            <w:tcW w:w="420" w:type="dxa"/>
            <w:vAlign w:val="bottom"/>
          </w:tcPr>
          <w:p>
            <w:pPr>
              <w:spacing w:after="0"/>
              <w:rPr>
                <w:sz w:val="15"/>
                <w:szCs w:val="15"/>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(0.9)</w:t>
            </w:r>
          </w:p>
        </w:tc>
        <w:tc>
          <w:tcPr>
            <w:tcW w:w="1800" w:type="dxa"/>
            <w:vAlign w:val="bottom"/>
            <w:gridSpan w:val="2"/>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(25.6)</w:t>
            </w:r>
          </w:p>
        </w:tc>
        <w:tc>
          <w:tcPr>
            <w:tcW w:w="0" w:type="dxa"/>
            <w:vAlign w:val="bottom"/>
          </w:tcPr>
          <w:p>
            <w:pPr>
              <w:spacing w:after="0"/>
              <w:rPr>
                <w:sz w:val="1"/>
                <w:szCs w:val="1"/>
                <w:color w:val="auto"/>
              </w:rPr>
            </w:pPr>
          </w:p>
        </w:tc>
      </w:tr>
      <w:tr>
        <w:trPr>
          <w:trHeight w:val="177"/>
        </w:trPr>
        <w:tc>
          <w:tcPr>
            <w:tcW w:w="364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costs and expenses</w:t>
            </w:r>
          </w:p>
        </w:tc>
        <w:tc>
          <w:tcPr>
            <w:tcW w:w="1060" w:type="dxa"/>
            <w:vAlign w:val="bottom"/>
          </w:tcPr>
          <w:p>
            <w:pPr>
              <w:ind w:left="220"/>
              <w:spacing w:after="0"/>
              <w:rPr>
                <w:sz w:val="20"/>
                <w:szCs w:val="20"/>
                <w:color w:val="auto"/>
              </w:rPr>
            </w:pPr>
            <w:r>
              <w:rPr>
                <w:rFonts w:ascii="Courier New" w:cs="Courier New" w:eastAsia="Courier New" w:hAnsi="Courier New"/>
                <w:sz w:val="12"/>
                <w:szCs w:val="12"/>
                <w:color w:val="auto"/>
                <w:w w:val="71"/>
              </w:rPr>
              <w:t>----------------</w:t>
            </w:r>
          </w:p>
        </w:tc>
        <w:tc>
          <w:tcPr>
            <w:tcW w:w="8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w w:val="98"/>
              </w:rPr>
              <w:t>2,283.1</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vMerge w:val="continue"/>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101.0</w:t>
            </w:r>
          </w:p>
        </w:tc>
        <w:tc>
          <w:tcPr>
            <w:tcW w:w="500" w:type="dxa"/>
            <w:vAlign w:val="bottom"/>
          </w:tcPr>
          <w:p>
            <w:pPr>
              <w:spacing w:after="0"/>
              <w:rPr>
                <w:sz w:val="15"/>
                <w:szCs w:val="15"/>
                <w:color w:val="auto"/>
              </w:rPr>
            </w:pPr>
          </w:p>
        </w:tc>
        <w:tc>
          <w:tcPr>
            <w:tcW w:w="13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61.5</w:t>
            </w:r>
          </w:p>
        </w:tc>
        <w:tc>
          <w:tcPr>
            <w:tcW w:w="320" w:type="dxa"/>
            <w:vAlign w:val="bottom"/>
          </w:tcPr>
          <w:p>
            <w:pPr>
              <w:spacing w:after="0"/>
              <w:rPr>
                <w:sz w:val="15"/>
                <w:szCs w:val="15"/>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2,445.6</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(loss) before taxes and</w:t>
            </w:r>
          </w:p>
        </w:tc>
        <w:tc>
          <w:tcPr>
            <w:tcW w:w="1060" w:type="dxa"/>
            <w:vAlign w:val="bottom"/>
          </w:tcPr>
          <w:p>
            <w:pPr>
              <w:spacing w:after="0"/>
              <w:rPr>
                <w:sz w:val="23"/>
                <w:szCs w:val="23"/>
                <w:color w:val="auto"/>
              </w:rPr>
            </w:pPr>
          </w:p>
        </w:tc>
        <w:tc>
          <w:tcPr>
            <w:tcW w:w="8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14.0</w:t>
            </w:r>
          </w:p>
        </w:tc>
        <w:tc>
          <w:tcPr>
            <w:tcW w:w="420" w:type="dxa"/>
            <w:vAlign w:val="bottom"/>
          </w:tcPr>
          <w:p>
            <w:pPr>
              <w:spacing w:after="0"/>
              <w:rPr>
                <w:sz w:val="23"/>
                <w:szCs w:val="23"/>
                <w:color w:val="auto"/>
              </w:rPr>
            </w:pPr>
          </w:p>
        </w:tc>
        <w:tc>
          <w:tcPr>
            <w:tcW w:w="142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21.3</w:t>
            </w:r>
          </w:p>
        </w:tc>
        <w:tc>
          <w:tcPr>
            <w:tcW w:w="500" w:type="dxa"/>
            <w:vAlign w:val="bottom"/>
          </w:tcPr>
          <w:p>
            <w:pPr>
              <w:spacing w:after="0"/>
              <w:rPr>
                <w:sz w:val="23"/>
                <w:szCs w:val="23"/>
                <w:color w:val="auto"/>
              </w:rPr>
            </w:pPr>
          </w:p>
        </w:tc>
        <w:tc>
          <w:tcPr>
            <w:tcW w:w="1300" w:type="dxa"/>
            <w:vAlign w:val="bottom"/>
            <w:vMerge w:val="restart"/>
          </w:tcPr>
          <w:p>
            <w:pPr>
              <w:jc w:val="right"/>
              <w:ind w:right="483"/>
              <w:spacing w:after="0"/>
              <w:rPr>
                <w:sz w:val="20"/>
                <w:szCs w:val="20"/>
                <w:color w:val="auto"/>
              </w:rPr>
            </w:pPr>
            <w:r>
              <w:rPr>
                <w:rFonts w:ascii="Courier New" w:cs="Courier New" w:eastAsia="Courier New" w:hAnsi="Courier New"/>
                <w:sz w:val="15"/>
                <w:szCs w:val="15"/>
                <w:color w:val="auto"/>
              </w:rPr>
              <w:t>(61.5)</w:t>
            </w:r>
          </w:p>
        </w:tc>
        <w:tc>
          <w:tcPr>
            <w:tcW w:w="320" w:type="dxa"/>
            <w:vAlign w:val="bottom"/>
          </w:tcPr>
          <w:p>
            <w:pPr>
              <w:spacing w:after="0"/>
              <w:rPr>
                <w:sz w:val="23"/>
                <w:szCs w:val="23"/>
                <w:color w:val="auto"/>
              </w:rPr>
            </w:pPr>
          </w:p>
        </w:tc>
        <w:tc>
          <w:tcPr>
            <w:tcW w:w="116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1,132.4</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06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36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060" w:type="dxa"/>
            <w:vAlign w:val="bottom"/>
          </w:tcPr>
          <w:p>
            <w:pPr>
              <w:spacing w:after="0"/>
              <w:rPr>
                <w:sz w:val="24"/>
                <w:szCs w:val="24"/>
                <w:color w:val="auto"/>
              </w:rPr>
            </w:pP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15.8</w:t>
            </w:r>
          </w:p>
        </w:tc>
        <w:tc>
          <w:tcPr>
            <w:tcW w:w="420" w:type="dxa"/>
            <w:vAlign w:val="bottom"/>
          </w:tcPr>
          <w:p>
            <w:pPr>
              <w:spacing w:after="0"/>
              <w:rPr>
                <w:sz w:val="24"/>
                <w:szCs w:val="24"/>
                <w:color w:val="auto"/>
              </w:rPr>
            </w:pP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11.1</w:t>
            </w:r>
          </w:p>
        </w:tc>
        <w:tc>
          <w:tcPr>
            <w:tcW w:w="500" w:type="dxa"/>
            <w:vAlign w:val="bottom"/>
          </w:tcPr>
          <w:p>
            <w:pPr>
              <w:spacing w:after="0"/>
              <w:rPr>
                <w:sz w:val="24"/>
                <w:szCs w:val="24"/>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(16.9)(d)</w:t>
            </w:r>
          </w:p>
        </w:tc>
        <w:tc>
          <w:tcPr>
            <w:tcW w:w="320" w:type="dxa"/>
            <w:vAlign w:val="bottom"/>
          </w:tcPr>
          <w:p>
            <w:pPr>
              <w:spacing w:after="0"/>
              <w:rPr>
                <w:sz w:val="24"/>
                <w:szCs w:val="24"/>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Minority interest in income (loss) of</w:t>
            </w:r>
          </w:p>
        </w:tc>
        <w:tc>
          <w:tcPr>
            <w:tcW w:w="1060" w:type="dxa"/>
            <w:vAlign w:val="bottom"/>
          </w:tcPr>
          <w:p>
            <w:pPr>
              <w:spacing w:after="0"/>
              <w:rPr>
                <w:sz w:val="23"/>
                <w:szCs w:val="23"/>
                <w:color w:val="auto"/>
              </w:rPr>
            </w:pPr>
          </w:p>
        </w:tc>
        <w:tc>
          <w:tcPr>
            <w:tcW w:w="88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(3.8)</w:t>
            </w:r>
          </w:p>
        </w:tc>
        <w:tc>
          <w:tcPr>
            <w:tcW w:w="420" w:type="dxa"/>
            <w:vAlign w:val="bottom"/>
          </w:tcPr>
          <w:p>
            <w:pPr>
              <w:spacing w:after="0"/>
              <w:rPr>
                <w:sz w:val="23"/>
                <w:szCs w:val="23"/>
                <w:color w:val="auto"/>
              </w:rPr>
            </w:pPr>
          </w:p>
        </w:tc>
        <w:tc>
          <w:tcPr>
            <w:tcW w:w="142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0.3</w:t>
            </w: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consolidated subsidiary</w:t>
            </w:r>
          </w:p>
        </w:tc>
        <w:tc>
          <w:tcPr>
            <w:tcW w:w="10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w:t>
            </w:r>
          </w:p>
        </w:tc>
        <w:tc>
          <w:tcPr>
            <w:tcW w:w="1060" w:type="dxa"/>
            <w:vAlign w:val="bottom"/>
          </w:tcPr>
          <w:p>
            <w:pPr>
              <w:spacing w:after="0"/>
              <w:rPr>
                <w:sz w:val="15"/>
                <w:szCs w:val="15"/>
                <w:color w:val="auto"/>
              </w:rPr>
            </w:pPr>
          </w:p>
        </w:tc>
        <w:tc>
          <w:tcPr>
            <w:tcW w:w="8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7.1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10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800" w:type="dxa"/>
            <w:vAlign w:val="bottom"/>
            <w:gridSpan w:val="2"/>
            <w:vMerge w:val="restart"/>
          </w:tcPr>
          <w:p>
            <w:pPr>
              <w:ind w:left="2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vMerge w:val="continue"/>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17.0</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(44.6)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SHARE</w:t>
            </w: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10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0.02</w:t>
            </w:r>
          </w:p>
        </w:tc>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(0.24)</w:t>
            </w:r>
          </w:p>
        </w:tc>
        <w:tc>
          <w:tcPr>
            <w:tcW w:w="0" w:type="dxa"/>
            <w:vAlign w:val="bottom"/>
          </w:tcPr>
          <w:p>
            <w:pPr>
              <w:spacing w:after="0"/>
              <w:rPr>
                <w:sz w:val="1"/>
                <w:szCs w:val="1"/>
                <w:color w:val="auto"/>
              </w:rPr>
            </w:pPr>
          </w:p>
        </w:tc>
      </w:tr>
      <w:tr>
        <w:trPr>
          <w:trHeight w:val="177"/>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10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Average shares of common stock</w:t>
            </w:r>
          </w:p>
        </w:tc>
        <w:tc>
          <w:tcPr>
            <w:tcW w:w="10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108.4</w:t>
            </w: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108.4</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(millions) - basic</w:t>
            </w:r>
          </w:p>
        </w:tc>
        <w:tc>
          <w:tcPr>
            <w:tcW w:w="10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Average shares of common stock</w:t>
            </w: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10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108.6</w:t>
            </w:r>
          </w:p>
        </w:tc>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(millions) - diluted</w:t>
            </w:r>
          </w:p>
        </w:tc>
        <w:tc>
          <w:tcPr>
            <w:tcW w:w="10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information.</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700"/>
          </w:cols>
          <w:pgMar w:left="240" w:top="800" w:right="959" w:bottom="1440" w:gutter="0" w:footer="0" w:header="0"/>
        </w:sectPr>
      </w:pPr>
    </w:p>
    <w:bookmarkStart w:id="45" w:name="page46"/>
    <w:bookmarkEnd w:id="45"/>
    <w:p>
      <w:pPr>
        <w:jc w:val="center"/>
        <w:ind w:right="3400"/>
        <w:spacing w:after="0"/>
        <w:rPr>
          <w:sz w:val="20"/>
          <w:szCs w:val="20"/>
          <w:color w:val="auto"/>
        </w:rPr>
      </w:pPr>
      <w:r>
        <w:rPr>
          <w:rFonts w:ascii="Courier New" w:cs="Courier New" w:eastAsia="Courier New" w:hAnsi="Courier New"/>
          <w:sz w:val="15"/>
          <w:szCs w:val="15"/>
          <w:color w:val="auto"/>
        </w:rPr>
        <w:t>LOUISIANA-PACIFIC CORPORATION AND SUBSIDIARIES</w:t>
      </w:r>
    </w:p>
    <w:p>
      <w:pPr>
        <w:spacing w:after="0" w:line="18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UNAUDITED PRO FORMA CONDENSED CONSOLIDATED</w:t>
      </w:r>
    </w:p>
    <w:p>
      <w:pPr>
        <w:spacing w:after="0" w:line="3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INCOME STATEMENT</w:t>
      </w:r>
    </w:p>
    <w:p>
      <w:pPr>
        <w:spacing w:after="0" w:line="15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SIX MONTHS ENDED JUNE 30, 1999</w:t>
      </w:r>
    </w:p>
    <w:p>
      <w:pPr>
        <w:spacing w:after="0" w:line="36"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(In millions of US dollars, except per share data which</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520" w:type="dxa"/>
            <w:vAlign w:val="bottom"/>
            <w:gridSpan w:val="2"/>
          </w:tcPr>
          <w:p>
            <w:pPr>
              <w:ind w:left="2860"/>
              <w:spacing w:after="0"/>
              <w:rPr>
                <w:sz w:val="20"/>
                <w:szCs w:val="20"/>
                <w:color w:val="auto"/>
              </w:rPr>
            </w:pPr>
            <w:r>
              <w:rPr>
                <w:rFonts w:ascii="Courier New" w:cs="Courier New" w:eastAsia="Courier New" w:hAnsi="Courier New"/>
                <w:sz w:val="15"/>
                <w:szCs w:val="15"/>
                <w:color w:val="auto"/>
              </w:rPr>
              <w:t>are in US dollars)</w:t>
            </w: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7"/>
        </w:trPr>
        <w:tc>
          <w:tcPr>
            <w:tcW w:w="3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vMerge w:val="restart"/>
          </w:tcPr>
          <w:p>
            <w:pPr>
              <w:jc w:val="right"/>
              <w:ind w:right="703"/>
              <w:spacing w:after="0"/>
              <w:rPr>
                <w:sz w:val="20"/>
                <w:szCs w:val="20"/>
                <w:color w:val="auto"/>
              </w:rPr>
            </w:pPr>
            <w:r>
              <w:rPr>
                <w:rFonts w:ascii="Courier New" w:cs="Courier New" w:eastAsia="Courier New" w:hAnsi="Courier New"/>
                <w:sz w:val="15"/>
                <w:szCs w:val="15"/>
                <w:color w:val="auto"/>
                <w:w w:val="96"/>
              </w:rPr>
              <w:t>L-P</w:t>
            </w:r>
          </w:p>
        </w:tc>
        <w:tc>
          <w:tcPr>
            <w:tcW w:w="460" w:type="dxa"/>
            <w:vAlign w:val="bottom"/>
          </w:tcPr>
          <w:p>
            <w:pPr>
              <w:spacing w:after="0"/>
              <w:rPr>
                <w:sz w:val="24"/>
                <w:szCs w:val="24"/>
                <w:color w:val="auto"/>
              </w:rPr>
            </w:pPr>
          </w:p>
        </w:tc>
        <w:tc>
          <w:tcPr>
            <w:tcW w:w="1420" w:type="dxa"/>
            <w:vAlign w:val="bottom"/>
            <w:vMerge w:val="restart"/>
          </w:tcPr>
          <w:p>
            <w:pPr>
              <w:jc w:val="right"/>
              <w:ind w:right="643"/>
              <w:spacing w:after="0"/>
              <w:rPr>
                <w:sz w:val="20"/>
                <w:szCs w:val="20"/>
                <w:color w:val="auto"/>
              </w:rPr>
            </w:pPr>
            <w:r>
              <w:rPr>
                <w:rFonts w:ascii="Courier New" w:cs="Courier New" w:eastAsia="Courier New" w:hAnsi="Courier New"/>
                <w:sz w:val="15"/>
                <w:szCs w:val="15"/>
                <w:color w:val="auto"/>
              </w:rPr>
              <w:t>FOREX</w:t>
            </w:r>
          </w:p>
        </w:tc>
        <w:tc>
          <w:tcPr>
            <w:tcW w:w="2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spacing w:after="0"/>
              <w:rPr>
                <w:sz w:val="24"/>
                <w:szCs w:val="24"/>
                <w:color w:val="auto"/>
              </w:rPr>
            </w:pPr>
          </w:p>
        </w:tc>
        <w:tc>
          <w:tcPr>
            <w:tcW w:w="124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Net Sales</w:t>
            </w:r>
          </w:p>
        </w:tc>
        <w:tc>
          <w:tcPr>
            <w:tcW w:w="7140" w:type="dxa"/>
            <w:vAlign w:val="bottom"/>
            <w:gridSpan w:val="8"/>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1,368.6</w:t>
            </w:r>
          </w:p>
        </w:tc>
        <w:tc>
          <w:tcPr>
            <w:tcW w:w="4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126.4</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spacing w:after="0"/>
              <w:rPr>
                <w:sz w:val="15"/>
                <w:szCs w:val="15"/>
                <w:color w:val="auto"/>
              </w:rPr>
            </w:pPr>
          </w:p>
        </w:tc>
        <w:tc>
          <w:tcPr>
            <w:tcW w:w="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1,495.0</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32"/>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80" w:type="dxa"/>
            <w:vAlign w:val="bottom"/>
          </w:tcPr>
          <w:p>
            <w:pPr>
              <w:spacing w:after="0"/>
              <w:rPr>
                <w:sz w:val="23"/>
                <w:szCs w:val="23"/>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999.0</w:t>
            </w:r>
          </w:p>
        </w:tc>
        <w:tc>
          <w:tcPr>
            <w:tcW w:w="460" w:type="dxa"/>
            <w:vAlign w:val="bottom"/>
          </w:tcPr>
          <w:p>
            <w:pPr>
              <w:spacing w:after="0"/>
              <w:rPr>
                <w:sz w:val="23"/>
                <w:szCs w:val="23"/>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60.5</w:t>
            </w:r>
          </w:p>
        </w:tc>
        <w:tc>
          <w:tcPr>
            <w:tcW w:w="280" w:type="dxa"/>
            <w:vAlign w:val="bottom"/>
          </w:tcPr>
          <w:p>
            <w:pPr>
              <w:spacing w:after="0"/>
              <w:rPr>
                <w:sz w:val="23"/>
                <w:szCs w:val="23"/>
                <w:color w:val="auto"/>
              </w:rPr>
            </w:pP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6.2(e)</w:t>
            </w:r>
          </w:p>
        </w:tc>
        <w:tc>
          <w:tcPr>
            <w:tcW w:w="32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1,065.7</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Depreciation, amortization &amp; depletion</w:t>
            </w:r>
          </w:p>
        </w:tc>
        <w:tc>
          <w:tcPr>
            <w:tcW w:w="88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88.5</w:t>
            </w:r>
          </w:p>
        </w:tc>
        <w:tc>
          <w:tcPr>
            <w:tcW w:w="460" w:type="dxa"/>
            <w:vAlign w:val="bottom"/>
          </w:tcPr>
          <w:p>
            <w:pPr>
              <w:spacing w:after="0"/>
              <w:rPr>
                <w:sz w:val="15"/>
                <w:szCs w:val="15"/>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7.2</w:t>
            </w:r>
          </w:p>
        </w:tc>
        <w:tc>
          <w:tcPr>
            <w:tcW w:w="280" w:type="dxa"/>
            <w:vAlign w:val="bottom"/>
          </w:tcPr>
          <w:p>
            <w:pPr>
              <w:spacing w:after="0"/>
              <w:rPr>
                <w:sz w:val="15"/>
                <w:szCs w:val="15"/>
                <w:color w:val="auto"/>
              </w:rPr>
            </w:pP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13.6(c)</w:t>
            </w:r>
          </w:p>
        </w:tc>
        <w:tc>
          <w:tcPr>
            <w:tcW w:w="32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109.3</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Selling and administrative</w:t>
            </w:r>
          </w:p>
        </w:tc>
        <w:tc>
          <w:tcPr>
            <w:tcW w:w="88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100.6</w:t>
            </w:r>
          </w:p>
        </w:tc>
        <w:tc>
          <w:tcPr>
            <w:tcW w:w="460" w:type="dxa"/>
            <w:vAlign w:val="bottom"/>
          </w:tcPr>
          <w:p>
            <w:pPr>
              <w:spacing w:after="0"/>
              <w:rPr>
                <w:sz w:val="15"/>
                <w:szCs w:val="15"/>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3.6</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104.2</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Settlements and other unusual items,</w:t>
            </w:r>
          </w:p>
        </w:tc>
        <w:tc>
          <w:tcPr>
            <w:tcW w:w="8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w:t>
            </w:r>
          </w:p>
        </w:tc>
        <w:tc>
          <w:tcPr>
            <w:tcW w:w="460" w:type="dxa"/>
            <w:vAlign w:val="bottom"/>
          </w:tcPr>
          <w:p>
            <w:pPr>
              <w:spacing w:after="0"/>
              <w:rPr>
                <w:sz w:val="15"/>
                <w:szCs w:val="15"/>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80" w:type="dxa"/>
            <w:vAlign w:val="bottom"/>
          </w:tcPr>
          <w:p>
            <w:pPr>
              <w:spacing w:after="0"/>
              <w:rPr>
                <w:sz w:val="15"/>
                <w:szCs w:val="15"/>
                <w:color w:val="auto"/>
              </w:rPr>
            </w:pP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20.1</w:t>
            </w:r>
          </w:p>
        </w:tc>
        <w:tc>
          <w:tcPr>
            <w:tcW w:w="460" w:type="dxa"/>
            <w:vAlign w:val="bottom"/>
          </w:tcPr>
          <w:p>
            <w:pPr>
              <w:spacing w:after="0"/>
              <w:rPr>
                <w:sz w:val="15"/>
                <w:szCs w:val="15"/>
                <w:color w:val="auto"/>
              </w:rPr>
            </w:pPr>
          </w:p>
        </w:tc>
        <w:tc>
          <w:tcPr>
            <w:tcW w:w="1420" w:type="dxa"/>
            <w:vAlign w:val="bottom"/>
            <w:vMerge w:val="restart"/>
          </w:tcPr>
          <w:p>
            <w:pPr>
              <w:jc w:val="right"/>
              <w:ind w:right="183"/>
              <w:spacing w:after="0"/>
              <w:rPr>
                <w:sz w:val="20"/>
                <w:szCs w:val="20"/>
                <w:color w:val="auto"/>
              </w:rPr>
            </w:pPr>
            <w:r>
              <w:rPr>
                <w:rFonts w:ascii="Courier New" w:cs="Courier New" w:eastAsia="Courier New" w:hAnsi="Courier New"/>
                <w:sz w:val="15"/>
                <w:szCs w:val="15"/>
                <w:color w:val="auto"/>
              </w:rPr>
              <w:t>6.0</w:t>
            </w:r>
          </w:p>
        </w:tc>
        <w:tc>
          <w:tcPr>
            <w:tcW w:w="280" w:type="dxa"/>
            <w:vAlign w:val="bottom"/>
          </w:tcPr>
          <w:p>
            <w:pPr>
              <w:spacing w:after="0"/>
              <w:rPr>
                <w:sz w:val="15"/>
                <w:szCs w:val="15"/>
                <w:color w:val="auto"/>
              </w:rPr>
            </w:pPr>
          </w:p>
        </w:tc>
        <w:tc>
          <w:tcPr>
            <w:tcW w:w="1480" w:type="dxa"/>
            <w:vAlign w:val="bottom"/>
            <w:vMerge w:val="restart"/>
          </w:tcPr>
          <w:p>
            <w:pPr>
              <w:jc w:val="right"/>
              <w:ind w:right="23"/>
              <w:spacing w:after="0"/>
              <w:rPr>
                <w:sz w:val="20"/>
                <w:szCs w:val="20"/>
                <w:color w:val="auto"/>
              </w:rPr>
            </w:pPr>
            <w:r>
              <w:rPr>
                <w:rFonts w:ascii="Courier New" w:cs="Courier New" w:eastAsia="Courier New" w:hAnsi="Courier New"/>
                <w:sz w:val="15"/>
                <w:szCs w:val="15"/>
                <w:color w:val="auto"/>
              </w:rPr>
              <w:t>14.1(a)(b)</w:t>
            </w:r>
          </w:p>
        </w:tc>
        <w:tc>
          <w:tcPr>
            <w:tcW w:w="320" w:type="dxa"/>
            <w:vAlign w:val="bottom"/>
          </w:tcPr>
          <w:p>
            <w:pPr>
              <w:spacing w:after="0"/>
              <w:rPr>
                <w:sz w:val="15"/>
                <w:szCs w:val="15"/>
                <w:color w:val="auto"/>
              </w:rPr>
            </w:pPr>
          </w:p>
        </w:tc>
        <w:tc>
          <w:tcPr>
            <w:tcW w:w="124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40.2</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8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(19.2)</w:t>
            </w:r>
          </w:p>
        </w:tc>
        <w:tc>
          <w:tcPr>
            <w:tcW w:w="460" w:type="dxa"/>
            <w:vAlign w:val="bottom"/>
          </w:tcPr>
          <w:p>
            <w:pPr>
              <w:spacing w:after="0"/>
              <w:rPr>
                <w:sz w:val="15"/>
                <w:szCs w:val="15"/>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(0.7)</w:t>
            </w:r>
          </w:p>
        </w:tc>
        <w:tc>
          <w:tcPr>
            <w:tcW w:w="1760" w:type="dxa"/>
            <w:vAlign w:val="bottom"/>
            <w:gridSpan w:val="2"/>
            <w:vMerge w:val="restart"/>
          </w:tcPr>
          <w:p>
            <w:pPr>
              <w:ind w:left="20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77"/>
        </w:trPr>
        <w:tc>
          <w:tcPr>
            <w:tcW w:w="364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costs and expenses</w:t>
            </w:r>
          </w:p>
        </w:tc>
        <w:tc>
          <w:tcPr>
            <w:tcW w:w="880" w:type="dxa"/>
            <w:vAlign w:val="bottom"/>
          </w:tcPr>
          <w:p>
            <w:pPr>
              <w:ind w:left="220"/>
              <w:spacing w:after="0"/>
              <w:rPr>
                <w:sz w:val="20"/>
                <w:szCs w:val="20"/>
                <w:color w:val="auto"/>
              </w:rPr>
            </w:pPr>
            <w:r>
              <w:rPr>
                <w:rFonts w:ascii="Courier New" w:cs="Courier New" w:eastAsia="Courier New" w:hAnsi="Courier New"/>
                <w:sz w:val="9"/>
                <w:szCs w:val="9"/>
                <w:color w:val="auto"/>
                <w:w w:val="74"/>
              </w:rPr>
              <w:t>----------------</w:t>
            </w: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1,183.8</w:t>
            </w:r>
          </w:p>
        </w:tc>
        <w:tc>
          <w:tcPr>
            <w:tcW w:w="18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vMerge w:val="continue"/>
          </w:tcPr>
          <w:p>
            <w:pPr>
              <w:spacing w:after="0"/>
              <w:rPr>
                <w:sz w:val="15"/>
                <w:szCs w:val="15"/>
                <w:color w:val="auto"/>
              </w:rPr>
            </w:pP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76.6</w:t>
            </w:r>
          </w:p>
        </w:tc>
        <w:tc>
          <w:tcPr>
            <w:tcW w:w="280" w:type="dxa"/>
            <w:vAlign w:val="bottom"/>
          </w:tcPr>
          <w:p>
            <w:pPr>
              <w:spacing w:after="0"/>
              <w:rPr>
                <w:sz w:val="15"/>
                <w:szCs w:val="15"/>
                <w:color w:val="auto"/>
              </w:rPr>
            </w:pP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33.9</w:t>
            </w:r>
          </w:p>
        </w:tc>
        <w:tc>
          <w:tcPr>
            <w:tcW w:w="32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1,294.3</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(loss) before taxes and</w:t>
            </w:r>
          </w:p>
        </w:tc>
        <w:tc>
          <w:tcPr>
            <w:tcW w:w="880" w:type="dxa"/>
            <w:vAlign w:val="bottom"/>
          </w:tcPr>
          <w:p>
            <w:pPr>
              <w:spacing w:after="0"/>
              <w:rPr>
                <w:sz w:val="23"/>
                <w:szCs w:val="23"/>
                <w:color w:val="auto"/>
              </w:rPr>
            </w:pP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184.8</w:t>
            </w:r>
          </w:p>
        </w:tc>
        <w:tc>
          <w:tcPr>
            <w:tcW w:w="460" w:type="dxa"/>
            <w:vAlign w:val="bottom"/>
          </w:tcPr>
          <w:p>
            <w:pPr>
              <w:spacing w:after="0"/>
              <w:rPr>
                <w:sz w:val="23"/>
                <w:szCs w:val="23"/>
                <w:color w:val="auto"/>
              </w:rPr>
            </w:pPr>
          </w:p>
        </w:tc>
        <w:tc>
          <w:tcPr>
            <w:tcW w:w="1420" w:type="dxa"/>
            <w:vAlign w:val="bottom"/>
            <w:vMerge w:val="restart"/>
          </w:tcPr>
          <w:p>
            <w:pPr>
              <w:jc w:val="right"/>
              <w:ind w:right="183"/>
              <w:spacing w:after="0"/>
              <w:rPr>
                <w:sz w:val="20"/>
                <w:szCs w:val="20"/>
                <w:color w:val="auto"/>
              </w:rPr>
            </w:pPr>
            <w:r>
              <w:rPr>
                <w:rFonts w:ascii="Courier New" w:cs="Courier New" w:eastAsia="Courier New" w:hAnsi="Courier New"/>
                <w:sz w:val="15"/>
                <w:szCs w:val="15"/>
                <w:color w:val="auto"/>
              </w:rPr>
              <w:t>49.8</w:t>
            </w:r>
          </w:p>
        </w:tc>
        <w:tc>
          <w:tcPr>
            <w:tcW w:w="280" w:type="dxa"/>
            <w:vAlign w:val="bottom"/>
          </w:tcPr>
          <w:p>
            <w:pPr>
              <w:spacing w:after="0"/>
              <w:rPr>
                <w:sz w:val="23"/>
                <w:szCs w:val="23"/>
                <w:color w:val="auto"/>
              </w:rPr>
            </w:pPr>
          </w:p>
        </w:tc>
        <w:tc>
          <w:tcPr>
            <w:tcW w:w="1480" w:type="dxa"/>
            <w:vAlign w:val="bottom"/>
            <w:vMerge w:val="restart"/>
          </w:tcPr>
          <w:p>
            <w:pPr>
              <w:jc w:val="right"/>
              <w:ind w:right="483"/>
              <w:spacing w:after="0"/>
              <w:rPr>
                <w:sz w:val="20"/>
                <w:szCs w:val="20"/>
                <w:color w:val="auto"/>
              </w:rPr>
            </w:pPr>
            <w:r>
              <w:rPr>
                <w:rFonts w:ascii="Courier New" w:cs="Courier New" w:eastAsia="Courier New" w:hAnsi="Courier New"/>
                <w:sz w:val="15"/>
                <w:szCs w:val="15"/>
                <w:color w:val="auto"/>
              </w:rPr>
              <w:t>(33.9)</w:t>
            </w:r>
          </w:p>
        </w:tc>
        <w:tc>
          <w:tcPr>
            <w:tcW w:w="320" w:type="dxa"/>
            <w:vAlign w:val="bottom"/>
          </w:tcPr>
          <w:p>
            <w:pPr>
              <w:spacing w:after="0"/>
              <w:rPr>
                <w:sz w:val="23"/>
                <w:szCs w:val="23"/>
                <w:color w:val="auto"/>
              </w:rPr>
            </w:pPr>
          </w:p>
        </w:tc>
        <w:tc>
          <w:tcPr>
            <w:tcW w:w="124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200.7</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36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88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73.2</w:t>
            </w:r>
          </w:p>
        </w:tc>
        <w:tc>
          <w:tcPr>
            <w:tcW w:w="460" w:type="dxa"/>
            <w:vAlign w:val="bottom"/>
          </w:tcPr>
          <w:p>
            <w:pPr>
              <w:spacing w:after="0"/>
              <w:rPr>
                <w:sz w:val="24"/>
                <w:szCs w:val="24"/>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16.6</w:t>
            </w:r>
          </w:p>
        </w:tc>
        <w:tc>
          <w:tcPr>
            <w:tcW w:w="280" w:type="dxa"/>
            <w:vAlign w:val="bottom"/>
          </w:tcPr>
          <w:p>
            <w:pPr>
              <w:spacing w:after="0"/>
              <w:rPr>
                <w:sz w:val="24"/>
                <w:szCs w:val="24"/>
                <w:color w:val="auto"/>
              </w:rPr>
            </w:pP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(9.6)(d)</w:t>
            </w:r>
          </w:p>
        </w:tc>
        <w:tc>
          <w:tcPr>
            <w:tcW w:w="32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80.2</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Minority interest in income (loss) of</w:t>
            </w:r>
          </w:p>
        </w:tc>
        <w:tc>
          <w:tcPr>
            <w:tcW w:w="880" w:type="dxa"/>
            <w:vAlign w:val="bottom"/>
          </w:tcPr>
          <w:p>
            <w:pPr>
              <w:spacing w:after="0"/>
              <w:rPr>
                <w:sz w:val="23"/>
                <w:szCs w:val="23"/>
                <w:color w:val="auto"/>
              </w:rPr>
            </w:pPr>
          </w:p>
        </w:tc>
        <w:tc>
          <w:tcPr>
            <w:tcW w:w="1060" w:type="dxa"/>
            <w:vAlign w:val="bottom"/>
            <w:vMerge w:val="restart"/>
          </w:tcPr>
          <w:p>
            <w:pPr>
              <w:jc w:val="right"/>
              <w:ind w:right="63"/>
              <w:spacing w:after="0"/>
              <w:rPr>
                <w:sz w:val="20"/>
                <w:szCs w:val="20"/>
                <w:color w:val="auto"/>
              </w:rPr>
            </w:pPr>
            <w:r>
              <w:rPr>
                <w:rFonts w:ascii="Courier New" w:cs="Courier New" w:eastAsia="Courier New" w:hAnsi="Courier New"/>
                <w:sz w:val="15"/>
                <w:szCs w:val="15"/>
                <w:color w:val="auto"/>
              </w:rPr>
              <w:t>(0.5)</w:t>
            </w:r>
          </w:p>
        </w:tc>
        <w:tc>
          <w:tcPr>
            <w:tcW w:w="460" w:type="dxa"/>
            <w:vAlign w:val="bottom"/>
          </w:tcPr>
          <w:p>
            <w:pPr>
              <w:spacing w:after="0"/>
              <w:rPr>
                <w:sz w:val="23"/>
                <w:szCs w:val="23"/>
                <w:color w:val="auto"/>
              </w:rPr>
            </w:pPr>
          </w:p>
        </w:tc>
        <w:tc>
          <w:tcPr>
            <w:tcW w:w="1420" w:type="dxa"/>
            <w:vAlign w:val="bottom"/>
            <w:vMerge w:val="restart"/>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consolidated subsidiaries</w:t>
            </w:r>
          </w:p>
        </w:tc>
        <w:tc>
          <w:tcPr>
            <w:tcW w:w="8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w:t>
            </w:r>
          </w:p>
        </w:tc>
        <w:tc>
          <w:tcPr>
            <w:tcW w:w="880" w:type="dxa"/>
            <w:vAlign w:val="bottom"/>
          </w:tcPr>
          <w:p>
            <w:pPr>
              <w:spacing w:after="0"/>
              <w:rPr>
                <w:sz w:val="15"/>
                <w:szCs w:val="15"/>
                <w:color w:val="auto"/>
              </w:rPr>
            </w:pP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vMerge w:val="restart"/>
          </w:tcPr>
          <w:p>
            <w:pPr>
              <w:jc w:val="right"/>
              <w:ind w:right="183"/>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8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760" w:type="dxa"/>
            <w:vAlign w:val="bottom"/>
            <w:gridSpan w:val="2"/>
            <w:vMerge w:val="restart"/>
          </w:tcPr>
          <w:p>
            <w:pPr>
              <w:ind w:left="20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vMerge w:val="continue"/>
          </w:tcPr>
          <w:p>
            <w:pPr>
              <w:spacing w:after="0"/>
              <w:rPr>
                <w:sz w:val="22"/>
                <w:szCs w:val="22"/>
                <w:color w:val="auto"/>
              </w:rPr>
            </w:pP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112.1</w:t>
            </w:r>
          </w:p>
        </w:tc>
        <w:tc>
          <w:tcPr>
            <w:tcW w:w="4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35.8</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123.6</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8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1.05</w:t>
            </w: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7"/>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8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AVERAGE SHARES OF COMMON STOCK</w:t>
            </w: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106.4</w:t>
            </w:r>
          </w:p>
        </w:tc>
        <w:tc>
          <w:tcPr>
            <w:tcW w:w="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3"/>
              <w:spacing w:after="0"/>
              <w:rPr>
                <w:sz w:val="20"/>
                <w:szCs w:val="20"/>
                <w:color w:val="auto"/>
              </w:rPr>
            </w:pPr>
            <w:r>
              <w:rPr>
                <w:rFonts w:ascii="Courier New" w:cs="Courier New" w:eastAsia="Courier New" w:hAnsi="Courier New"/>
                <w:sz w:val="15"/>
                <w:szCs w:val="15"/>
                <w:color w:val="auto"/>
              </w:rPr>
              <w:t>106.4</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(MILLIONS) - BASIC</w:t>
            </w:r>
          </w:p>
        </w:tc>
        <w:tc>
          <w:tcPr>
            <w:tcW w:w="8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rPr>
              <w:t>AVERAGE SHARES OF COMMON STOCK</w:t>
            </w: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8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5"/>
                <w:szCs w:val="15"/>
                <w:color w:val="auto"/>
              </w:rPr>
              <w:t>106.6</w:t>
            </w:r>
          </w:p>
        </w:tc>
        <w:tc>
          <w:tcPr>
            <w:tcW w:w="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(MILLIONS) - DILUTED</w:t>
            </w:r>
          </w:p>
        </w:tc>
        <w:tc>
          <w:tcPr>
            <w:tcW w:w="8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640" w:type="dxa"/>
            <w:vAlign w:val="bottom"/>
          </w:tcPr>
          <w:p>
            <w:pPr>
              <w:spacing w:after="0"/>
              <w:rPr>
                <w:sz w:val="22"/>
                <w:szCs w:val="22"/>
                <w:color w:val="auto"/>
              </w:rPr>
            </w:pPr>
          </w:p>
        </w:tc>
        <w:tc>
          <w:tcPr>
            <w:tcW w:w="194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information.</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780"/>
          </w:cols>
          <w:pgMar w:left="240" w:top="800" w:right="879" w:bottom="1440" w:gutter="0" w:footer="0" w:header="0"/>
        </w:sectPr>
      </w:pPr>
    </w:p>
    <w:bookmarkStart w:id="46" w:name="page47"/>
    <w:bookmarkEnd w:id="46"/>
    <w:p>
      <w:pPr>
        <w:ind w:left="2405"/>
        <w:spacing w:after="0"/>
        <w:rPr>
          <w:sz w:val="20"/>
          <w:szCs w:val="20"/>
          <w:color w:val="auto"/>
        </w:rPr>
      </w:pPr>
      <w:r>
        <w:rPr>
          <w:rFonts w:ascii="Courier New" w:cs="Courier New" w:eastAsia="Courier New" w:hAnsi="Courier New"/>
          <w:sz w:val="15"/>
          <w:szCs w:val="15"/>
          <w:color w:val="auto"/>
        </w:rPr>
        <w:t>LOUISIANA-PACIFIC CORPORATION</w:t>
      </w:r>
    </w:p>
    <w:p>
      <w:pPr>
        <w:spacing w:after="0" w:line="185"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NOTES TO PRO FORMA CONDENSED</w:t>
      </w:r>
    </w:p>
    <w:p>
      <w:pPr>
        <w:spacing w:after="0" w:line="36"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57"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365" w:hanging="365"/>
        <w:spacing w:after="0"/>
        <w:tabs>
          <w:tab w:leader="none" w:pos="36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5" w:lineRule="exact"/>
        <w:rPr>
          <w:sz w:val="20"/>
          <w:szCs w:val="20"/>
          <w:color w:val="auto"/>
        </w:rPr>
      </w:pPr>
    </w:p>
    <w:p>
      <w:pPr>
        <w:ind w:left="5" w:right="3019" w:firstLine="923"/>
        <w:spacing w:after="0" w:line="276" w:lineRule="auto"/>
        <w:rPr>
          <w:sz w:val="20"/>
          <w:szCs w:val="20"/>
          <w:color w:val="auto"/>
        </w:rPr>
      </w:pPr>
      <w:r>
        <w:rPr>
          <w:rFonts w:ascii="Courier New" w:cs="Courier New" w:eastAsia="Courier New" w:hAnsi="Courier New"/>
          <w:sz w:val="15"/>
          <w:szCs w:val="15"/>
          <w:color w:val="auto"/>
        </w:rPr>
        <w:t>The pro forma condensed consolidated balance sheet and the pro forma condensed consolidated income statements are based upon the consolidated financial statements of Le Groupe Forex Inc. and subsidiaries ("Forex"), adjusted to conform to generally accepted accounting principles in the United States, and of Louisiana-Pacific Corporation and subsidiaries ("Louisiana-Pacific").</w:t>
      </w:r>
    </w:p>
    <w:p>
      <w:pPr>
        <w:spacing w:after="0" w:line="70" w:lineRule="exact"/>
        <w:rPr>
          <w:sz w:val="20"/>
          <w:szCs w:val="20"/>
          <w:color w:val="auto"/>
        </w:rPr>
      </w:pPr>
    </w:p>
    <w:p>
      <w:pPr>
        <w:ind w:left="5" w:right="2839" w:firstLine="923"/>
        <w:spacing w:after="0" w:line="271" w:lineRule="auto"/>
        <w:rPr>
          <w:sz w:val="20"/>
          <w:szCs w:val="20"/>
          <w:color w:val="auto"/>
        </w:rPr>
      </w:pPr>
      <w:r>
        <w:rPr>
          <w:rFonts w:ascii="Courier New" w:cs="Courier New" w:eastAsia="Courier New" w:hAnsi="Courier New"/>
          <w:sz w:val="15"/>
          <w:szCs w:val="15"/>
          <w:color w:val="auto"/>
        </w:rPr>
        <w:t>The pro forma condensed consolidated financial statements have been prepared by Louisiana-Pacific management by applying the purchase accounting method to the acquisition in accordance with generally accepted accounting principles. The pro forma condensed consolidated financial statements may not be indicative of results that actually would have occurred if the proposed acquisition had taken place on the dates indicated, or the actual results to be expected in the future.</w:t>
      </w:r>
    </w:p>
    <w:p>
      <w:pPr>
        <w:spacing w:after="0" w:line="76" w:lineRule="exact"/>
        <w:rPr>
          <w:sz w:val="20"/>
          <w:szCs w:val="20"/>
          <w:color w:val="auto"/>
        </w:rPr>
      </w:pPr>
    </w:p>
    <w:p>
      <w:pPr>
        <w:ind w:left="5" w:right="2839" w:firstLine="830"/>
        <w:spacing w:after="0" w:line="271" w:lineRule="auto"/>
        <w:rPr>
          <w:sz w:val="20"/>
          <w:szCs w:val="20"/>
          <w:color w:val="auto"/>
        </w:rPr>
      </w:pPr>
      <w:r>
        <w:rPr>
          <w:rFonts w:ascii="Courier New" w:cs="Courier New" w:eastAsia="Courier New" w:hAnsi="Courier New"/>
          <w:sz w:val="15"/>
          <w:szCs w:val="15"/>
          <w:color w:val="auto"/>
        </w:rPr>
        <w:t>The accounting policies used in the preparation of the pro forma condensed consolidated financial statements are those of Louisiana-Pacific and Forex as detailed in the notes to their respective audited financial statements for the year ended December 31, 1998. These pro forma condensed consolidated financial statements should be read in conjunction with the audited consolidated financial statements of Louisiana-Pacific and Forex for the year ended December 31, 1998.</w:t>
      </w:r>
    </w:p>
    <w:p>
      <w:pPr>
        <w:spacing w:after="0" w:line="76" w:lineRule="exact"/>
        <w:rPr>
          <w:sz w:val="20"/>
          <w:szCs w:val="20"/>
          <w:color w:val="auto"/>
        </w:rPr>
      </w:pPr>
    </w:p>
    <w:p>
      <w:pPr>
        <w:ind w:left="365" w:hanging="365"/>
        <w:spacing w:after="0"/>
        <w:tabs>
          <w:tab w:leader="none" w:pos="36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ASSUMPTIONS</w:t>
      </w:r>
    </w:p>
    <w:p>
      <w:pPr>
        <w:spacing w:after="0" w:line="185" w:lineRule="exact"/>
        <w:rPr>
          <w:sz w:val="20"/>
          <w:szCs w:val="20"/>
          <w:color w:val="auto"/>
        </w:rPr>
      </w:pPr>
    </w:p>
    <w:p>
      <w:pPr>
        <w:ind w:left="5" w:right="2839" w:firstLine="923"/>
        <w:spacing w:after="0" w:line="276" w:lineRule="auto"/>
        <w:rPr>
          <w:sz w:val="20"/>
          <w:szCs w:val="20"/>
          <w:color w:val="auto"/>
        </w:rPr>
      </w:pPr>
      <w:r>
        <w:rPr>
          <w:rFonts w:ascii="Courier New" w:cs="Courier New" w:eastAsia="Courier New" w:hAnsi="Courier New"/>
          <w:sz w:val="15"/>
          <w:szCs w:val="15"/>
          <w:color w:val="auto"/>
        </w:rPr>
        <w:t>The pro forma condensed consolidated balance sheet gives effect to the acquisition by Louisiana-Pacific of all the outstanding shares of Forex as if the acquisition occurred on June 30, 1999. The pro forma condensed consolidated income statements give effect to the acquisition by Louisiana-Pacific of all the outstanding shares of Forex as if the acquisition had occurred at the beginning of the periods presented.</w:t>
      </w:r>
    </w:p>
    <w:p>
      <w:pPr>
        <w:spacing w:after="0" w:line="70" w:lineRule="exact"/>
        <w:rPr>
          <w:sz w:val="20"/>
          <w:szCs w:val="20"/>
          <w:color w:val="auto"/>
        </w:rPr>
      </w:pPr>
    </w:p>
    <w:p>
      <w:pPr>
        <w:ind w:left="5" w:right="2839" w:firstLine="830"/>
        <w:spacing w:after="0" w:line="282" w:lineRule="auto"/>
        <w:rPr>
          <w:sz w:val="20"/>
          <w:szCs w:val="20"/>
          <w:color w:val="auto"/>
        </w:rPr>
      </w:pPr>
      <w:r>
        <w:rPr>
          <w:rFonts w:ascii="Courier New" w:cs="Courier New" w:eastAsia="Courier New" w:hAnsi="Courier New"/>
          <w:sz w:val="15"/>
          <w:szCs w:val="15"/>
          <w:color w:val="auto"/>
        </w:rPr>
        <w:t>No adjustments have been made to these pro forma condensed consolidated financial statements to reflect the operating synergies that are expected to result from this acquisition or any integration costs which may be incurred. No adjustments have been made to reflect possible favorable tax treatment of certain items associated with this transaction.</w:t>
      </w:r>
    </w:p>
    <w:p>
      <w:pPr>
        <w:spacing w:after="0" w:line="66" w:lineRule="exact"/>
        <w:rPr>
          <w:sz w:val="20"/>
          <w:szCs w:val="20"/>
          <w:color w:val="auto"/>
        </w:rPr>
      </w:pPr>
    </w:p>
    <w:p>
      <w:pPr>
        <w:ind w:left="5" w:right="2939" w:firstLine="830"/>
        <w:spacing w:after="0" w:line="276" w:lineRule="auto"/>
        <w:rPr>
          <w:sz w:val="20"/>
          <w:szCs w:val="20"/>
          <w:color w:val="auto"/>
        </w:rPr>
      </w:pPr>
      <w:r>
        <w:rPr>
          <w:rFonts w:ascii="Courier New" w:cs="Courier New" w:eastAsia="Courier New" w:hAnsi="Courier New"/>
          <w:sz w:val="15"/>
          <w:szCs w:val="15"/>
          <w:color w:val="auto"/>
        </w:rPr>
        <w:t>The Unaudited Pro Forma Condensed Consolidated Statement of Income for the year ended December 31, 1998 does not give effect to the purchase of ABT Building Products, Inc. by Louisiana-Pacific, which was consummated on February 25, 1999, and related financing transactions, or to the buyout by Forex of a joint venture partner's 50% interest in a Forex subsidiary, which was consummated on April 13, 1999.</w:t>
      </w:r>
    </w:p>
    <w:p>
      <w:pPr>
        <w:spacing w:after="0" w:line="70" w:lineRule="exact"/>
        <w:rPr>
          <w:sz w:val="20"/>
          <w:szCs w:val="20"/>
          <w:color w:val="auto"/>
        </w:rPr>
      </w:pPr>
    </w:p>
    <w:p>
      <w:pPr>
        <w:ind w:left="5" w:right="2839" w:firstLine="830"/>
        <w:spacing w:after="0" w:line="276" w:lineRule="auto"/>
        <w:rPr>
          <w:sz w:val="20"/>
          <w:szCs w:val="20"/>
          <w:color w:val="auto"/>
        </w:rPr>
      </w:pPr>
      <w:r>
        <w:rPr>
          <w:rFonts w:ascii="Courier New" w:cs="Courier New" w:eastAsia="Courier New" w:hAnsi="Courier New"/>
          <w:sz w:val="15"/>
          <w:szCs w:val="15"/>
          <w:color w:val="auto"/>
        </w:rPr>
        <w:t>Except where expressed in Canadian dollars, all Canadian dollar amounts have been converted to U.S. dollar amounts on the basis of exchange rates in effect on June 30, 1999 in the pro forma balance sheet and on the basis of the daily average exchange rates in effect during the periods presented in the pro forma statements of income. All dollar amounts are stated in U.S. dollars unless otherwise noted.</w:t>
      </w:r>
    </w:p>
    <w:p>
      <w:pPr>
        <w:spacing w:after="0" w:line="200" w:lineRule="exact"/>
        <w:rPr>
          <w:sz w:val="20"/>
          <w:szCs w:val="20"/>
          <w:color w:val="auto"/>
        </w:rPr>
      </w:pPr>
    </w:p>
    <w:p>
      <w:pPr>
        <w:spacing w:after="0" w:line="22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22" w:right="1440" w:bottom="1440" w:gutter="0" w:footer="0" w:header="0"/>
        </w:sectPr>
      </w:pPr>
    </w:p>
    <w:bookmarkStart w:id="47" w:name="page48"/>
    <w:bookmarkEnd w:id="47"/>
    <w:p>
      <w:pPr>
        <w:ind w:left="2405"/>
        <w:spacing w:after="0"/>
        <w:rPr>
          <w:sz w:val="20"/>
          <w:szCs w:val="20"/>
          <w:color w:val="auto"/>
        </w:rPr>
      </w:pPr>
      <w:r>
        <w:rPr>
          <w:rFonts w:ascii="Courier New" w:cs="Courier New" w:eastAsia="Courier New" w:hAnsi="Courier New"/>
          <w:sz w:val="15"/>
          <w:szCs w:val="15"/>
          <w:color w:val="auto"/>
        </w:rPr>
        <w:t>LOUISIANA-PACIFIC CORPORATION</w:t>
      </w:r>
    </w:p>
    <w:p>
      <w:pPr>
        <w:spacing w:after="0" w:line="185"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NOTES TO PRO FORMA CONDENSED</w:t>
      </w:r>
    </w:p>
    <w:p>
      <w:pPr>
        <w:spacing w:after="0" w:line="36" w:lineRule="exact"/>
        <w:rPr>
          <w:sz w:val="20"/>
          <w:szCs w:val="20"/>
          <w:color w:val="auto"/>
        </w:rPr>
      </w:pPr>
    </w:p>
    <w:p>
      <w:pPr>
        <w:ind w:left="1665"/>
        <w:spacing w:after="0"/>
        <w:rPr>
          <w:sz w:val="20"/>
          <w:szCs w:val="20"/>
          <w:color w:val="auto"/>
        </w:rPr>
      </w:pPr>
      <w:r>
        <w:rPr>
          <w:rFonts w:ascii="Courier New" w:cs="Courier New" w:eastAsia="Courier New" w:hAnsi="Courier New"/>
          <w:sz w:val="15"/>
          <w:szCs w:val="15"/>
          <w:color w:val="auto"/>
        </w:rPr>
        <w:t>CONSOLIDATED FINANCIAL STATEMENTS (CONTINUED)</w:t>
      </w:r>
    </w:p>
    <w:p>
      <w:pPr>
        <w:spacing w:after="0" w:line="157"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365" w:hanging="365"/>
        <w:spacing w:after="0"/>
        <w:tabs>
          <w:tab w:leader="none" w:pos="36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 BALANCE SHEET</w:t>
      </w:r>
    </w:p>
    <w:p>
      <w:pPr>
        <w:spacing w:after="0" w:line="185" w:lineRule="exact"/>
        <w:rPr>
          <w:sz w:val="20"/>
          <w:szCs w:val="20"/>
          <w:color w:val="auto"/>
        </w:rPr>
      </w:pPr>
    </w:p>
    <w:p>
      <w:pPr>
        <w:ind w:left="5" w:right="3119" w:firstLine="923"/>
        <w:spacing w:after="0" w:line="375" w:lineRule="auto"/>
        <w:rPr>
          <w:sz w:val="20"/>
          <w:szCs w:val="20"/>
          <w:color w:val="auto"/>
        </w:rPr>
      </w:pPr>
      <w:r>
        <w:rPr>
          <w:rFonts w:ascii="Courier New" w:cs="Courier New" w:eastAsia="Courier New" w:hAnsi="Courier New"/>
          <w:sz w:val="15"/>
          <w:szCs w:val="15"/>
          <w:color w:val="auto"/>
        </w:rPr>
        <w:t>The following pro forma adjustments have been made to the unaudited pro forma condensed consolidated balance sheet:</w:t>
      </w:r>
    </w:p>
    <w:p>
      <w:pPr>
        <w:spacing w:after="0" w:line="1" w:lineRule="exact"/>
        <w:rPr>
          <w:sz w:val="20"/>
          <w:szCs w:val="20"/>
          <w:color w:val="auto"/>
        </w:rPr>
      </w:pPr>
    </w:p>
    <w:p>
      <w:pPr>
        <w:ind w:left="1385" w:right="2939" w:hanging="463"/>
        <w:spacing w:after="0" w:line="314" w:lineRule="auto"/>
        <w:tabs>
          <w:tab w:leader="none" w:pos="138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assumed conversion of the debt component of Forex's convertible debentures of $9.2 million into equity.</w:t>
      </w:r>
    </w:p>
    <w:p>
      <w:pPr>
        <w:spacing w:after="0" w:line="42" w:lineRule="exact"/>
        <w:rPr>
          <w:rFonts w:ascii="Courier New" w:cs="Courier New" w:eastAsia="Courier New" w:hAnsi="Courier New"/>
          <w:sz w:val="15"/>
          <w:szCs w:val="15"/>
          <w:color w:val="auto"/>
        </w:rPr>
      </w:pPr>
    </w:p>
    <w:p>
      <w:pPr>
        <w:ind w:left="1385" w:right="3019" w:hanging="463"/>
        <w:spacing w:after="0" w:line="314" w:lineRule="auto"/>
        <w:tabs>
          <w:tab w:leader="none" w:pos="138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purchase of Forex shares by Louisiana-Pacific. For each common share of Forex acquired, the holder had the option to receive:</w:t>
      </w:r>
    </w:p>
    <w:p>
      <w:pPr>
        <w:spacing w:after="0" w:line="43"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Option 1 - Cdn. $33.00 cash.</w:t>
      </w:r>
    </w:p>
    <w:p>
      <w:pPr>
        <w:spacing w:after="0" w:line="185"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Option 2 - Cdn. $33.00 payable in five installments,</w:t>
      </w:r>
    </w:p>
    <w:p>
      <w:pPr>
        <w:spacing w:after="0" w:line="36"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together with interest thereon.</w:t>
      </w:r>
    </w:p>
    <w:p>
      <w:pPr>
        <w:spacing w:after="0" w:line="157"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Option 3 - A combination of Option 1 and Option 2.</w:t>
      </w:r>
    </w:p>
    <w:p>
      <w:pPr>
        <w:spacing w:after="0" w:line="185" w:lineRule="exact"/>
        <w:rPr>
          <w:sz w:val="20"/>
          <w:szCs w:val="20"/>
          <w:color w:val="auto"/>
        </w:rPr>
      </w:pPr>
    </w:p>
    <w:p>
      <w:pPr>
        <w:ind w:left="1385" w:right="3019" w:hanging="463"/>
        <w:spacing w:after="0" w:line="314" w:lineRule="auto"/>
        <w:tabs>
          <w:tab w:leader="none" w:pos="138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estimated fair value of net assets of Forex, with the remainder of the purchase price allocated to goodwill.</w:t>
      </w:r>
    </w:p>
    <w:p>
      <w:pPr>
        <w:spacing w:after="0" w:line="42" w:lineRule="exact"/>
        <w:rPr>
          <w:rFonts w:ascii="Courier New" w:cs="Courier New" w:eastAsia="Courier New" w:hAnsi="Courier New"/>
          <w:sz w:val="15"/>
          <w:szCs w:val="15"/>
          <w:color w:val="auto"/>
        </w:rPr>
      </w:pPr>
    </w:p>
    <w:p>
      <w:pPr>
        <w:jc w:val="both"/>
        <w:ind w:left="1385" w:right="3119" w:hanging="463"/>
        <w:spacing w:after="0" w:line="314" w:lineRule="auto"/>
        <w:tabs>
          <w:tab w:leader="none" w:pos="138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estimated deferred tax impact of the increased carrying value of inventory, timber, timberlands and fixed assets.</w:t>
      </w:r>
    </w:p>
    <w:p>
      <w:pPr>
        <w:spacing w:after="0" w:line="43" w:lineRule="exact"/>
        <w:rPr>
          <w:sz w:val="20"/>
          <w:szCs w:val="20"/>
          <w:color w:val="auto"/>
        </w:rPr>
      </w:pPr>
    </w:p>
    <w:p>
      <w:pPr>
        <w:ind w:left="5" w:right="2839" w:firstLine="923"/>
        <w:spacing w:after="0" w:line="269" w:lineRule="auto"/>
        <w:rPr>
          <w:sz w:val="20"/>
          <w:szCs w:val="20"/>
          <w:color w:val="auto"/>
        </w:rPr>
      </w:pPr>
      <w:r>
        <w:rPr>
          <w:rFonts w:ascii="Courier New" w:cs="Courier New" w:eastAsia="Courier New" w:hAnsi="Courier New"/>
          <w:sz w:val="15"/>
          <w:szCs w:val="15"/>
          <w:color w:val="auto"/>
        </w:rPr>
        <w:t>The total purchase price is assumed to be approximately $521.1 million, including $6.0 million of estimated financial advisory fees, printing costs, legal fees, accounting fees and other costs of the transaction. The entire purchase price is assumed to be debt financed by Louisiana-Pacific through a combination of notes payable issued to Forex shareholders and borrowings under bank credit facilities. This total purchase price will be allocated to the assets and liabilities of Forex based upon their estimated fair values.</w:t>
      </w:r>
    </w:p>
    <w:p>
      <w:pPr>
        <w:spacing w:after="0" w:line="264" w:lineRule="exact"/>
        <w:rPr>
          <w:sz w:val="20"/>
          <w:szCs w:val="20"/>
          <w:color w:val="auto"/>
        </w:rPr>
      </w:pPr>
    </w:p>
    <w:p>
      <w:pPr>
        <w:ind w:left="5" w:right="2939" w:firstLine="830"/>
        <w:spacing w:after="0" w:line="282" w:lineRule="auto"/>
        <w:rPr>
          <w:sz w:val="20"/>
          <w:szCs w:val="20"/>
          <w:color w:val="auto"/>
        </w:rPr>
      </w:pPr>
      <w:r>
        <w:rPr>
          <w:rFonts w:ascii="Courier New" w:cs="Courier New" w:eastAsia="Courier New" w:hAnsi="Courier New"/>
          <w:sz w:val="15"/>
          <w:szCs w:val="15"/>
          <w:color w:val="auto"/>
        </w:rPr>
        <w:t>The purchase price of Forex has been allocated to inventories, timber and timberlands and fixed assets based on preliminary estimates of the fair values of those assets. The allocation of the purchase price may change as more information is obtained regarding the fair value of the assets and liabilities of Forex.</w:t>
      </w:r>
    </w:p>
    <w:p>
      <w:pPr>
        <w:spacing w:after="0" w:line="66" w:lineRule="exact"/>
        <w:rPr>
          <w:sz w:val="20"/>
          <w:szCs w:val="20"/>
          <w:color w:val="auto"/>
        </w:rPr>
      </w:pPr>
    </w:p>
    <w:p>
      <w:pPr>
        <w:ind w:left="365" w:hanging="365"/>
        <w:spacing w:after="0"/>
        <w:tabs>
          <w:tab w:leader="none" w:pos="36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 INCOME STATEMENTS</w:t>
      </w:r>
    </w:p>
    <w:p>
      <w:pPr>
        <w:spacing w:after="0" w:line="185" w:lineRule="exact"/>
        <w:rPr>
          <w:sz w:val="20"/>
          <w:szCs w:val="20"/>
          <w:color w:val="auto"/>
        </w:rPr>
      </w:pPr>
    </w:p>
    <w:p>
      <w:pPr>
        <w:ind w:left="5" w:right="3119" w:firstLine="923"/>
        <w:spacing w:after="0" w:line="375" w:lineRule="auto"/>
        <w:rPr>
          <w:sz w:val="20"/>
          <w:szCs w:val="20"/>
          <w:color w:val="auto"/>
        </w:rPr>
      </w:pPr>
      <w:r>
        <w:rPr>
          <w:rFonts w:ascii="Courier New" w:cs="Courier New" w:eastAsia="Courier New" w:hAnsi="Courier New"/>
          <w:sz w:val="15"/>
          <w:szCs w:val="15"/>
          <w:color w:val="auto"/>
        </w:rPr>
        <w:t>The following pro forma adjustments have been made to the unaudited pro forma condensed consolidated income statement:</w:t>
      </w:r>
    </w:p>
    <w:p>
      <w:pPr>
        <w:spacing w:after="0" w:line="1" w:lineRule="exact"/>
        <w:rPr>
          <w:sz w:val="20"/>
          <w:szCs w:val="20"/>
          <w:color w:val="auto"/>
        </w:rPr>
      </w:pPr>
    </w:p>
    <w:p>
      <w:pPr>
        <w:ind w:left="1385" w:right="2939" w:hanging="463"/>
        <w:spacing w:after="0" w:line="293" w:lineRule="auto"/>
        <w:tabs>
          <w:tab w:leader="none" w:pos="138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interest expense on the $521.1 million of debt assumed to be incurred in connection with the acquisition. The average interest rate is approximately 6.0% per annum.</w:t>
      </w:r>
    </w:p>
    <w:p>
      <w:pPr>
        <w:spacing w:after="0" w:line="57" w:lineRule="exact"/>
        <w:rPr>
          <w:rFonts w:ascii="Courier New" w:cs="Courier New" w:eastAsia="Courier New" w:hAnsi="Courier New"/>
          <w:sz w:val="15"/>
          <w:szCs w:val="15"/>
          <w:color w:val="auto"/>
        </w:rPr>
      </w:pPr>
    </w:p>
    <w:p>
      <w:pPr>
        <w:ind w:left="1385" w:right="2939" w:hanging="463"/>
        <w:spacing w:after="0" w:line="314" w:lineRule="auto"/>
        <w:tabs>
          <w:tab w:leader="none" w:pos="138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 reduction in interest expense due to the assumed conversion of the Forex convertible debentures at the beginning of each period presented.</w:t>
      </w:r>
    </w:p>
    <w:p>
      <w:pPr>
        <w:spacing w:after="0" w:line="22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22" w:right="1440" w:bottom="1440" w:gutter="0" w:footer="0" w:header="0"/>
        </w:sectPr>
      </w:pPr>
    </w:p>
    <w:bookmarkStart w:id="48" w:name="page49"/>
    <w:bookmarkEnd w:id="48"/>
    <w:p>
      <w:pPr>
        <w:ind w:left="463" w:right="2839" w:hanging="463"/>
        <w:spacing w:after="0" w:line="271" w:lineRule="auto"/>
        <w:tabs>
          <w:tab w:leader="none" w:pos="46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amortization of estimated goodwill resulting from the acquisition over a period of 15 years, the amortization of the portion of the purchase price allocated to timber over a period of 25 years, and the depreciation of the portion of the purchase price allocated to fixed assets based on an average life of approximately 12 years. The amortization of goodwill is assumed to be non-deductible for income tax purposes.</w:t>
      </w:r>
    </w:p>
    <w:p>
      <w:pPr>
        <w:spacing w:after="0" w:line="76" w:lineRule="exact"/>
        <w:rPr>
          <w:rFonts w:ascii="Courier New" w:cs="Courier New" w:eastAsia="Courier New" w:hAnsi="Courier New"/>
          <w:sz w:val="15"/>
          <w:szCs w:val="15"/>
          <w:color w:val="auto"/>
        </w:rPr>
      </w:pPr>
    </w:p>
    <w:p>
      <w:pPr>
        <w:ind w:left="463" w:right="3019" w:hanging="463"/>
        <w:spacing w:after="0" w:line="293" w:lineRule="auto"/>
        <w:tabs>
          <w:tab w:leader="none" w:pos="46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income tax effect of the additional interest expense (as discussed in note 4(a) above) net of the reduction in interest expense (as discussed in note 4(b) above) at an assumed effective income tax rate of 38%.</w:t>
      </w:r>
    </w:p>
    <w:p>
      <w:pPr>
        <w:spacing w:after="0" w:line="57" w:lineRule="exact"/>
        <w:rPr>
          <w:rFonts w:ascii="Courier New" w:cs="Courier New" w:eastAsia="Courier New" w:hAnsi="Courier New"/>
          <w:sz w:val="15"/>
          <w:szCs w:val="15"/>
          <w:color w:val="auto"/>
        </w:rPr>
      </w:pPr>
    </w:p>
    <w:p>
      <w:pPr>
        <w:ind w:left="463" w:right="3219" w:hanging="463"/>
        <w:spacing w:after="0" w:line="377" w:lineRule="auto"/>
        <w:tabs>
          <w:tab w:leader="none" w:pos="46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allocation of the purchase price to value inventories at market value.</w:t>
      </w:r>
    </w:p>
    <w:p>
      <w:pPr>
        <w:spacing w:after="0" w:line="176"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6</w:t>
      </w:r>
    </w:p>
    <w:sectPr>
      <w:pgSz w:w="11900" w:h="16838" w:orient="portrait"/>
      <w:cols w:equalWidth="0" w:num="1">
        <w:col w:w="9302"/>
      </w:cols>
      <w:pgMar w:left="1157"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lowerLetter"/>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6"/>
    </w:lvl>
  </w:abstractNum>
  <w:abstractNum w:abstractNumId="13">
    <w:nsid w:val="51EAD36B"/>
    <w:multiLevelType w:val="hybridMultilevel"/>
    <w:lvl w:ilvl="0">
      <w:lvlJc w:val="left"/>
      <w:lvlText w:val="(%1)"/>
      <w:numFmt w:val="lowerRoman"/>
      <w:start w:val="2"/>
    </w:lvl>
  </w:abstractNum>
  <w:abstractNum w:abstractNumId="14">
    <w:nsid w:val="2D517796"/>
    <w:multiLevelType w:val="hybridMultilevel"/>
    <w:lvl w:ilvl="0">
      <w:lvlJc w:val="left"/>
      <w:lvlText w:val="(%1)"/>
      <w:numFmt w:val="lowerRoman"/>
      <w:start w:val="3"/>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lvl w:ilvl="1">
      <w:lvlJc w:val="left"/>
      <w:lvlText w:val="(%2)"/>
      <w:numFmt w:val="lowerLetter"/>
      <w:start w:val="1"/>
    </w:lvl>
  </w:abstractNum>
  <w:abstractNum w:abstractNumId="25">
    <w:nsid w:val="7A6D8D3C"/>
    <w:multiLevelType w:val="hybridMultilevel"/>
    <w:lvl w:ilvl="0">
      <w:lvlJc w:val="left"/>
      <w:lvlText w:val="%1."/>
      <w:numFmt w:val="decimal"/>
      <w:start w:val="1"/>
    </w:lvl>
    <w:lvl w:ilvl="1">
      <w:lvlJc w:val="left"/>
      <w:lvlText w:val="(%2)"/>
      <w:numFmt w:val="lowerLetter"/>
      <w:start w:val="5"/>
    </w:lvl>
  </w:abstractNum>
  <w:abstractNum w:abstractNumId="26">
    <w:nsid w:val="4B588F54"/>
    <w:multiLevelType w:val="hybridMultilevel"/>
    <w:lvl w:ilvl="0">
      <w:lvlJc w:val="left"/>
      <w:lvlText w:val="%1."/>
      <w:numFmt w:val="decimal"/>
      <w:start w:val="2"/>
    </w:lvl>
  </w:abstractNum>
  <w:abstractNum w:abstractNumId="27">
    <w:nsid w:val="542289EC"/>
    <w:multiLevelType w:val="hybridMultilevel"/>
    <w:lvl w:ilvl="0">
      <w:lvlJc w:val="left"/>
      <w:lvlText w:val="%1."/>
      <w:numFmt w:val="decimal"/>
      <w:start w:val="3"/>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5"/>
    </w:lvl>
  </w:abstractNum>
  <w:abstractNum w:abstractNumId="30">
    <w:nsid w:val="7644A45C"/>
    <w:multiLevelType w:val="hybridMultilevel"/>
    <w:lvl w:ilvl="0">
      <w:lvlJc w:val="left"/>
      <w:lvlText w:val="%1."/>
      <w:numFmt w:val="decimal"/>
      <w:start w:val="6"/>
    </w:lvl>
  </w:abstractNum>
  <w:abstractNum w:abstractNumId="31">
    <w:nsid w:val="32FFF902"/>
    <w:multiLevelType w:val="hybridMultilevel"/>
    <w:lvl w:ilvl="0">
      <w:lvlJc w:val="left"/>
      <w:lvlText w:val="%1."/>
      <w:numFmt w:val="decimal"/>
      <w:start w:val="7"/>
    </w:lvl>
  </w:abstractNum>
  <w:abstractNum w:abstractNumId="32">
    <w:nsid w:val="684A481A"/>
    <w:multiLevelType w:val="hybridMultilevel"/>
    <w:lvl w:ilvl="0">
      <w:lvlJc w:val="left"/>
      <w:lvlText w:val="%1."/>
      <w:numFmt w:val="decimal"/>
      <w:start w:val="8"/>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9"/>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0"/>
    </w:lvl>
    <w:lvl w:ilvl="1">
      <w:lvlJc w:val="left"/>
      <w:lvlText w:val="(%2)"/>
      <w:numFmt w:val="lowerLetter"/>
      <w:start w:val="1"/>
    </w:lvl>
  </w:abstractNum>
  <w:abstractNum w:abstractNumId="37">
    <w:nsid w:val="79A1DEAA"/>
    <w:multiLevelType w:val="hybridMultilevel"/>
    <w:lvl w:ilvl="0">
      <w:lvlJc w:val="left"/>
      <w:lvlText w:val="(%1)"/>
      <w:numFmt w:val="lowerLetter"/>
      <w:start w:val="4"/>
    </w:lvl>
  </w:abstractNum>
  <w:abstractNum w:abstractNumId="38">
    <w:nsid w:val="75C6C33A"/>
    <w:multiLevelType w:val="hybridMultilevel"/>
    <w:lvl w:ilvl="0">
      <w:lvlJc w:val="left"/>
      <w:lvlText w:val="%1."/>
      <w:numFmt w:val="decimal"/>
      <w:start w:val="12"/>
    </w:lvl>
  </w:abstractNum>
  <w:abstractNum w:abstractNumId="39">
    <w:nsid w:val="12E685FB"/>
    <w:multiLevelType w:val="hybridMultilevel"/>
    <w:lvl w:ilvl="0">
      <w:lvlJc w:val="left"/>
      <w:lvlText w:val="%1."/>
      <w:numFmt w:val="decimal"/>
      <w:start w:val="13"/>
    </w:lvl>
    <w:lvl w:ilvl="1">
      <w:lvlJc w:val="left"/>
      <w:lvlText w:val="(%2)"/>
      <w:numFmt w:val="lowerLetter"/>
      <w:start w:val="1"/>
    </w:lvl>
  </w:abstractNum>
  <w:abstractNum w:abstractNumId="40">
    <w:nsid w:val="70C6A529"/>
    <w:multiLevelType w:val="hybridMultilevel"/>
    <w:lvl w:ilvl="0">
      <w:lvlJc w:val="left"/>
      <w:lvlText w:val="%1."/>
      <w:numFmt w:val="decimal"/>
      <w:start w:val="13"/>
    </w:lvl>
    <w:lvl w:ilvl="1">
      <w:lvlJc w:val="left"/>
      <w:lvlText w:val="(%2)"/>
      <w:numFmt w:val="lowerLetter"/>
      <w:start w:val="3"/>
    </w:lvl>
  </w:abstractNum>
  <w:abstractNum w:abstractNumId="41">
    <w:nsid w:val="520EEDD1"/>
    <w:multiLevelType w:val="hybridMultilevel"/>
    <w:lvl w:ilvl="0">
      <w:lvlJc w:val="left"/>
      <w:lvlText w:val="%1."/>
      <w:numFmt w:val="decimal"/>
      <w:start w:val="17"/>
    </w:lvl>
    <w:lvl w:ilvl="1">
      <w:lvlJc w:val="left"/>
      <w:lvlText w:val="(%2)"/>
      <w:numFmt w:val="lowerLetter"/>
      <w:start w:val="1"/>
    </w:lvl>
  </w:abstractNum>
  <w:abstractNum w:abstractNumId="42">
    <w:nsid w:val="374A3FE6"/>
    <w:multiLevelType w:val="hybridMultilevel"/>
    <w:lvl w:ilvl="0">
      <w:lvlJc w:val="left"/>
      <w:lvlText w:val="%1."/>
      <w:numFmt w:val="decimal"/>
      <w:start w:val="18"/>
    </w:lvl>
    <w:lvl w:ilvl="1">
      <w:lvlJc w:val="left"/>
      <w:lvlText w:val="(%2)"/>
      <w:numFmt w:val="lowerLetter"/>
      <w:start w:val="3"/>
    </w:lvl>
  </w:abstractNum>
  <w:abstractNum w:abstractNumId="43">
    <w:nsid w:val="4F4EF005"/>
    <w:multiLevelType w:val="hybridMultilevel"/>
    <w:lvl w:ilvl="0">
      <w:lvlJc w:val="left"/>
      <w:lvlText w:val="%1."/>
      <w:numFmt w:val="decimal"/>
      <w:start w:val="20"/>
    </w:lvl>
    <w:lvl w:ilvl="1">
      <w:lvlJc w:val="left"/>
      <w:lvlText w:val="(%2)"/>
      <w:numFmt w:val="lowerLetter"/>
      <w:start w:val="1"/>
    </w:lvl>
  </w:abstractNum>
  <w:abstractNum w:abstractNumId="44">
    <w:nsid w:val="23F9C13C"/>
    <w:multiLevelType w:val="hybridMultilevel"/>
    <w:lvl w:ilvl="0">
      <w:lvlJc w:val="left"/>
      <w:lvlText w:val="%1."/>
      <w:numFmt w:val="decimal"/>
      <w:start w:val="20"/>
    </w:lvl>
    <w:lvl w:ilvl="1">
      <w:lvlJc w:val="left"/>
      <w:lvlText w:val="(%2)"/>
      <w:numFmt w:val="lowerRoman"/>
      <w:start w:val="1"/>
    </w:lvl>
  </w:abstractNum>
  <w:abstractNum w:abstractNumId="45">
    <w:nsid w:val="649BB77C"/>
    <w:multiLevelType w:val="hybridMultilevel"/>
    <w:lvl w:ilvl="0">
      <w:lvlJc w:val="left"/>
      <w:lvlText w:val="(%1)"/>
      <w:numFmt w:val="lowerRoman"/>
      <w:start w:val="2"/>
    </w:lvl>
  </w:abstractNum>
  <w:abstractNum w:abstractNumId="46">
    <w:nsid w:val="275AC794"/>
    <w:multiLevelType w:val="hybridMultilevel"/>
    <w:lvl w:ilvl="0">
      <w:lvlJc w:val="left"/>
      <w:lvlText w:val="(%1)"/>
      <w:numFmt w:val="lowerRoman"/>
      <w:start w:val="4"/>
    </w:lvl>
  </w:abstractNum>
  <w:abstractNum w:abstractNumId="47">
    <w:nsid w:val="39386575"/>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7"/>
    </w:lvl>
    <w:lvl w:ilvl="3">
      <w:lvlJc w:val="left"/>
      <w:lvlText w:val="(%4)"/>
      <w:numFmt w:val="lowerRoman"/>
      <w:start w:val="6"/>
    </w:lvl>
  </w:abstractNum>
  <w:abstractNum w:abstractNumId="48">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9"/>
    </w:lvl>
  </w:abstractNum>
  <w:abstractNum w:abstractNumId="49">
    <w:nsid w:val="180115BE"/>
    <w:multiLevelType w:val="hybridMultilevel"/>
    <w:lvl w:ilvl="0">
      <w:lvlJc w:val="left"/>
      <w:lvlText w:val="%1."/>
      <w:numFmt w:val="decimal"/>
      <w:start w:val="20"/>
    </w:lvl>
    <w:lvl w:ilvl="1">
      <w:lvlJc w:val="left"/>
      <w:lvlText w:val="(%2)"/>
      <w:numFmt w:val="lowerLetter"/>
      <w:start w:val="3"/>
    </w:lvl>
  </w:abstractNum>
  <w:abstractNum w:abstractNumId="50">
    <w:nsid w:val="235BA861"/>
    <w:multiLevelType w:val="hybridMultilevel"/>
    <w:lvl w:ilvl="0">
      <w:lvlJc w:val="left"/>
      <w:lvlText w:val="(%1)"/>
      <w:numFmt w:val="lowerRoman"/>
      <w:start w:val="1"/>
    </w:lvl>
  </w:abstractNum>
  <w:abstractNum w:abstractNumId="51">
    <w:nsid w:val="47398C89"/>
    <w:multiLevelType w:val="hybridMultilevel"/>
    <w:lvl w:ilvl="0">
      <w:lvlJc w:val="left"/>
      <w:lvlText w:val="%1."/>
      <w:numFmt w:val="decimal"/>
      <w:start w:val="20"/>
    </w:lvl>
    <w:lvl w:ilvl="1">
      <w:lvlJc w:val="left"/>
      <w:lvlText w:val="(%2)"/>
      <w:numFmt w:val="lowerLetter"/>
      <w:start w:val="3"/>
    </w:lvl>
    <w:lvl w:ilvl="2">
      <w:lvlJc w:val="left"/>
      <w:lvlText w:val="(%3)"/>
      <w:numFmt w:val="lowerRoman"/>
      <w:start w:val="2"/>
    </w:lvl>
  </w:abstractNum>
  <w:abstractNum w:abstractNumId="52">
    <w:nsid w:val="354FE9F9"/>
    <w:multiLevelType w:val="hybridMultilevel"/>
    <w:lvl w:ilvl="0">
      <w:lvlJc w:val="left"/>
      <w:lvlText w:val="(%1)"/>
      <w:numFmt w:val="lowerLetter"/>
      <w:start w:val="4"/>
    </w:lvl>
  </w:abstractNum>
  <w:abstractNum w:abstractNumId="53">
    <w:nsid w:val="15B5AF5C"/>
    <w:multiLevelType w:val="hybridMultilevel"/>
    <w:lvl w:ilvl="0">
      <w:lvlJc w:val="left"/>
      <w:lvlText w:val="%1."/>
      <w:numFmt w:val="decimal"/>
      <w:start w:val="2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22"/>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2"/>
    </w:lvl>
  </w:abstractNum>
  <w:abstractNum w:abstractNumId="59">
    <w:nsid w:val="7E0C57B1"/>
    <w:multiLevelType w:val="hybridMultilevel"/>
    <w:lvl w:ilvl="0">
      <w:lvlJc w:val="left"/>
      <w:lvlText w:val="%1."/>
      <w:numFmt w:val="decimal"/>
      <w:start w:val="3"/>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lowerLetter"/>
      <w:start w:val="3"/>
    </w:lvl>
  </w:abstractNum>
  <w:abstractNum w:abstractNumId="62">
    <w:nsid w:val="310C50B3"/>
    <w:multiLevelType w:val="hybridMultilevel"/>
    <w:lvl w:ilvl="0">
      <w:lvlJc w:val="left"/>
      <w:lvlText w:val="%1."/>
      <w:numFmt w:val="decimal"/>
      <w:start w:val="4"/>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2020-02-22T17:39:24Z</dcterms:created>
  <dcterms:modified xsi:type="dcterms:W3CDTF">2020-02-22T17:39:24Z</dcterms:modified>
</cp:coreProperties>
</file>