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0"/>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FORM 10-K</w:t>
      </w:r>
    </w:p>
    <w:p>
      <w:pPr>
        <w:spacing w:after="0" w:line="359" w:lineRule="exact"/>
        <w:rPr>
          <w:sz w:val="24"/>
          <w:szCs w:val="24"/>
          <w:color w:val="auto"/>
        </w:rPr>
      </w:pPr>
    </w:p>
    <w:p>
      <w:pPr>
        <w:ind w:left="2100" w:right="4179" w:hanging="823"/>
        <w:spacing w:after="0" w:line="250" w:lineRule="auto"/>
        <w:tabs>
          <w:tab w:leader="none" w:pos="164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ectPr>
          <w:pgSz w:w="11900" w:h="16838" w:orient="portrait"/>
          <w:cols w:equalWidth="0" w:num="1">
            <w:col w:w="10219"/>
          </w:cols>
          <w:pgMar w:left="240" w:top="235" w:right="1440" w:bottom="0" w:gutter="0" w:footer="0" w:header="0"/>
        </w:sectPr>
      </w:pPr>
    </w:p>
    <w:p>
      <w:pPr>
        <w:spacing w:after="0" w:line="351" w:lineRule="exact"/>
        <w:rPr>
          <w:sz w:val="24"/>
          <w:szCs w:val="24"/>
          <w:color w:val="auto"/>
        </w:rPr>
      </w:pPr>
    </w:p>
    <w:p>
      <w:pPr>
        <w:jc w:val="center"/>
        <w:ind w:left="440"/>
        <w:spacing w:after="0"/>
        <w:rPr>
          <w:sz w:val="20"/>
          <w:szCs w:val="20"/>
          <w:color w:val="auto"/>
        </w:rPr>
      </w:pPr>
      <w:r>
        <w:rPr>
          <w:rFonts w:ascii="Courier New" w:cs="Courier New" w:eastAsia="Courier New" w:hAnsi="Courier New"/>
          <w:sz w:val="15"/>
          <w:szCs w:val="15"/>
          <w:color w:val="auto"/>
        </w:rPr>
        <w:t>For the fiscal year ended</w:t>
      </w:r>
    </w:p>
    <w:p>
      <w:pPr>
        <w:spacing w:after="0" w:line="6" w:lineRule="exact"/>
        <w:rPr>
          <w:sz w:val="24"/>
          <w:szCs w:val="24"/>
          <w:color w:val="auto"/>
        </w:rPr>
      </w:pPr>
    </w:p>
    <w:p>
      <w:pPr>
        <w:jc w:val="center"/>
        <w:ind w:left="440"/>
        <w:spacing w:after="0"/>
        <w:rPr>
          <w:sz w:val="20"/>
          <w:szCs w:val="20"/>
          <w:color w:val="auto"/>
        </w:rPr>
      </w:pPr>
      <w:r>
        <w:rPr>
          <w:rFonts w:ascii="Courier New" w:cs="Courier New" w:eastAsia="Courier New" w:hAnsi="Courier New"/>
          <w:sz w:val="15"/>
          <w:szCs w:val="15"/>
          <w:color w:val="auto"/>
        </w:rPr>
        <w:t>December 31, 1997</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5"/>
          <w:szCs w:val="15"/>
          <w:color w:val="auto"/>
        </w:rPr>
        <w:t>Commission File Number</w:t>
      </w:r>
    </w:p>
    <w:p>
      <w:pPr>
        <w:spacing w:after="0" w:line="6"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5"/>
          <w:szCs w:val="15"/>
          <w:color w:val="auto"/>
        </w:rPr>
        <w:t>1-7107</w:t>
      </w:r>
    </w:p>
    <w:p>
      <w:pPr>
        <w:spacing w:after="0" w:line="200" w:lineRule="exact"/>
        <w:rPr>
          <w:sz w:val="24"/>
          <w:szCs w:val="24"/>
          <w:color w:val="auto"/>
        </w:rPr>
      </w:pPr>
    </w:p>
    <w:p>
      <w:pPr>
        <w:sectPr>
          <w:pgSz w:w="11900" w:h="16838" w:orient="portrait"/>
          <w:cols w:equalWidth="0" w:num="2">
            <w:col w:w="3680" w:space="720"/>
            <w:col w:w="5819"/>
          </w:cols>
          <w:pgMar w:left="240" w:top="235" w:right="1440" w:bottom="0" w:gutter="0" w:footer="0" w:header="0"/>
          <w:type w:val="continuous"/>
        </w:sectPr>
      </w:pPr>
    </w:p>
    <w:p>
      <w:pPr>
        <w:spacing w:after="0" w:line="159"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LOUISIANA-PACIFIC CORPORATION</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59" w:lineRule="exact"/>
        <w:rPr>
          <w:sz w:val="24"/>
          <w:szCs w:val="24"/>
          <w:color w:val="auto"/>
        </w:rPr>
      </w:pPr>
    </w:p>
    <w:tbl>
      <w:tblPr>
        <w:tblLayout w:type="fixed"/>
        <w:tblInd w:w="920" w:type="dxa"/>
        <w:tblCellMar>
          <w:top w:w="0" w:type="dxa"/>
          <w:left w:w="0" w:type="dxa"/>
          <w:bottom w:w="0" w:type="dxa"/>
          <w:right w:w="0" w:type="dxa"/>
        </w:tblCellMar>
      </w:tblPr>
      <w:tr>
        <w:trPr>
          <w:trHeight w:val="171"/>
        </w:trPr>
        <w:tc>
          <w:tcPr>
            <w:tcW w:w="2700" w:type="dxa"/>
            <w:vAlign w:val="bottom"/>
          </w:tcPr>
          <w:p>
            <w:pPr>
              <w:jc w:val="center"/>
              <w:ind w:right="444"/>
              <w:spacing w:after="0"/>
              <w:rPr>
                <w:sz w:val="20"/>
                <w:szCs w:val="20"/>
                <w:color w:val="auto"/>
              </w:rPr>
            </w:pPr>
            <w:r>
              <w:rPr>
                <w:rFonts w:ascii="Courier New" w:cs="Courier New" w:eastAsia="Courier New" w:hAnsi="Courier New"/>
                <w:sz w:val="15"/>
                <w:szCs w:val="15"/>
                <w:color w:val="auto"/>
              </w:rPr>
              <w:t>DELAWARE</w:t>
            </w:r>
          </w:p>
        </w:tc>
        <w:tc>
          <w:tcPr>
            <w:tcW w:w="316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93-0609074</w:t>
            </w:r>
          </w:p>
        </w:tc>
      </w:tr>
      <w:tr>
        <w:trPr>
          <w:trHeight w:val="176"/>
        </w:trPr>
        <w:tc>
          <w:tcPr>
            <w:tcW w:w="2700" w:type="dxa"/>
            <w:vAlign w:val="bottom"/>
          </w:tcPr>
          <w:p>
            <w:pPr>
              <w:jc w:val="center"/>
              <w:ind w:right="444"/>
              <w:spacing w:after="0"/>
              <w:rPr>
                <w:sz w:val="20"/>
                <w:szCs w:val="20"/>
                <w:color w:val="auto"/>
              </w:rPr>
            </w:pPr>
            <w:r>
              <w:rPr>
                <w:rFonts w:ascii="Courier New" w:cs="Courier New" w:eastAsia="Courier New" w:hAnsi="Courier New"/>
                <w:sz w:val="15"/>
                <w:szCs w:val="15"/>
                <w:color w:val="auto"/>
              </w:rPr>
              <w:t>(State of Incorporation)</w:t>
            </w:r>
          </w:p>
        </w:tc>
        <w:tc>
          <w:tcPr>
            <w:tcW w:w="3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(I.R.S. Employer</w:t>
            </w:r>
          </w:p>
        </w:tc>
      </w:tr>
      <w:tr>
        <w:trPr>
          <w:trHeight w:val="176"/>
        </w:trPr>
        <w:tc>
          <w:tcPr>
            <w:tcW w:w="2700" w:type="dxa"/>
            <w:vAlign w:val="bottom"/>
          </w:tcPr>
          <w:p>
            <w:pPr>
              <w:spacing w:after="0"/>
              <w:rPr>
                <w:sz w:val="15"/>
                <w:szCs w:val="15"/>
                <w:color w:val="auto"/>
              </w:rPr>
            </w:pPr>
          </w:p>
        </w:tc>
        <w:tc>
          <w:tcPr>
            <w:tcW w:w="316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Identification No.)</w:t>
            </w:r>
          </w:p>
        </w:tc>
      </w:tr>
      <w:tr>
        <w:trPr>
          <w:trHeight w:val="352"/>
        </w:trPr>
        <w:tc>
          <w:tcPr>
            <w:tcW w:w="2700" w:type="dxa"/>
            <w:vAlign w:val="bottom"/>
          </w:tcPr>
          <w:p>
            <w:pPr>
              <w:jc w:val="center"/>
              <w:ind w:right="544"/>
              <w:spacing w:after="0"/>
              <w:rPr>
                <w:sz w:val="20"/>
                <w:szCs w:val="20"/>
                <w:color w:val="auto"/>
              </w:rPr>
            </w:pPr>
            <w:r>
              <w:rPr>
                <w:rFonts w:ascii="Courier New" w:cs="Courier New" w:eastAsia="Courier New" w:hAnsi="Courier New"/>
                <w:sz w:val="15"/>
                <w:szCs w:val="15"/>
                <w:color w:val="auto"/>
              </w:rPr>
              <w:t>111 S.W. Fifth Avenue</w:t>
            </w:r>
          </w:p>
        </w:tc>
        <w:tc>
          <w:tcPr>
            <w:tcW w:w="316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Registrant's telephone number</w:t>
            </w:r>
          </w:p>
        </w:tc>
      </w:tr>
      <w:tr>
        <w:trPr>
          <w:trHeight w:val="176"/>
        </w:trPr>
        <w:tc>
          <w:tcPr>
            <w:tcW w:w="270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Portland, Oregon  97204</w:t>
            </w:r>
          </w:p>
        </w:tc>
        <w:tc>
          <w:tcPr>
            <w:tcW w:w="3160" w:type="dxa"/>
            <w:vAlign w:val="bottom"/>
          </w:tcPr>
          <w:p>
            <w:pPr>
              <w:jc w:val="center"/>
              <w:ind w:left="404"/>
              <w:spacing w:after="0"/>
              <w:rPr>
                <w:sz w:val="20"/>
                <w:szCs w:val="20"/>
                <w:color w:val="auto"/>
              </w:rPr>
            </w:pPr>
            <w:r>
              <w:rPr>
                <w:rFonts w:ascii="Courier New" w:cs="Courier New" w:eastAsia="Courier New" w:hAnsi="Courier New"/>
                <w:sz w:val="15"/>
                <w:szCs w:val="15"/>
                <w:color w:val="auto"/>
              </w:rPr>
              <w:t>(including area code)</w:t>
            </w:r>
          </w:p>
        </w:tc>
      </w:tr>
      <w:tr>
        <w:trPr>
          <w:trHeight w:val="176"/>
        </w:trPr>
        <w:tc>
          <w:tcPr>
            <w:tcW w:w="2700" w:type="dxa"/>
            <w:vAlign w:val="bottom"/>
          </w:tcPr>
          <w:p>
            <w:pPr>
              <w:jc w:val="center"/>
              <w:ind w:right="544"/>
              <w:spacing w:after="0"/>
              <w:rPr>
                <w:sz w:val="20"/>
                <w:szCs w:val="20"/>
                <w:color w:val="auto"/>
              </w:rPr>
            </w:pPr>
            <w:r>
              <w:rPr>
                <w:rFonts w:ascii="Courier New" w:cs="Courier New" w:eastAsia="Courier New" w:hAnsi="Courier New"/>
                <w:sz w:val="15"/>
                <w:szCs w:val="15"/>
                <w:color w:val="auto"/>
              </w:rPr>
              <w:t>(Address of principal</w:t>
            </w:r>
          </w:p>
        </w:tc>
        <w:tc>
          <w:tcPr>
            <w:tcW w:w="316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503-221-0800</w:t>
            </w:r>
          </w:p>
        </w:tc>
      </w:tr>
      <w:tr>
        <w:trPr>
          <w:trHeight w:val="176"/>
        </w:trPr>
        <w:tc>
          <w:tcPr>
            <w:tcW w:w="270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offices)</w:t>
            </w:r>
          </w:p>
        </w:tc>
        <w:tc>
          <w:tcPr>
            <w:tcW w:w="3160" w:type="dxa"/>
            <w:vAlign w:val="bottom"/>
          </w:tcPr>
          <w:p>
            <w:pPr>
              <w:spacing w:after="0"/>
              <w:rPr>
                <w:sz w:val="15"/>
                <w:szCs w:val="15"/>
                <w:color w:val="auto"/>
              </w:rPr>
            </w:pPr>
          </w:p>
        </w:tc>
      </w:tr>
    </w:tbl>
    <w:p>
      <w:pPr>
        <w:spacing w:after="0" w:line="3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19"/>
          </w:cols>
          <w:pgMar w:left="240" w:top="235" w:right="1440" w:bottom="0" w:gutter="0" w:footer="0" w:header="0"/>
          <w:type w:val="continuous"/>
        </w:sectPr>
      </w:pPr>
    </w:p>
    <w:p>
      <w:pPr>
        <w:spacing w:after="0" w:line="200" w:lineRule="exact"/>
        <w:rPr>
          <w:sz w:val="24"/>
          <w:szCs w:val="24"/>
          <w:color w:val="auto"/>
        </w:rPr>
      </w:pPr>
    </w:p>
    <w:p>
      <w:pPr>
        <w:spacing w:after="0" w:line="335"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Title of each class</w:t>
      </w:r>
    </w:p>
    <w:p>
      <w:pPr>
        <w:spacing w:after="0" w:line="6"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5"/>
          <w:szCs w:val="15"/>
          <w:color w:val="auto"/>
        </w:rPr>
        <w:t>Name of each exchange on</w:t>
      </w:r>
    </w:p>
    <w:p>
      <w:pPr>
        <w:spacing w:after="0" w:line="6"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5"/>
          <w:szCs w:val="15"/>
          <w:color w:val="auto"/>
        </w:rPr>
        <w:t>which registered</w:t>
      </w:r>
    </w:p>
    <w:p>
      <w:pPr>
        <w:spacing w:after="0" w:line="6"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2">
            <w:col w:w="3580" w:space="720"/>
            <w:col w:w="5919"/>
          </w:cols>
          <w:pgMar w:left="240" w:top="235" w:right="1440" w:bottom="0" w:gutter="0" w:footer="0" w:header="0"/>
          <w:type w:val="continuous"/>
        </w:sectPr>
      </w:pPr>
    </w:p>
    <w:p>
      <w:pPr>
        <w:ind w:right="740"/>
        <w:spacing w:after="0" w:line="250" w:lineRule="auto"/>
        <w:rPr>
          <w:sz w:val="20"/>
          <w:szCs w:val="20"/>
          <w:color w:val="auto"/>
        </w:rPr>
      </w:pPr>
      <w:r>
        <w:rPr>
          <w:rFonts w:ascii="Courier New" w:cs="Courier New" w:eastAsia="Courier New" w:hAnsi="Courier New"/>
          <w:sz w:val="15"/>
          <w:szCs w:val="15"/>
          <w:color w:val="auto"/>
        </w:rPr>
        <w:t>Common Stock, $1 par value Preferred Stock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207" w:lineRule="exact"/>
        <w:rPr>
          <w:sz w:val="24"/>
          <w:szCs w:val="24"/>
          <w:color w:val="auto"/>
        </w:rPr>
      </w:pPr>
    </w:p>
    <w:p>
      <w:pPr>
        <w:sectPr>
          <w:pgSz w:w="11900" w:h="16838" w:orient="portrait"/>
          <w:cols w:equalWidth="0" w:num="2">
            <w:col w:w="3580" w:space="720"/>
            <w:col w:w="5919"/>
          </w:cols>
          <w:pgMar w:left="240" w:top="235" w:right="1440" w:bottom="0"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76" w:lineRule="exact"/>
        <w:rPr>
          <w:sz w:val="24"/>
          <w:szCs w:val="24"/>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352" w:lineRule="exact"/>
        <w:rPr>
          <w:sz w:val="24"/>
          <w:szCs w:val="24"/>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State the aggregate market value of the voting stock held by nonaffiliates of the registrant: $2,513,964,661 as of March 12, 1998.</w:t>
      </w:r>
    </w:p>
    <w:p>
      <w:pPr>
        <w:spacing w:after="0" w:line="351" w:lineRule="exact"/>
        <w:rPr>
          <w:sz w:val="24"/>
          <w:szCs w:val="24"/>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109,780,858 shares of Common Stock, $1 par value, outstanding as of March 12, 1998.</w:t>
      </w:r>
    </w:p>
    <w:p>
      <w:pPr>
        <w:spacing w:after="0" w:line="352"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35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Definitive Proxy Statement for 1998 Annual Meeting: Part III</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380"/>
        <w:spacing w:after="0"/>
        <w:rPr>
          <w:sz w:val="20"/>
          <w:szCs w:val="20"/>
          <w:color w:val="auto"/>
        </w:rPr>
      </w:pPr>
      <w:r>
        <w:rPr>
          <w:rFonts w:ascii="Courier New" w:cs="Courier New" w:eastAsia="Courier New" w:hAnsi="Courier New"/>
          <w:sz w:val="15"/>
          <w:szCs w:val="15"/>
          <w:color w:val="auto"/>
        </w:rPr>
        <w:t>PART I</w:t>
      </w:r>
    </w:p>
    <w:p>
      <w:pPr>
        <w:spacing w:after="0" w:line="359" w:lineRule="exact"/>
        <w:rPr>
          <w:sz w:val="24"/>
          <w:szCs w:val="24"/>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Business</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Louisiana-Pacific Corporation, a Delaware corporation since 1973, is a major forest products firm headquartered in Portland, Oregon. It manufactures lumber, pulp, structural and other panel products, hardwood veneers, and cellulose insulation. It operates approximately 100 facilities throughout the United States, Canada, and Ireland. It has approximately 12,000 employees. It distributes its products primarily through distributors and home centers, and to a minor extent through its own distribution centers.</w:t>
      </w:r>
    </w:p>
    <w:p>
      <w:pPr>
        <w:spacing w:after="0" w:line="175" w:lineRule="exact"/>
        <w:rPr>
          <w:sz w:val="24"/>
          <w:szCs w:val="24"/>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business of Louisiana-Pacific Corporation and its wholly owned subsidiaries (except when the context otherwise requires, hereinafter referred to collectively as "the registrant" or "L-P") is generally divided into two industry segments: building products and pulp. For 1997, building products</w:t>
      </w:r>
    </w:p>
    <w:p>
      <w:pPr>
        <w:sectPr>
          <w:pgSz w:w="11900" w:h="16838" w:orient="portrait"/>
          <w:cols w:equalWidth="0" w:num="1">
            <w:col w:w="10219"/>
          </w:cols>
          <w:pgMar w:left="240" w:top="235" w:right="1440" w:bottom="0" w:gutter="0" w:footer="0" w:header="0"/>
          <w:type w:val="continuous"/>
        </w:sectPr>
      </w:pPr>
    </w:p>
    <w:bookmarkStart w:id="1" w:name="page2"/>
    <w:bookmarkEnd w:id="1"/>
    <w:p>
      <w:pPr>
        <w:jc w:val="both"/>
        <w:ind w:right="2899"/>
        <w:spacing w:after="0" w:line="250" w:lineRule="auto"/>
        <w:rPr>
          <w:sz w:val="20"/>
          <w:szCs w:val="20"/>
          <w:color w:val="auto"/>
        </w:rPr>
      </w:pPr>
      <w:r>
        <w:rPr>
          <w:rFonts w:ascii="Courier New" w:cs="Courier New" w:eastAsia="Courier New" w:hAnsi="Courier New"/>
          <w:sz w:val="15"/>
          <w:szCs w:val="15"/>
          <w:color w:val="auto"/>
        </w:rPr>
        <w:t>accounted for approximately 95 percent of the registrant's sales revenues, compared to approximately 5 percent for pulp.</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 Products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Panel Products. The registrant manufactures plywood and a variety of reconstituted panel products, including oriented strand board ("OSB") and other panel products such as industrial particleboard, medium density fiberboard ("MDF"), and hardboard. Panel products accounted for 44 percent of L-P's sales in 1997.</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largest consumption of panel products is for structural uses in building and remodeling such as subfloors, walls, and roofs. The total structural panel market in North America (plywood, OSB and other waferboards) is approximately 37 billion square feet annually, of which plywood currently constitutes about 20 billion square feet. In recent years, environmental pressure on timber harvesting, especially in the West, has resulted in reduced supplies and higher costs, causing many plywood mills to close permanently. The lost volume from those closed mills has been replaced by reconstituted structural panel products.</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registrant is the largest North American producer of OSB through 16 OSB plants with an aggregate annual capacity of approximately 4.5 billion square feet, including its three plants which manufacture OSB exterior siding. The registrant also has an OSB plant in Ireland. The registrant operates five plywood plants in the South with a combined annual capacity of 1.3 billion square feet.</w:t>
      </w:r>
    </w:p>
    <w:p>
      <w:pPr>
        <w:spacing w:after="0" w:line="35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registrant's other reconstituted panel products--industrial particleboard, MDF, and hardboard--produced at a total of seven plants, are used primarily in the manufacture of furniture and cabinets.</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Lumber. The registrant is a large producer of lumber. The registrant has 14 Western (whitewood and redwood) sawmills with an annual production capacity of 1.1 billion board feet ("BBF"), while its 15 Southern sawmills have an annual production capacity of .5 BBF. Lumber represented 28 percent of the registrant's sales revenue in 1997. The registrant's sawmills produce a variety of standard U.S. dimension lumber as well as specialty grades and sizes, primarily for the North American home building market. A sawmill in Ketchikan, Alaska, produces lumber for export in the traditional sizes used in the Japanese building industry, but has the capability of switching to standard U.S. dimensions. The registrant also operates a fingerjoint plant which produces dimension lumber from low grade and short pieces of lumber. In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142" w:right="1440" w:bottom="1440" w:gutter="0" w:footer="0" w:header="0"/>
        </w:sectPr>
      </w:pPr>
    </w:p>
    <w:bookmarkStart w:id="2" w:name="page3"/>
    <w:bookmarkEnd w:id="2"/>
    <w:p>
      <w:pPr>
        <w:jc w:val="both"/>
        <w:ind w:right="2899"/>
        <w:spacing w:after="0" w:line="249" w:lineRule="auto"/>
        <w:rPr>
          <w:sz w:val="20"/>
          <w:szCs w:val="20"/>
          <w:color w:val="auto"/>
        </w:rPr>
      </w:pPr>
      <w:r>
        <w:rPr>
          <w:rFonts w:ascii="Courier New" w:cs="Courier New" w:eastAsia="Courier New" w:hAnsi="Courier New"/>
          <w:sz w:val="15"/>
          <w:szCs w:val="15"/>
          <w:color w:val="auto"/>
        </w:rPr>
        <w:t>October 1997, the registrant announced its intention to sell its remaining California redwood timberlands and related lumber and certain distribution businesses.</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Other Building Products. The registrant produces various hardwood veneers at a plant in Wisconsin with both rotary and sliced manufacturing processes. These veneers are sold to customers who overlay the veneers on other materials for use in paneling, furniture and cabinets.</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registrant has four engineered I-joist plants located in California, Nevada, North Carolina, and Oregon. OSB is cut into sections and used as the web for the I-joists. The registrant also produces laminated veneer lumber ("LVL") in Nevada, North Carolina and Oregon. LVL is a high-grade structural product used where extra strength is required. It is also used as the flange material in I-joists. In March 1997, the registrant acquired the assets of Tecton Laminates Corp. ("Tecton"), which significantly increased the registrant's LVL and I-joist capacity.</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Nine plants produce cellulose residential insulation from recycled newspaper. This insulation has a higher R-value than comparable thicknesses of conventional fiberglass insulation. Other facilities operated by the registrant include two wood chip mills, two coatings and chemical plants, seven wood-treating plants, and six building materials distribution centers.</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registrant currently owns seven plants in Ohio which manufacture windows and doors and their component parts. In February 1998, L-P announced it had reached an agreement in principle to sell these facilities. L-P expects the transaction to close during the second quarter of 1998.</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October 1997, the registrant also announced plans to sell certain other facilities that it considers non-strategic to its core businesses, including its Creative Point, Inc., subsidiary, its cement fiber roof shake plant and the fiber gypsum plant in Nova Scotia. The Nova Scotia plant was sold prior to year end.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registrant has two pulp mills located in Samoa, California, and Chetwynd, British Columbia, Canada. The Chetwynd mill utilizes a state-of-the-art mechanical pulping process and a zero effluent discharge system to produce 100 percent aspen pulp and has an annual capacity of approximately 185 thousand short tons. The Samoa mill produces bleached and unbleached kraft pulp by a chlorine-free process, thereby eliminating dioxins. In October 1997, the registrant announced its intention to sell the Samoa pulp mill. A third mill in Ketchikan, Alaska, which produced a high-grade dissolving pulp, was permanently closed in March 1997. (See Item 7,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registrant competes internationally with several thousand forest products firms, ranging from very large, fully integrated firms to smaller firms that may manufacture only one or a few items. The registrant estimates that approximately 25 forest products firms comprise its major competition. The registrant also competes less directly with firms that manufacture substitutes for wood building products. A majority of the products manufactured by the registrant, including lumber, structural panels, and pulp, are commodity products sold primarily on the basis of price in competition with numerous other forest products companies.</w:t>
      </w:r>
    </w:p>
    <w:p>
      <w:pPr>
        <w:spacing w:after="0" w:line="175"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The registrant has introduced a number of value-enhanced products to complement its traditional lumber and panel products, such as the OSB</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647" w:right="1440" w:bottom="1440" w:gutter="0" w:footer="0" w:header="0"/>
        </w:sectPr>
      </w:pPr>
    </w:p>
    <w:bookmarkStart w:id="3" w:name="page4"/>
    <w:bookmarkEnd w:id="3"/>
    <w:p>
      <w:pPr>
        <w:jc w:val="both"/>
        <w:ind w:right="2899"/>
        <w:spacing w:after="0" w:line="249" w:lineRule="auto"/>
        <w:rPr>
          <w:sz w:val="20"/>
          <w:szCs w:val="20"/>
          <w:color w:val="auto"/>
        </w:rPr>
      </w:pPr>
      <w:r>
        <w:rPr>
          <w:rFonts w:ascii="Courier New" w:cs="Courier New" w:eastAsia="Courier New" w:hAnsi="Courier New"/>
          <w:sz w:val="15"/>
          <w:szCs w:val="15"/>
          <w:color w:val="auto"/>
        </w:rPr>
        <w:t>SmartStart(TM) system of siding and exterior products and flooring, and a radiant barrier product known as TechShield(TM). The registrant's Cocoon(TM) cellulosic insulation products utilize wood fiber from waste paper and are believed to have better insulating and sound-deadening properties than fiberglass insulation.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registrant is subject to federal, state and local pollution control laws and regulations in all areas in which it has operating facilities. The registrant maintains an accounting reserve for environmental loss contingencies. From time to time, the registrant undertakes construction projects for environmental control facilities or incurs other environmental costs that extend an asset's useful life, improve efficiency, or improve the marketability of certain properties.</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registrant's policy is to comply fully with all applicable environmental laws and regulations. In recent years, the registrant has devoted increasing financial and management resources to achieving this goal. As part of its efforts to ensure environmental compliance, the registrant conducts regular internal environmental assessments. From time to time, the registrant becomes aware of violations of applicable laws or regulations. In those instances, the registrant's policy is to bring its operations promptly into full compliance with applicable environmental laws and regulations. The registrant is not aware of any instances in which its current operations are not in compliance with applicable environmental laws and regulations that would be expected to have a material adverse effect on the registrant.</w:t>
      </w:r>
    </w:p>
    <w:p>
      <w:pPr>
        <w:spacing w:after="0" w:line="175"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Additional information concerning environmental compliance is set forth under Item 3, Legal Proceedings and the Notes to Financial Statements in Item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Statistical Information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Additional information regarding the business of the registrant, including segment information, production volumes, and industry product price trends, is presented in the following tables labeled "Sales and Operating Profit by Major Product Group," "Summary of Production Volumes," "Industry Product Price Trends," and "Logs by Source." Additional financial information about industry segments is presented in Note 10 of the Notes to Financial Statements in Item 8.</w:t>
      </w:r>
    </w:p>
    <w:p>
      <w:pPr>
        <w:spacing w:after="0" w:line="35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Reference is made to Item 2 for additional information as to sources and availability of raw materials and the locations of the registrant's manufacturing facilities.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47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Louisiana-Pacific Corporation and Subsidiaries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INFORMATION SUMMARY</w:t>
      </w:r>
    </w:p>
    <w:p>
      <w:pPr>
        <w:spacing w:after="0" w:line="6" w:lineRule="exact"/>
        <w:rPr>
          <w:sz w:val="20"/>
          <w:szCs w:val="20"/>
          <w:color w:val="auto"/>
        </w:rPr>
      </w:pPr>
    </w:p>
    <w:p>
      <w:pPr>
        <w:spacing w:after="0"/>
        <w:tabs>
          <w:tab w:leader="none" w:pos="1440" w:val="left"/>
          <w:tab w:leader="none" w:pos="2640" w:val="left"/>
          <w:tab w:leader="none" w:pos="3640" w:val="left"/>
          <w:tab w:leader="none" w:pos="4560" w:val="left"/>
        </w:tabs>
        <w:rPr>
          <w:sz w:val="20"/>
          <w:szCs w:val="20"/>
          <w:color w:val="auto"/>
        </w:rPr>
      </w:pPr>
      <w:r>
        <w:rPr>
          <w:rFonts w:ascii="Courier New" w:cs="Courier New" w:eastAsia="Courier New" w:hAnsi="Courier New"/>
          <w:sz w:val="15"/>
          <w:szCs w:val="15"/>
          <w:color w:val="auto"/>
        </w:rPr>
        <w:t>SEE ADDITIONAL</w:t>
        <w:tab/>
        <w:t>INFORMATION</w:t>
        <w:tab/>
        <w:t>REGARDING</w:t>
        <w:tab/>
        <w:t>INDUSTRY</w:t>
        <w:tab/>
        <w:t>SEGMENTS IN NOTES TO FINANCIAL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(DOLLAR AMOUNTS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1993</w:t>
            </w:r>
          </w:p>
        </w:tc>
        <w:tc>
          <w:tcPr>
            <w:tcW w:w="340" w:type="dxa"/>
            <w:vAlign w:val="bottom"/>
          </w:tcPr>
          <w:p>
            <w:pPr>
              <w:spacing w:after="0"/>
              <w:rPr>
                <w:sz w:val="14"/>
                <w:szCs w:val="14"/>
                <w:color w:val="auto"/>
              </w:rPr>
            </w:pPr>
          </w:p>
        </w:tc>
      </w:tr>
      <w:tr>
        <w:trPr>
          <w:trHeight w:val="176"/>
        </w:trPr>
        <w:tc>
          <w:tcPr>
            <w:tcW w:w="8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1260" w:type="dxa"/>
            <w:vAlign w:val="bottom"/>
            <w:gridSpan w:val="2"/>
          </w:tcPr>
          <w:p>
            <w:pPr>
              <w:jc w:val="right"/>
              <w:ind w:right="84"/>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SALES AND PROFIT BY MAJOR PRODUCT GROUP</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529"/>
        </w:trPr>
        <w:tc>
          <w:tcPr>
            <w:tcW w:w="8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Structural panel products</w:t>
            </w:r>
          </w:p>
        </w:tc>
        <w:tc>
          <w:tcPr>
            <w:tcW w:w="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864</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1,006</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1,127</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1,208</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6"/>
        </w:trPr>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Lumber</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665</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614</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644</w:t>
            </w: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867</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816</w:t>
            </w:r>
          </w:p>
        </w:tc>
        <w:tc>
          <w:tcPr>
            <w:tcW w:w="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r>
      <w:tr>
        <w:trPr>
          <w:trHeight w:val="176"/>
        </w:trPr>
        <w:tc>
          <w:tcPr>
            <w:tcW w:w="8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Industrial panel products</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181</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195</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w:t>
            </w: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w:t>
            </w: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w:t>
            </w:r>
          </w:p>
        </w:tc>
        <w:tc>
          <w:tcPr>
            <w:tcW w:w="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w:t>
            </w:r>
          </w:p>
        </w:tc>
      </w:tr>
      <w:tr>
        <w:trPr>
          <w:trHeight w:val="176"/>
        </w:trPr>
        <w:tc>
          <w:tcPr>
            <w:tcW w:w="8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Other building products</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563</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494</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523</w:t>
            </w: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505</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411</w:t>
            </w:r>
          </w:p>
        </w:tc>
        <w:tc>
          <w:tcPr>
            <w:tcW w:w="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6"/>
        </w:trPr>
        <w:tc>
          <w:tcPr>
            <w:tcW w:w="8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82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Building products</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2,273</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2,309</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2,509</w:t>
            </w: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w:t>
            </w: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2,820</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2,426</w:t>
            </w:r>
          </w:p>
        </w:tc>
        <w:tc>
          <w:tcPr>
            <w:tcW w:w="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w:t>
            </w:r>
          </w:p>
        </w:tc>
      </w:tr>
      <w:tr>
        <w:trPr>
          <w:trHeight w:val="176"/>
        </w:trPr>
        <w:tc>
          <w:tcPr>
            <w:tcW w:w="8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Pulp</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334</w:t>
            </w: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w:t>
            </w:r>
          </w:p>
        </w:tc>
        <w:tc>
          <w:tcPr>
            <w:tcW w:w="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r>
      <w:tr>
        <w:trPr>
          <w:trHeight w:val="176"/>
        </w:trPr>
        <w:tc>
          <w:tcPr>
            <w:tcW w:w="8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82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Total sales</w:t>
            </w:r>
          </w:p>
        </w:tc>
        <w:tc>
          <w:tcPr>
            <w:tcW w:w="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2,403</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100%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2,486</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2,843</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100%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3,040</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2,511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100%</w:t>
            </w:r>
          </w:p>
        </w:tc>
      </w:tr>
      <w:tr>
        <w:trPr>
          <w:trHeight w:val="176"/>
        </w:trPr>
        <w:tc>
          <w:tcPr>
            <w:tcW w:w="8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 ===</w:t>
            </w:r>
          </w:p>
        </w:tc>
        <w:tc>
          <w:tcPr>
            <w:tcW w:w="22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9"/>
              </w:rPr>
              <w:t>======== ===</w:t>
            </w:r>
          </w:p>
        </w:tc>
        <w:tc>
          <w:tcPr>
            <w:tcW w:w="160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 ===</w:t>
            </w:r>
          </w:p>
        </w:tc>
      </w:tr>
      <w:tr>
        <w:trPr>
          <w:trHeight w:val="352"/>
        </w:trPr>
        <w:tc>
          <w:tcPr>
            <w:tcW w:w="820" w:type="dxa"/>
            <w:vAlign w:val="bottom"/>
          </w:tcPr>
          <w:p>
            <w:pPr>
              <w:spacing w:after="0"/>
              <w:rPr>
                <w:sz w:val="24"/>
                <w:szCs w:val="24"/>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Export sales (included</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76"/>
        </w:trPr>
        <w:tc>
          <w:tcPr>
            <w:tcW w:w="82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above)</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457</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371</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6"/>
        </w:trPr>
        <w:tc>
          <w:tcPr>
            <w:tcW w:w="8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 ===</w:t>
            </w:r>
          </w:p>
        </w:tc>
        <w:tc>
          <w:tcPr>
            <w:tcW w:w="22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9"/>
              </w:rPr>
              <w:t>======== ===</w:t>
            </w:r>
          </w:p>
        </w:tc>
        <w:tc>
          <w:tcPr>
            <w:tcW w:w="160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PROFIT: Building products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w:t>
            </w:r>
          </w:p>
        </w:tc>
        <w:tc>
          <w:tcPr>
            <w:tcW w:w="5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346</w:t>
            </w:r>
          </w:p>
        </w:tc>
        <w:tc>
          <w:tcPr>
            <w:tcW w:w="500" w:type="dxa"/>
            <w:vAlign w:val="bottom"/>
          </w:tcPr>
          <w:p>
            <w:pPr>
              <w:spacing w:after="0"/>
              <w:rPr>
                <w:sz w:val="15"/>
                <w:szCs w:val="15"/>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636</w:t>
            </w:r>
          </w:p>
        </w:tc>
        <w:tc>
          <w:tcPr>
            <w:tcW w:w="5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562</w:t>
            </w:r>
          </w:p>
        </w:tc>
        <w:tc>
          <w:tcPr>
            <w:tcW w:w="34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Pulp</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34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Settlements, charges and other</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unusual items, net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General corporate and other</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expense, net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34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Interest, net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34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r>
      <w:tr>
        <w:trPr>
          <w:trHeight w:val="352"/>
        </w:trPr>
        <w:tc>
          <w:tcPr>
            <w:tcW w:w="820" w:type="dxa"/>
            <w:vAlign w:val="bottom"/>
          </w:tcPr>
          <w:p>
            <w:pPr>
              <w:spacing w:after="0"/>
              <w:rPr>
                <w:sz w:val="24"/>
                <w:szCs w:val="24"/>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Income (loss) before taxes,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76"/>
        </w:trPr>
        <w:tc>
          <w:tcPr>
            <w:tcW w:w="820" w:type="dxa"/>
            <w:vAlign w:val="bottom"/>
          </w:tcPr>
          <w:p>
            <w:pPr>
              <w:spacing w:after="0"/>
              <w:rPr>
                <w:sz w:val="15"/>
                <w:szCs w:val="15"/>
                <w:color w:val="auto"/>
              </w:rPr>
            </w:pPr>
          </w:p>
        </w:tc>
        <w:tc>
          <w:tcPr>
            <w:tcW w:w="3020" w:type="dxa"/>
            <w:vAlign w:val="bottom"/>
          </w:tcPr>
          <w:p>
            <w:pPr>
              <w:ind w:left="640"/>
              <w:spacing w:after="0"/>
              <w:rPr>
                <w:sz w:val="20"/>
                <w:szCs w:val="20"/>
                <w:color w:val="auto"/>
              </w:rPr>
            </w:pPr>
            <w:r>
              <w:rPr>
                <w:rFonts w:ascii="Courier New" w:cs="Courier New" w:eastAsia="Courier New" w:hAnsi="Courier New"/>
                <w:sz w:val="15"/>
                <w:szCs w:val="15"/>
                <w:color w:val="auto"/>
              </w:rPr>
              <w:t>minority interest and</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20" w:type="dxa"/>
            <w:vAlign w:val="bottom"/>
          </w:tcPr>
          <w:p>
            <w:pPr>
              <w:ind w:left="640"/>
              <w:spacing w:after="0"/>
              <w:rPr>
                <w:sz w:val="20"/>
                <w:szCs w:val="20"/>
                <w:color w:val="auto"/>
              </w:rPr>
            </w:pPr>
            <w:r>
              <w:rPr>
                <w:rFonts w:ascii="Courier New" w:cs="Courier New" w:eastAsia="Courier New" w:hAnsi="Courier New"/>
                <w:sz w:val="15"/>
                <w:szCs w:val="15"/>
                <w:color w:val="auto"/>
              </w:rPr>
              <w:t>accounting changes (1)</w:t>
            </w:r>
          </w:p>
        </w:tc>
        <w:tc>
          <w:tcPr>
            <w:tcW w:w="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46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(327)</w:t>
            </w:r>
          </w:p>
        </w:tc>
        <w:tc>
          <w:tcPr>
            <w:tcW w:w="5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500" w:type="dxa"/>
            <w:vAlign w:val="bottom"/>
          </w:tcPr>
          <w:p>
            <w:pPr>
              <w:spacing w:after="0"/>
              <w:rPr>
                <w:sz w:val="15"/>
                <w:szCs w:val="15"/>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560</w:t>
            </w:r>
          </w:p>
        </w:tc>
        <w:tc>
          <w:tcPr>
            <w:tcW w:w="5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428</w:t>
            </w:r>
          </w:p>
        </w:tc>
        <w:tc>
          <w:tcPr>
            <w:tcW w:w="34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46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spacing w:after="0"/>
              <w:rPr>
                <w:sz w:val="15"/>
                <w:szCs w:val="15"/>
                <w:color w:val="auto"/>
              </w:rPr>
            </w:pP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r>
      <w:tr>
        <w:trPr>
          <w:trHeight w:val="352"/>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SUMMARY OF PRODUCTION VOLUMES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52"/>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OSB, million square feet 3/8" basis</w:t>
            </w:r>
          </w:p>
        </w:tc>
        <w:tc>
          <w:tcPr>
            <w:tcW w:w="28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4,008</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3,445</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3,404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3,100</w:t>
            </w:r>
          </w:p>
        </w:tc>
        <w:tc>
          <w:tcPr>
            <w:tcW w:w="340" w:type="dxa"/>
            <w:vAlign w:val="bottom"/>
          </w:tcPr>
          <w:p>
            <w:pPr>
              <w:spacing w:after="0"/>
              <w:rPr>
                <w:sz w:val="24"/>
                <w:szCs w:val="24"/>
                <w:color w:val="auto"/>
              </w:rPr>
            </w:pP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Softwood plywood, million</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3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square feet 3/8" basis</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1,613</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1,466</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1,604</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1,507</w:t>
            </w:r>
          </w:p>
        </w:tc>
        <w:tc>
          <w:tcPr>
            <w:tcW w:w="340" w:type="dxa"/>
            <w:vAlign w:val="bottom"/>
          </w:tcPr>
          <w:p>
            <w:pPr>
              <w:spacing w:after="0"/>
              <w:rPr>
                <w:sz w:val="15"/>
                <w:szCs w:val="15"/>
                <w:color w:val="auto"/>
              </w:rPr>
            </w:pP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Lumber, million board feet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1,240</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1,201</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1,359</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1,986</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1,796</w:t>
            </w:r>
          </w:p>
        </w:tc>
        <w:tc>
          <w:tcPr>
            <w:tcW w:w="340" w:type="dxa"/>
            <w:vAlign w:val="bottom"/>
          </w:tcPr>
          <w:p>
            <w:pPr>
              <w:spacing w:after="0"/>
              <w:rPr>
                <w:sz w:val="15"/>
                <w:szCs w:val="15"/>
                <w:color w:val="auto"/>
              </w:rPr>
            </w:pP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Industrial panel products</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3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(particleboard, medium density</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3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fiberboard and hardboard),</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3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million square feet 3/4" basis</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589</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580</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582</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597</w:t>
            </w:r>
          </w:p>
        </w:tc>
        <w:tc>
          <w:tcPr>
            <w:tcW w:w="340" w:type="dxa"/>
            <w:vAlign w:val="bottom"/>
          </w:tcPr>
          <w:p>
            <w:pPr>
              <w:spacing w:after="0"/>
              <w:rPr>
                <w:sz w:val="15"/>
                <w:szCs w:val="15"/>
                <w:color w:val="auto"/>
              </w:rPr>
            </w:pP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Engineered I-Joists,</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3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million lineal feet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Laminated veneer lumber,</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3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thousand cubic feet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5,800</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3,900</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6"/>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Pulp, thousand short tons</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377</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439</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486</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w:t>
            </w:r>
          </w:p>
        </w:tc>
        <w:tc>
          <w:tcPr>
            <w:tcW w:w="340" w:type="dxa"/>
            <w:vAlign w:val="bottom"/>
          </w:tcPr>
          <w:p>
            <w:pPr>
              <w:spacing w:after="0"/>
              <w:rPr>
                <w:sz w:val="15"/>
                <w:szCs w:val="15"/>
                <w:color w:val="auto"/>
              </w:rPr>
            </w:pPr>
          </w:p>
        </w:tc>
      </w:tr>
      <w:tr>
        <w:trPr>
          <w:trHeight w:val="352"/>
        </w:trPr>
        <w:tc>
          <w:tcPr>
            <w:tcW w:w="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- 5 -</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520"/>
          </w:cols>
          <w:pgMar w:left="240" w:top="823" w:right="139" w:bottom="1440" w:gutter="0" w:footer="0" w:header="0"/>
        </w:sectPr>
      </w:pPr>
    </w:p>
    <w:bookmarkStart w:id="5" w:name="page6"/>
    <w:bookmarkEnd w:id="5"/>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3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1993</w:t>
            </w:r>
          </w:p>
        </w:tc>
      </w:tr>
      <w:tr>
        <w:trPr>
          <w:trHeight w:val="176"/>
        </w:trPr>
        <w:tc>
          <w:tcPr>
            <w:tcW w:w="16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5"/>
                <w:szCs w:val="15"/>
                <w:color w:val="auto"/>
              </w:rPr>
            </w:pP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INDUSTRY PRODUCT PRICE TRENDS (2)</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2"/>
        </w:trPr>
        <w:tc>
          <w:tcPr>
            <w:tcW w:w="1680" w:type="dxa"/>
            <w:vAlign w:val="bottom"/>
          </w:tcPr>
          <w:p>
            <w:pPr>
              <w:spacing w:after="0"/>
              <w:rPr>
                <w:sz w:val="20"/>
                <w:szCs w:val="20"/>
                <w:color w:val="auto"/>
              </w:rPr>
            </w:pPr>
            <w:r>
              <w:rPr>
                <w:rFonts w:ascii="Courier New" w:cs="Courier New" w:eastAsia="Courier New" w:hAnsi="Courier New"/>
                <w:sz w:val="15"/>
                <w:szCs w:val="15"/>
                <w:color w:val="auto"/>
              </w:rPr>
              <w:t>OSB, MSF, 7/16" --</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24/16 span</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3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rating (North Central price)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245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236</w:t>
            </w:r>
          </w:p>
        </w:tc>
      </w:tr>
      <w:tr>
        <w:trPr>
          <w:trHeight w:val="17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Southern pine plywood,</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MSF, 1/2" CDX (3 ply)</w:t>
            </w:r>
          </w:p>
        </w:tc>
        <w:tc>
          <w:tcPr>
            <w:tcW w:w="42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258</w:t>
            </w:r>
          </w:p>
        </w:tc>
        <w:tc>
          <w:tcPr>
            <w:tcW w:w="26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303</w:t>
            </w:r>
          </w:p>
        </w:tc>
        <w:tc>
          <w:tcPr>
            <w:tcW w:w="2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302</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282</w:t>
            </w:r>
          </w:p>
        </w:tc>
      </w:tr>
      <w:tr>
        <w:trPr>
          <w:trHeight w:val="17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Framing lumber, composite</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prices, MBF</w:t>
            </w:r>
          </w:p>
        </w:tc>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417</w:t>
            </w:r>
          </w:p>
        </w:tc>
        <w:tc>
          <w:tcPr>
            <w:tcW w:w="28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398</w:t>
            </w:r>
          </w:p>
        </w:tc>
        <w:tc>
          <w:tcPr>
            <w:tcW w:w="26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337</w:t>
            </w:r>
          </w:p>
        </w:tc>
        <w:tc>
          <w:tcPr>
            <w:tcW w:w="2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405</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394</w:t>
            </w:r>
          </w:p>
        </w:tc>
      </w:tr>
      <w:tr>
        <w:trPr>
          <w:trHeight w:val="17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Industrial particleboard,</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3/4" basis, MSF</w:t>
            </w:r>
          </w:p>
        </w:tc>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262</w:t>
            </w:r>
          </w:p>
        </w:tc>
        <w:tc>
          <w:tcPr>
            <w:tcW w:w="28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276</w:t>
            </w:r>
          </w:p>
        </w:tc>
        <w:tc>
          <w:tcPr>
            <w:tcW w:w="26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290</w:t>
            </w:r>
          </w:p>
        </w:tc>
        <w:tc>
          <w:tcPr>
            <w:tcW w:w="2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295</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258</w:t>
            </w:r>
          </w:p>
        </w:tc>
      </w:tr>
      <w:tr>
        <w:trPr>
          <w:trHeight w:val="352"/>
        </w:trPr>
        <w:tc>
          <w:tcPr>
            <w:tcW w:w="1680" w:type="dxa"/>
            <w:vAlign w:val="bottom"/>
          </w:tcPr>
          <w:p>
            <w:pPr>
              <w:spacing w:after="0"/>
              <w:rPr>
                <w:sz w:val="20"/>
                <w:szCs w:val="20"/>
                <w:color w:val="auto"/>
              </w:rPr>
            </w:pPr>
            <w:r>
              <w:rPr>
                <w:rFonts w:ascii="Courier New" w:cs="Courier New" w:eastAsia="Courier New" w:hAnsi="Courier New"/>
                <w:sz w:val="15"/>
                <w:szCs w:val="15"/>
                <w:color w:val="auto"/>
              </w:rPr>
              <w:t>LOGS BY SOURCE (3)</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2"/>
        </w:trPr>
        <w:tc>
          <w:tcPr>
            <w:tcW w:w="1680" w:type="dxa"/>
            <w:vAlign w:val="bottom"/>
          </w:tcPr>
          <w:p>
            <w:pPr>
              <w:spacing w:after="0"/>
              <w:rPr>
                <w:sz w:val="20"/>
                <w:szCs w:val="20"/>
                <w:color w:val="auto"/>
              </w:rPr>
            </w:pPr>
            <w:r>
              <w:rPr>
                <w:rFonts w:ascii="Courier New" w:cs="Courier New" w:eastAsia="Courier New" w:hAnsi="Courier New"/>
                <w:sz w:val="15"/>
                <w:szCs w:val="15"/>
                <w:color w:val="auto"/>
              </w:rPr>
              <w:t>Fee owned lands</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24"/>
                <w:szCs w:val="24"/>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24"/>
                <w:szCs w:val="24"/>
                <w:color w:val="auto"/>
              </w:rPr>
            </w:pPr>
          </w:p>
        </w:tc>
        <w:tc>
          <w:tcPr>
            <w:tcW w:w="13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w:t>
            </w:r>
          </w:p>
        </w:tc>
        <w:tc>
          <w:tcPr>
            <w:tcW w:w="28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w:t>
            </w:r>
          </w:p>
        </w:tc>
      </w:tr>
      <w:tr>
        <w:trPr>
          <w:trHeight w:val="17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Private cutting contracts</w:t>
            </w:r>
          </w:p>
        </w:tc>
        <w:tc>
          <w:tcPr>
            <w:tcW w:w="42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w:t>
            </w:r>
          </w:p>
        </w:tc>
      </w:tr>
      <w:tr>
        <w:trPr>
          <w:trHeight w:val="17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Government contracts</w:t>
            </w:r>
          </w:p>
        </w:tc>
        <w:tc>
          <w:tcPr>
            <w:tcW w:w="42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9</w:t>
            </w:r>
          </w:p>
        </w:tc>
        <w:tc>
          <w:tcPr>
            <w:tcW w:w="2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w:t>
            </w:r>
          </w:p>
        </w:tc>
      </w:tr>
      <w:tr>
        <w:trPr>
          <w:trHeight w:val="176"/>
        </w:trPr>
        <w:tc>
          <w:tcPr>
            <w:tcW w:w="1680" w:type="dxa"/>
            <w:vAlign w:val="bottom"/>
          </w:tcPr>
          <w:p>
            <w:pPr>
              <w:spacing w:after="0"/>
              <w:rPr>
                <w:sz w:val="20"/>
                <w:szCs w:val="20"/>
                <w:color w:val="auto"/>
              </w:rPr>
            </w:pPr>
            <w:r>
              <w:rPr>
                <w:rFonts w:ascii="Courier New" w:cs="Courier New" w:eastAsia="Courier New" w:hAnsi="Courier New"/>
                <w:sz w:val="15"/>
                <w:szCs w:val="15"/>
                <w:color w:val="auto"/>
              </w:rPr>
              <w:t>Purchased logs</w:t>
            </w:r>
          </w:p>
        </w:tc>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60</w:t>
            </w:r>
          </w:p>
        </w:tc>
        <w:tc>
          <w:tcPr>
            <w:tcW w:w="28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66</w:t>
            </w:r>
          </w:p>
        </w:tc>
        <w:tc>
          <w:tcPr>
            <w:tcW w:w="2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67</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63</w:t>
            </w:r>
          </w:p>
        </w:tc>
      </w:tr>
      <w:tr>
        <w:trPr>
          <w:trHeight w:val="176"/>
        </w:trPr>
        <w:tc>
          <w:tcPr>
            <w:tcW w:w="1680" w:type="dxa"/>
            <w:vAlign w:val="bottom"/>
          </w:tcPr>
          <w:p>
            <w:pPr>
              <w:spacing w:after="0"/>
              <w:rPr>
                <w:sz w:val="20"/>
                <w:szCs w:val="20"/>
                <w:color w:val="auto"/>
              </w:rPr>
            </w:pPr>
            <w:r>
              <w:rPr>
                <w:rFonts w:ascii="Courier New" w:cs="Courier New" w:eastAsia="Courier New" w:hAnsi="Courier New"/>
                <w:sz w:val="15"/>
                <w:szCs w:val="15"/>
                <w:color w:val="auto"/>
              </w:rPr>
              <w:t>Total log volume -</w:t>
            </w:r>
          </w:p>
        </w:tc>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million board feet</w:t>
            </w:r>
          </w:p>
        </w:tc>
        <w:tc>
          <w:tcPr>
            <w:tcW w:w="42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2,398</w:t>
            </w:r>
          </w:p>
        </w:tc>
        <w:tc>
          <w:tcPr>
            <w:tcW w:w="28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2,432</w:t>
            </w:r>
          </w:p>
        </w:tc>
        <w:tc>
          <w:tcPr>
            <w:tcW w:w="26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2,818</w:t>
            </w:r>
          </w:p>
        </w:tc>
        <w:tc>
          <w:tcPr>
            <w:tcW w:w="2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3,138</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2,940</w:t>
            </w:r>
          </w:p>
        </w:tc>
      </w:tr>
    </w:tbl>
    <w:p>
      <w:pPr>
        <w:spacing w:after="0" w:line="200" w:lineRule="exact"/>
        <w:rPr>
          <w:sz w:val="20"/>
          <w:szCs w:val="20"/>
          <w:color w:val="auto"/>
        </w:rPr>
      </w:pPr>
    </w:p>
    <w:p>
      <w:pPr>
        <w:spacing w:after="0" w:line="3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546" w:hanging="546"/>
        <w:spacing w:after="0"/>
        <w:tabs>
          <w:tab w:leader="none" w:pos="5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cumulative effects of accounting changes in 1993.</w:t>
      </w:r>
    </w:p>
    <w:p>
      <w:pPr>
        <w:spacing w:after="0" w:line="182" w:lineRule="exact"/>
        <w:rPr>
          <w:rFonts w:ascii="Courier New" w:cs="Courier New" w:eastAsia="Courier New" w:hAnsi="Courier New"/>
          <w:sz w:val="15"/>
          <w:szCs w:val="15"/>
          <w:color w:val="auto"/>
        </w:rPr>
      </w:pPr>
    </w:p>
    <w:p>
      <w:pPr>
        <w:ind w:left="546" w:right="4040" w:hanging="546"/>
        <w:spacing w:after="0" w:line="250" w:lineRule="auto"/>
        <w:tabs>
          <w:tab w:leader="none" w:pos="5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represent yearly averages stated in dollars per thousand board feet (MBF), thousand square feet (MSF) or short ton. Source: Random Lengths.</w:t>
      </w:r>
    </w:p>
    <w:p>
      <w:pPr>
        <w:spacing w:after="0" w:line="174"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Stated as a percent of total log volume.</w:t>
      </w:r>
    </w:p>
    <w:p>
      <w:pPr>
        <w:spacing w:after="0" w:line="359" w:lineRule="exact"/>
        <w:rPr>
          <w:sz w:val="20"/>
          <w:szCs w:val="20"/>
          <w:color w:val="auto"/>
        </w:rPr>
      </w:pPr>
    </w:p>
    <w:p>
      <w:pPr>
        <w:ind w:left="6" w:right="4040"/>
        <w:spacing w:after="0" w:line="250" w:lineRule="auto"/>
        <w:rPr>
          <w:sz w:val="20"/>
          <w:szCs w:val="20"/>
          <w:color w:val="auto"/>
        </w:rPr>
      </w:pPr>
      <w:r>
        <w:rPr>
          <w:rFonts w:ascii="Courier New" w:cs="Courier New" w:eastAsia="Courier New" w:hAnsi="Courier New"/>
          <w:sz w:val="15"/>
          <w:szCs w:val="15"/>
          <w:color w:val="auto"/>
        </w:rPr>
        <w:t>SEE ADDITIONAL INFORMATION REGARDING INDUSTRY SEGMENTS IN THE NOTES TO FINANCIAL STATEMENTS IN ITEM 8.</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1366"/>
          </w:cols>
          <w:pgMar w:left="234" w:top="647" w:right="299" w:bottom="1440" w:gutter="0" w:footer="0" w:header="0"/>
        </w:sectPr>
      </w:pPr>
    </w:p>
    <w:bookmarkStart w:id="6" w:name="page7"/>
    <w:bookmarkEnd w:id="6"/>
    <w:p>
      <w:pPr>
        <w:spacing w:after="0"/>
        <w:tabs>
          <w:tab w:leader="none" w:pos="9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following tables list the principal facilities of the registrant and its subsidiaries. Information on production capacities reflects normal operating rates and normal production mixes under current market conditions, taking into account known constraints such as log supply. Unless otherwise noted, capacities are in millions of units.</w:t>
      </w:r>
    </w:p>
    <w:p>
      <w:pPr>
        <w:spacing w:after="0" w:line="35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MANUFACTURING FACILITIES</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SAWMILLS</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METRIC 1)</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NORMAL 2)</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(BOARD FEET, 2 SHIFTS, 5 DAYS; *1 SHIFT, 5 DAYS)</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CAPACITIES</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CAPACITIES</w:t>
            </w:r>
          </w:p>
        </w:tc>
      </w:tr>
      <w:tr>
        <w:trPr>
          <w:trHeight w:val="352"/>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WESTERN LUMBER (14 plants)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Annette, AK</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Belgrade, MT</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Big Lagoon, CA</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Chilco, ID</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205</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Deer Lodge, MT (3 shifts)</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155</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Deer Lodge, MT (fingerjoint)</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Fort Bragg, CA</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115</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Ketchikan, AK</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Moyie Springs, ID (3 shifts)</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Samoa, CA</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165</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Sandpoint, ID (remanufacturing)</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Saratoga, WY</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Tacoma, WA</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Ukiah, CA</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165</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r>
      <w:tr>
        <w:trPr>
          <w:trHeight w:val="352"/>
        </w:trPr>
        <w:tc>
          <w:tcPr>
            <w:tcW w:w="4480" w:type="dxa"/>
            <w:vAlign w:val="bottom"/>
          </w:tcPr>
          <w:p>
            <w:pPr>
              <w:spacing w:after="0"/>
              <w:rPr>
                <w:sz w:val="20"/>
                <w:szCs w:val="20"/>
                <w:color w:val="auto"/>
              </w:rPr>
            </w:pPr>
            <w:r>
              <w:rPr>
                <w:rFonts w:ascii="Courier New" w:cs="Courier New" w:eastAsia="Courier New" w:hAnsi="Courier New"/>
                <w:sz w:val="15"/>
                <w:szCs w:val="15"/>
                <w:color w:val="auto"/>
              </w:rPr>
              <w:t>SOUTHERN LUMBER (15 plants)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Bernice, LA</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Bon Wier, TX</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Cleveland, TX</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Eatonton, GA</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Evergreen, AL</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Hattiesburg, MS</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Henderson, NC</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Jasper, TX</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Kountze, TX</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Lockhart, AL</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Marianna, FL</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New Waverly, TX</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Philadelphia, MS</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Statesboro, GA</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West Bay, FL</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r>
      <w:tr>
        <w:trPr>
          <w:trHeight w:val="176"/>
        </w:trPr>
        <w:tc>
          <w:tcPr>
            <w:tcW w:w="4480" w:type="dxa"/>
            <w:vAlign w:val="bottom"/>
          </w:tcPr>
          <w:p>
            <w:pPr>
              <w:spacing w:after="0"/>
              <w:rPr>
                <w:sz w:val="15"/>
                <w:szCs w:val="15"/>
                <w:color w:val="auto"/>
              </w:rPr>
            </w:pP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Lumber Capacity (29 plants)</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2,560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1,560</w:t>
            </w:r>
          </w:p>
        </w:tc>
      </w:tr>
      <w:tr>
        <w:trPr>
          <w:trHeight w:val="176"/>
        </w:trPr>
        <w:tc>
          <w:tcPr>
            <w:tcW w:w="4480" w:type="dxa"/>
            <w:vAlign w:val="bottom"/>
          </w:tcPr>
          <w:p>
            <w:pPr>
              <w:spacing w:after="0"/>
              <w:rPr>
                <w:sz w:val="15"/>
                <w:szCs w:val="15"/>
                <w:color w:val="auto"/>
              </w:rPr>
            </w:pP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480" w:type="dxa"/>
            <w:vAlign w:val="bottom"/>
          </w:tcPr>
          <w:p>
            <w:pPr>
              <w:ind w:left="3480"/>
              <w:spacing w:after="0"/>
              <w:rPr>
                <w:sz w:val="20"/>
                <w:szCs w:val="20"/>
                <w:color w:val="auto"/>
              </w:rPr>
            </w:pPr>
            <w:r>
              <w:rPr>
                <w:rFonts w:ascii="Courier New" w:cs="Courier New" w:eastAsia="Courier New" w:hAnsi="Courier New"/>
                <w:sz w:val="15"/>
                <w:szCs w:val="15"/>
                <w:color w:val="auto"/>
              </w:rPr>
              <w:t>- 7 -</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2"/>
          </w:tcPr>
          <w:p>
            <w:pPr>
              <w:ind w:left="2560"/>
              <w:spacing w:after="0"/>
              <w:rPr>
                <w:sz w:val="20"/>
                <w:szCs w:val="20"/>
                <w:color w:val="auto"/>
              </w:rPr>
            </w:pPr>
            <w:r>
              <w:rPr>
                <w:rFonts w:ascii="Courier New" w:cs="Courier New" w:eastAsia="Courier New" w:hAnsi="Courier New"/>
                <w:sz w:val="15"/>
                <w:szCs w:val="15"/>
                <w:color w:val="auto"/>
              </w:rPr>
              <w:t>MANUFACTURING FACILITIES</w:t>
            </w:r>
          </w:p>
        </w:tc>
        <w:tc>
          <w:tcPr>
            <w:tcW w:w="1140" w:type="dxa"/>
            <w:vAlign w:val="bottom"/>
          </w:tcPr>
          <w:p>
            <w:pPr>
              <w:spacing w:after="0"/>
              <w:rPr>
                <w:sz w:val="14"/>
                <w:szCs w:val="14"/>
                <w:color w:val="auto"/>
              </w:rPr>
            </w:pP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PANEL PRODUCTS PLANTS</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SOFTWOOD PLYWOOD PLANTS</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METRIC 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METRIC 2)</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(3/8-INCH BASIS, SQUARE FEET, 2 SHIFTS, 5 DAYS)</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CAPACITIES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CAPACITIES</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Bon Wier, TX</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Cleveland, TX</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Logansport, LA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New Waverly, TX</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Urania, LA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Total Softwood Plywood Capacity (5 plants)</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1,270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ORIENTED STRAND BOARD PANEL PLANTS</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(3/8-INCH BASIS, SQUARE FEET, 3 SHIFTS,7 DAYS)</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Athens, GA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295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Carthage, TX (under construction)</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Corrigan, TX</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Dawson Creek, B.C. Canada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Hanceville, AL</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Hayward, WI (2 plants)</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445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Houlton, ME</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Jasper, TX</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Montrose, CO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Roxboro, 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Sagola, MI</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Silsbee, TX</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Swan Valley, MB, Canada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Waterford, Ireland</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Total OSB Capacity (15 plants)</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4,300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4,840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ORIENTED STRAND BOARD SIDING PLANTS</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(3/8-INCH BASIS, SQUARE FEET, 3 SHIFTS, 7 DAYS)</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Newberry, MI</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Tomahawk, WI</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Two Harbors, MN</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Total OSB Siding Capacity (3 plants)</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MEDIUM DENSITY FIBERBOARD PLANTS</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(3/4-INCH BASIS, SQUARE FEET, 3 SHIFTS, 7 DAYS)</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Eufaula, AL</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Oroville, CA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Urania, LA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Total MDF Capacity (3 plants)</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PARTICLEBOARD PLANTS</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(3/4-INCH BASIS, SQUARE FEET, 3 SHIFTS, 7 DAYS)</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Arcata, CA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Missoula, MT</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275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Silsbee, TX</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Total Particleboard Capacity (3 plants)</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HARDBOARD PLANT</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440" w:type="dxa"/>
            <w:vAlign w:val="bottom"/>
          </w:tcPr>
          <w:p>
            <w:pPr>
              <w:spacing w:after="0"/>
              <w:rPr>
                <w:sz w:val="20"/>
                <w:szCs w:val="20"/>
                <w:color w:val="auto"/>
              </w:rPr>
            </w:pPr>
            <w:r>
              <w:rPr>
                <w:rFonts w:ascii="Courier New" w:cs="Courier New" w:eastAsia="Courier New" w:hAnsi="Courier New"/>
                <w:sz w:val="15"/>
                <w:szCs w:val="15"/>
                <w:color w:val="auto"/>
              </w:rPr>
              <w:t>(1/8-INCH BASIS, SQUARE FEET, 3 SHIFTS, 7 DAYS)</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2"/>
        </w:trPr>
        <w:tc>
          <w:tcPr>
            <w:tcW w:w="4440" w:type="dxa"/>
            <w:vAlign w:val="bottom"/>
          </w:tcPr>
          <w:p>
            <w:pPr>
              <w:spacing w:after="0"/>
              <w:rPr>
                <w:sz w:val="20"/>
                <w:szCs w:val="20"/>
                <w:color w:val="auto"/>
              </w:rPr>
            </w:pPr>
            <w:r>
              <w:rPr>
                <w:rFonts w:ascii="Courier New" w:cs="Courier New" w:eastAsia="Courier New" w:hAnsi="Courier New"/>
                <w:sz w:val="15"/>
                <w:szCs w:val="15"/>
                <w:color w:val="auto"/>
              </w:rPr>
              <w:t>Oroville, CA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6"/>
        </w:trPr>
        <w:tc>
          <w:tcPr>
            <w:tcW w:w="4440" w:type="dxa"/>
            <w:vAlign w:val="bottom"/>
          </w:tcPr>
          <w:p>
            <w:pPr>
              <w:spacing w:after="0"/>
              <w:rPr>
                <w:sz w:val="15"/>
                <w:szCs w:val="15"/>
                <w:color w:val="auto"/>
              </w:rPr>
            </w:pP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ind w:left="3480"/>
              <w:spacing w:after="0"/>
              <w:rPr>
                <w:sz w:val="20"/>
                <w:szCs w:val="20"/>
                <w:color w:val="auto"/>
              </w:rPr>
            </w:pPr>
            <w:r>
              <w:rPr>
                <w:rFonts w:ascii="Courier New" w:cs="Courier New" w:eastAsia="Courier New" w:hAnsi="Courier New"/>
                <w:sz w:val="15"/>
                <w:szCs w:val="15"/>
                <w:color w:val="auto"/>
              </w:rPr>
              <w:t>- 8 -</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8" w:name="page9"/>
    <w:bookmarkEnd w:id="8"/>
    <w:p>
      <w:pPr>
        <w:ind w:left="2560"/>
        <w:spacing w:after="0"/>
        <w:rPr>
          <w:sz w:val="20"/>
          <w:szCs w:val="20"/>
          <w:color w:val="auto"/>
        </w:rPr>
      </w:pPr>
      <w:r>
        <w:rPr>
          <w:rFonts w:ascii="Courier New" w:cs="Courier New" w:eastAsia="Courier New" w:hAnsi="Courier New"/>
          <w:sz w:val="15"/>
          <w:szCs w:val="15"/>
          <w:color w:val="auto"/>
        </w:rPr>
        <w:t>MANUFACTURING FACILITIES</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BUILDING PRODUCTS</w:t>
            </w: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HARDWOOD VENEER PLANTS</w:t>
            </w:r>
          </w:p>
        </w:tc>
        <w:tc>
          <w:tcPr>
            <w:tcW w:w="142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NORMAL 2)</w:t>
            </w:r>
          </w:p>
        </w:tc>
      </w:tr>
      <w:tr>
        <w:trPr>
          <w:trHeight w:val="176"/>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(SURFACE MEASURE, SQUARE FEET, 2 SHIFTS, 5 DAYS)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CAPACITIES</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Mellen, WI (2 plants)</w:t>
            </w:r>
          </w:p>
        </w:tc>
        <w:tc>
          <w:tcPr>
            <w:tcW w:w="1420" w:type="dxa"/>
            <w:vAlign w:val="bottom"/>
          </w:tcPr>
          <w:p>
            <w:pPr>
              <w:spacing w:after="0"/>
              <w:rPr>
                <w:sz w:val="24"/>
                <w:szCs w:val="24"/>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250</w:t>
            </w:r>
          </w:p>
        </w:tc>
      </w:tr>
      <w:tr>
        <w:trPr>
          <w:trHeight w:val="176"/>
        </w:trPr>
        <w:tc>
          <w:tcPr>
            <w:tcW w:w="4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I-JOIST PLANTS</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(LINEAL FEET; 1 SHIFT, 5 DAYS)</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Fernley, NV</w:t>
            </w:r>
          </w:p>
        </w:tc>
        <w:tc>
          <w:tcPr>
            <w:tcW w:w="1420" w:type="dxa"/>
            <w:vAlign w:val="bottom"/>
          </w:tcPr>
          <w:p>
            <w:pPr>
              <w:spacing w:after="0"/>
              <w:rPr>
                <w:sz w:val="24"/>
                <w:szCs w:val="24"/>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Hines, OR</w:t>
            </w: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Red Bluff, CA</w:t>
            </w: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Wilmington, NC</w:t>
            </w: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w:t>
            </w:r>
          </w:p>
        </w:tc>
      </w:tr>
      <w:tr>
        <w:trPr>
          <w:trHeight w:val="176"/>
        </w:trPr>
        <w:tc>
          <w:tcPr>
            <w:tcW w:w="4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I-Joist Capacity (4 plants)</w:t>
            </w:r>
          </w:p>
        </w:tc>
        <w:tc>
          <w:tcPr>
            <w:tcW w:w="1420" w:type="dxa"/>
            <w:vAlign w:val="bottom"/>
          </w:tcPr>
          <w:p>
            <w:pPr>
              <w:spacing w:after="0"/>
              <w:rPr>
                <w:sz w:val="24"/>
                <w:szCs w:val="24"/>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87</w:t>
            </w:r>
          </w:p>
        </w:tc>
      </w:tr>
      <w:tr>
        <w:trPr>
          <w:trHeight w:val="176"/>
        </w:trPr>
        <w:tc>
          <w:tcPr>
            <w:tcW w:w="4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LAMINATED VENEER LUMBER PLANTS</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(THOUSAND CUBIC FEET; 2 SHIFTS, 7 DAYS)</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Fernley, NV</w:t>
            </w:r>
          </w:p>
        </w:tc>
        <w:tc>
          <w:tcPr>
            <w:tcW w:w="1420" w:type="dxa"/>
            <w:vAlign w:val="bottom"/>
          </w:tcPr>
          <w:p>
            <w:pPr>
              <w:spacing w:after="0"/>
              <w:rPr>
                <w:sz w:val="24"/>
                <w:szCs w:val="24"/>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1,600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Hines, OR</w:t>
            </w: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2,700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Wilmington, NC</w:t>
            </w: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1,600</w:t>
            </w:r>
          </w:p>
        </w:tc>
      </w:tr>
      <w:tr>
        <w:trPr>
          <w:trHeight w:val="176"/>
        </w:trPr>
        <w:tc>
          <w:tcPr>
            <w:tcW w:w="4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LVL Capacity (3 plants)</w:t>
            </w:r>
          </w:p>
        </w:tc>
        <w:tc>
          <w:tcPr>
            <w:tcW w:w="1420" w:type="dxa"/>
            <w:vAlign w:val="bottom"/>
          </w:tcPr>
          <w:p>
            <w:pPr>
              <w:spacing w:after="0"/>
              <w:rPr>
                <w:sz w:val="24"/>
                <w:szCs w:val="24"/>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5,900</w:t>
            </w:r>
          </w:p>
        </w:tc>
      </w:tr>
      <w:tr>
        <w:trPr>
          <w:trHeight w:val="176"/>
        </w:trPr>
        <w:tc>
          <w:tcPr>
            <w:tcW w:w="4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PULP MILLS</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METRIC 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NORMAL 2)</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(THOUSAND SHORT TONS, 3 SHIFTS, 7 DAYS)</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CAPACITIES</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CAPACITIES</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Samoa, CA</w:t>
            </w:r>
          </w:p>
        </w:tc>
        <w:tc>
          <w:tcPr>
            <w:tcW w:w="142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195</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Chetwynd, B.C. Canada</w:t>
            </w:r>
          </w:p>
        </w:tc>
        <w:tc>
          <w:tcPr>
            <w:tcW w:w="142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170</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185</w:t>
            </w:r>
          </w:p>
        </w:tc>
      </w:tr>
      <w:tr>
        <w:trPr>
          <w:trHeight w:val="176"/>
        </w:trPr>
        <w:tc>
          <w:tcPr>
            <w:tcW w:w="4080" w:type="dxa"/>
            <w:vAlign w:val="bottom"/>
          </w:tcPr>
          <w:p>
            <w:pPr>
              <w:spacing w:after="0"/>
              <w:rPr>
                <w:sz w:val="15"/>
                <w:szCs w:val="15"/>
                <w:color w:val="auto"/>
              </w:rPr>
            </w:pPr>
          </w:p>
        </w:tc>
        <w:tc>
          <w:tcPr>
            <w:tcW w:w="142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Pulp Capacity (2 plants)</w:t>
            </w:r>
          </w:p>
        </w:tc>
        <w:tc>
          <w:tcPr>
            <w:tcW w:w="142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365</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405</w:t>
            </w:r>
          </w:p>
        </w:tc>
      </w:tr>
      <w:tr>
        <w:trPr>
          <w:trHeight w:val="176"/>
        </w:trPr>
        <w:tc>
          <w:tcPr>
            <w:tcW w:w="4080" w:type="dxa"/>
            <w:vAlign w:val="bottom"/>
          </w:tcPr>
          <w:p>
            <w:pPr>
              <w:spacing w:after="0"/>
              <w:rPr>
                <w:sz w:val="15"/>
                <w:szCs w:val="15"/>
                <w:color w:val="auto"/>
              </w:rPr>
            </w:pPr>
          </w:p>
        </w:tc>
        <w:tc>
          <w:tcPr>
            <w:tcW w:w="142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ind w:left="3480"/>
              <w:spacing w:after="0"/>
              <w:rPr>
                <w:sz w:val="20"/>
                <w:szCs w:val="20"/>
                <w:color w:val="auto"/>
              </w:rPr>
            </w:pPr>
            <w:r>
              <w:rPr>
                <w:rFonts w:ascii="Courier New" w:cs="Courier New" w:eastAsia="Courier New" w:hAnsi="Courier New"/>
                <w:sz w:val="15"/>
                <w:szCs w:val="15"/>
                <w:color w:val="auto"/>
              </w:rPr>
              <w:t>- 9 -</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9" w:name="page10"/>
    <w:bookmarkEnd w:id="9"/>
    <w:p>
      <w:pPr>
        <w:ind w:left="2566"/>
        <w:spacing w:after="0"/>
        <w:rPr>
          <w:sz w:val="20"/>
          <w:szCs w:val="20"/>
          <w:color w:val="auto"/>
        </w:rPr>
      </w:pPr>
      <w:r>
        <w:rPr>
          <w:rFonts w:ascii="Courier New" w:cs="Courier New" w:eastAsia="Courier New" w:hAnsi="Courier New"/>
          <w:sz w:val="15"/>
          <w:szCs w:val="15"/>
          <w:color w:val="auto"/>
        </w:rPr>
        <w:t>MANUFACTURING FACILITIES</w:t>
      </w:r>
    </w:p>
    <w:p>
      <w:pPr>
        <w:sectPr>
          <w:pgSz w:w="11900" w:h="16838" w:orient="portrait"/>
          <w:cols w:equalWidth="0" w:num="1">
            <w:col w:w="10225"/>
          </w:cols>
          <w:pgMar w:left="234" w:top="647" w:right="1440" w:bottom="1440" w:gutter="0" w:footer="0" w:header="0"/>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OTHER MANUFACTURING FACILITIES (23 PLANTS)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Cellulose insulation plants:</w:t>
      </w: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Cement fiber shake: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Chip mills: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Coatings and chemicals: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Consumer electronics storage: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Softwood veneer plant: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Wood treating plants: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Phoenix, AZ, Vancouver,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Sacramento, CA; Atlanta, GA; Fort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Wayne, IN; Norfolk, NE; Bucyrus, OH;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 Elkwood, VA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 Bluff, 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Cleveland and Moscow, TX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 Orangeburg, SC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Oswego, 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Rogue River,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Evergreen and Lockhart, 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Marianna, FL; Statesboro, GA; New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Waverly and Silsbee, TX; Ukiah, CA</w:t>
      </w:r>
    </w:p>
    <w:p>
      <w:pPr>
        <w:spacing w:after="0" w:line="182" w:lineRule="exact"/>
        <w:rPr>
          <w:sz w:val="20"/>
          <w:szCs w:val="20"/>
          <w:color w:val="auto"/>
        </w:rPr>
      </w:pPr>
    </w:p>
    <w:p>
      <w:pPr>
        <w:sectPr>
          <w:pgSz w:w="11900" w:h="16838" w:orient="portrait"/>
          <w:cols w:equalWidth="0" w:num="2">
            <w:col w:w="3846" w:space="0"/>
            <w:col w:w="6379"/>
          </w:cols>
          <w:pgMar w:left="234" w:top="647"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DISTRIBUTION CENTERS (6 LOCATIONS)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Calpella, CA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Rocklin, CA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Salina, KS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Riverside, 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Dodge City, KS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Conroe, TX</w:t>
      </w:r>
    </w:p>
    <w:p>
      <w:pPr>
        <w:spacing w:after="0" w:line="182" w:lineRule="exact"/>
        <w:rPr>
          <w:sz w:val="20"/>
          <w:szCs w:val="20"/>
          <w:color w:val="auto"/>
        </w:rPr>
      </w:pPr>
    </w:p>
    <w:p>
      <w:pPr>
        <w:sectPr>
          <w:pgSz w:w="11900" w:h="16838" w:orient="portrait"/>
          <w:cols w:equalWidth="0" w:num="2">
            <w:col w:w="3126" w:space="720"/>
            <w:col w:w="6379"/>
          </w:cols>
          <w:pgMar w:left="234" w:top="647" w:right="1440" w:bottom="1440" w:gutter="0" w:footer="0" w:header="0"/>
          <w:type w:val="continuous"/>
        </w:sectPr>
      </w:pPr>
    </w:p>
    <w:tbl>
      <w:tblPr>
        <w:tblLayout w:type="fixed"/>
        <w:tblInd w:w="6" w:type="dxa"/>
        <w:tblCellMar>
          <w:top w:w="0" w:type="dxa"/>
          <w:left w:w="0" w:type="dxa"/>
          <w:bottom w:w="0" w:type="dxa"/>
          <w:right w:w="0" w:type="dxa"/>
        </w:tblCellMar>
      </w:tblPr>
      <w:tr>
        <w:trPr>
          <w:trHeight w:val="171"/>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TOTAL FACILITIES:</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99</w:t>
            </w: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52"/>
        </w:trPr>
        <w:tc>
          <w:tcPr>
            <w:tcW w:w="72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capacities  above are based on normal</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operating rates and</w:t>
            </w:r>
          </w:p>
        </w:tc>
      </w:tr>
      <w:tr>
        <w:trPr>
          <w:trHeight w:val="176"/>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normal production mixes.</w:t>
            </w:r>
          </w:p>
        </w:tc>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Market conditions,  the availability</w:t>
            </w:r>
          </w:p>
        </w:tc>
      </w:tr>
      <w:tr>
        <w:trPr>
          <w:trHeight w:val="176"/>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of logs,  and the  nature of current  orders can cause  actual</w:t>
            </w:r>
          </w:p>
        </w:tc>
      </w:tr>
      <w:tr>
        <w:trPr>
          <w:trHeight w:val="176"/>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production rates to vary considerably from normal rates.</w:t>
            </w:r>
          </w:p>
        </w:tc>
      </w:tr>
      <w:tr>
        <w:trPr>
          <w:trHeight w:val="352"/>
        </w:trPr>
        <w:tc>
          <w:tcPr>
            <w:tcW w:w="3940" w:type="dxa"/>
            <w:vAlign w:val="bottom"/>
            <w:gridSpan w:val="4"/>
          </w:tcPr>
          <w:p>
            <w:pPr>
              <w:spacing w:after="0"/>
              <w:rPr>
                <w:sz w:val="20"/>
                <w:szCs w:val="20"/>
                <w:color w:val="auto"/>
              </w:rPr>
            </w:pPr>
            <w:r>
              <w:rPr>
                <w:rFonts w:ascii="Courier New" w:cs="Courier New" w:eastAsia="Courier New" w:hAnsi="Courier New"/>
                <w:sz w:val="15"/>
                <w:szCs w:val="15"/>
                <w:color w:val="auto"/>
              </w:rPr>
              <w:t>TIMBERLAND HOLDINGS</w:t>
            </w: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6"/>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HECTARES</w:t>
            </w:r>
          </w:p>
        </w:tc>
        <w:tc>
          <w:tcPr>
            <w:tcW w:w="1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ACRES</w:t>
            </w:r>
          </w:p>
        </w:tc>
      </w:tr>
      <w:tr>
        <w:trPr>
          <w:trHeight w:val="176"/>
        </w:trPr>
        <w:tc>
          <w:tcPr>
            <w:tcW w:w="3940" w:type="dxa"/>
            <w:vAlign w:val="bottom"/>
            <w:gridSpan w:val="4"/>
          </w:tcPr>
          <w:p>
            <w:pPr>
              <w:spacing w:after="0"/>
              <w:rPr>
                <w:sz w:val="20"/>
                <w:szCs w:val="20"/>
                <w:color w:val="auto"/>
              </w:rPr>
            </w:pPr>
            <w:r>
              <w:rPr>
                <w:rFonts w:ascii="Courier New" w:cs="Courier New" w:eastAsia="Courier New" w:hAnsi="Courier New"/>
                <w:sz w:val="15"/>
                <w:szCs w:val="15"/>
                <w:color w:val="auto"/>
              </w:rPr>
              <w:t>California: Whitewoods, Fir, Pine, Redwood</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158,900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392,500</w:t>
            </w:r>
          </w:p>
        </w:tc>
      </w:tr>
      <w:tr>
        <w:trPr>
          <w:trHeight w:val="176"/>
        </w:trPr>
        <w:tc>
          <w:tcPr>
            <w:tcW w:w="720" w:type="dxa"/>
            <w:vAlign w:val="bottom"/>
          </w:tcPr>
          <w:p>
            <w:pPr>
              <w:spacing w:after="0"/>
              <w:rPr>
                <w:sz w:val="20"/>
                <w:szCs w:val="20"/>
                <w:color w:val="auto"/>
              </w:rPr>
            </w:pPr>
            <w:r>
              <w:rPr>
                <w:rFonts w:ascii="Courier New" w:cs="Courier New" w:eastAsia="Courier New" w:hAnsi="Courier New"/>
                <w:sz w:val="15"/>
                <w:szCs w:val="15"/>
                <w:color w:val="auto"/>
              </w:rPr>
              <w:t>Idaho:</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Fir, Pine</w:t>
            </w:r>
          </w:p>
        </w:tc>
        <w:tc>
          <w:tcPr>
            <w:tcW w:w="2380" w:type="dxa"/>
            <w:vAlign w:val="bottom"/>
          </w:tcPr>
          <w:p>
            <w:pPr>
              <w:spacing w:after="0"/>
              <w:rPr>
                <w:sz w:val="15"/>
                <w:szCs w:val="15"/>
                <w:color w:val="auto"/>
              </w:rPr>
            </w:pP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16,700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41,200</w:t>
            </w:r>
          </w:p>
        </w:tc>
      </w:tr>
      <w:tr>
        <w:trPr>
          <w:trHeight w:val="176"/>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Louisiana:</w:t>
            </w:r>
          </w:p>
        </w:tc>
        <w:tc>
          <w:tcPr>
            <w:tcW w:w="3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Pine, Hardwoods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78,700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194,500</w:t>
            </w:r>
          </w:p>
        </w:tc>
      </w:tr>
      <w:tr>
        <w:trPr>
          <w:trHeight w:val="176"/>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Minnesota:</w:t>
            </w:r>
          </w:p>
        </w:tc>
        <w:tc>
          <w:tcPr>
            <w:tcW w:w="3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Hardwoods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11,400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28,200</w:t>
            </w:r>
          </w:p>
        </w:tc>
      </w:tr>
      <w:tr>
        <w:trPr>
          <w:trHeight w:val="176"/>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North Carolina:</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Pine, Hardwoods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2,100</w:t>
            </w:r>
          </w:p>
        </w:tc>
      </w:tr>
      <w:tr>
        <w:trPr>
          <w:trHeight w:val="176"/>
        </w:trPr>
        <w:tc>
          <w:tcPr>
            <w:tcW w:w="72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3220" w:type="dxa"/>
            <w:vAlign w:val="bottom"/>
            <w:gridSpan w:val="3"/>
          </w:tcPr>
          <w:p>
            <w:pPr>
              <w:spacing w:after="0"/>
              <w:rPr>
                <w:sz w:val="20"/>
                <w:szCs w:val="20"/>
                <w:color w:val="auto"/>
              </w:rPr>
            </w:pPr>
            <w:r>
              <w:rPr>
                <w:rFonts w:ascii="Courier New" w:cs="Courier New" w:eastAsia="Courier New" w:hAnsi="Courier New"/>
                <w:sz w:val="15"/>
                <w:szCs w:val="15"/>
                <w:color w:val="auto"/>
              </w:rPr>
              <w:t>Pine, Hardwoods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283,800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701,100</w:t>
            </w:r>
          </w:p>
        </w:tc>
      </w:tr>
      <w:tr>
        <w:trPr>
          <w:trHeight w:val="176"/>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Virginia:</w:t>
            </w:r>
          </w:p>
        </w:tc>
        <w:tc>
          <w:tcPr>
            <w:tcW w:w="3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Pine, Hardwoods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5,700</w:t>
            </w:r>
          </w:p>
        </w:tc>
      </w:tr>
      <w:tr>
        <w:trPr>
          <w:trHeight w:val="176"/>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Wisconsin:</w:t>
            </w:r>
          </w:p>
        </w:tc>
        <w:tc>
          <w:tcPr>
            <w:tcW w:w="3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Hardwoods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1,500</w:t>
            </w:r>
          </w:p>
        </w:tc>
      </w:tr>
      <w:tr>
        <w:trPr>
          <w:trHeight w:val="176"/>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Wyoming:</w:t>
            </w:r>
          </w:p>
        </w:tc>
        <w:tc>
          <w:tcPr>
            <w:tcW w:w="20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Whitewoods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1,600</w:t>
            </w:r>
          </w:p>
        </w:tc>
      </w:tr>
      <w:tr>
        <w:trPr>
          <w:trHeight w:val="176"/>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15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Total Fee</w:t>
            </w:r>
          </w:p>
        </w:tc>
        <w:tc>
          <w:tcPr>
            <w:tcW w:w="2380" w:type="dxa"/>
            <w:vAlign w:val="bottom"/>
          </w:tcPr>
          <w:p>
            <w:pPr>
              <w:spacing w:after="0"/>
              <w:rPr>
                <w:sz w:val="24"/>
                <w:szCs w:val="24"/>
                <w:color w:val="auto"/>
              </w:rPr>
            </w:pP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553,900</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1,368,400</w:t>
            </w:r>
          </w:p>
        </w:tc>
      </w:tr>
      <w:tr>
        <w:trPr>
          <w:trHeight w:val="176"/>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826" w:hanging="826"/>
        <w:spacing w:after="0"/>
        <w:tabs>
          <w:tab w:leader="none" w:pos="8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Metric capacities in thousand cubic meters.</w:t>
      </w:r>
    </w:p>
    <w:p>
      <w:pPr>
        <w:spacing w:after="0" w:line="182"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capacities in millions of units unless otherwise noted.</w:t>
      </w:r>
    </w:p>
    <w:p>
      <w:pPr>
        <w:spacing w:after="0" w:line="182" w:lineRule="exact"/>
        <w:rPr>
          <w:sz w:val="20"/>
          <w:szCs w:val="20"/>
          <w:color w:val="auto"/>
        </w:rPr>
      </w:pPr>
    </w:p>
    <w:p>
      <w:pPr>
        <w:ind w:left="6"/>
        <w:spacing w:after="0"/>
        <w:tabs>
          <w:tab w:leader="none" w:pos="806" w:val="left"/>
          <w:tab w:leader="none" w:pos="4286"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See Note 7 of the Notes to Financial</w:t>
        <w:tab/>
        <w:t>Statements in Item 8 for</w:t>
      </w:r>
    </w:p>
    <w:p>
      <w:pPr>
        <w:spacing w:after="0" w:line="6" w:lineRule="exact"/>
        <w:rPr>
          <w:sz w:val="20"/>
          <w:szCs w:val="20"/>
          <w:color w:val="auto"/>
        </w:rPr>
      </w:pPr>
    </w:p>
    <w:p>
      <w:pPr>
        <w:jc w:val="both"/>
        <w:ind w:left="826" w:right="3719" w:hanging="2"/>
        <w:spacing w:after="0" w:line="249" w:lineRule="auto"/>
        <w:tabs>
          <w:tab w:leader="none" w:pos="110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discussion of an asset sale program involving certain of these timberland holdings and manufacturing facilities. The list does not include window and door manufacturing facilities subject to sale under a letter of intent.</w:t>
      </w:r>
    </w:p>
    <w:p>
      <w:pPr>
        <w:spacing w:after="0" w:line="176"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In addition to its fee-owned timberlands, the registrant has timber cutting rights in the United States, under long-term contracts (five years and over) on approximately 5,600 acres and under contracts for shorter periods on approximately 240,800 acres, on government and privately owned timberlands in the vicinities of certain of its manufacturing facilities. L-P's Canadian subsidiary is a party to long-term timber license arrangements in Canada. Information regarding the sources of the registrant's log requirements is located under the table labeled "Logs by Source" in Item 1.</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25"/>
          </w:cols>
          <w:pgMar w:left="234" w:top="647" w:right="1440" w:bottom="1440" w:gutter="0" w:footer="0" w:header="0"/>
          <w:type w:val="continuous"/>
        </w:sectPr>
      </w:pPr>
    </w:p>
    <w:bookmarkStart w:id="10" w:name="page11"/>
    <w:bookmarkEnd w:id="10"/>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For a discussion of legal and environmental matters involving L-P and the potential effect on L-P, refer to Note 8 of the Notes to Financial Statements under the heading "Contingencies" in Item 8, which is incorporated herein by reference.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No matter was submitted to a vote of the registrant's security holders during the fourth quarter of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following sets forth the name of each executive officer of the registrant (including certain executives whose duties may cause them to be classified as executive officers under applicable SEC rules), the age of the officer, and all positions and offices held with the registrant as of March 20, 1998:</w:t>
      </w:r>
    </w:p>
    <w:p>
      <w:pPr>
        <w:spacing w:after="0" w:line="176" w:lineRule="exact"/>
        <w:rPr>
          <w:sz w:val="20"/>
          <w:szCs w:val="20"/>
          <w:color w:val="auto"/>
        </w:rPr>
      </w:pPr>
    </w:p>
    <w:p>
      <w:pPr>
        <w:jc w:val="both"/>
        <w:ind w:right="2899" w:firstLine="1283"/>
        <w:spacing w:after="0" w:line="249" w:lineRule="auto"/>
        <w:rPr>
          <w:sz w:val="20"/>
          <w:szCs w:val="20"/>
          <w:color w:val="auto"/>
        </w:rPr>
      </w:pPr>
      <w:r>
        <w:rPr>
          <w:rFonts w:ascii="Courier New" w:cs="Courier New" w:eastAsia="Courier New" w:hAnsi="Courier New"/>
          <w:sz w:val="15"/>
          <w:szCs w:val="15"/>
          <w:color w:val="auto"/>
        </w:rPr>
        <w:t>Mark A. Suwyn, age 55, has served as Chairman and Chief Executive Officer of L-P since January 1996. Before joining L-P, Mr. Suwyn was Executive Vice President of International Paper Company from 1992 through 1995. Previously, Mr. Suwyn was Senior Vice President of E.I. du Pont de Nemours &amp; Co. Mr. Suwyn is also a director of the registrant.</w:t>
      </w:r>
    </w:p>
    <w:p>
      <w:pPr>
        <w:spacing w:after="0" w:line="176" w:lineRule="exact"/>
        <w:rPr>
          <w:sz w:val="20"/>
          <w:szCs w:val="20"/>
          <w:color w:val="auto"/>
        </w:rPr>
      </w:pPr>
    </w:p>
    <w:p>
      <w:pPr>
        <w:jc w:val="both"/>
        <w:ind w:right="2899" w:firstLine="1283"/>
        <w:spacing w:after="0" w:line="249" w:lineRule="auto"/>
        <w:rPr>
          <w:sz w:val="20"/>
          <w:szCs w:val="20"/>
          <w:color w:val="auto"/>
        </w:rPr>
      </w:pPr>
      <w:r>
        <w:rPr>
          <w:rFonts w:ascii="Courier New" w:cs="Courier New" w:eastAsia="Courier New" w:hAnsi="Courier New"/>
          <w:sz w:val="15"/>
          <w:szCs w:val="15"/>
          <w:color w:val="auto"/>
        </w:rPr>
        <w:t>Michael D. Hanna, age 45, joined L-P in June 1996 as Executive Vice President after serving as President of Associated Chemists, Inc., for more than five years previous.</w:t>
      </w:r>
    </w:p>
    <w:p>
      <w:pPr>
        <w:spacing w:after="0" w:line="176" w:lineRule="exact"/>
        <w:rPr>
          <w:sz w:val="20"/>
          <w:szCs w:val="20"/>
          <w:color w:val="auto"/>
        </w:rPr>
      </w:pPr>
    </w:p>
    <w:p>
      <w:pPr>
        <w:jc w:val="both"/>
        <w:ind w:right="2899" w:firstLine="1283"/>
        <w:spacing w:after="0" w:line="250" w:lineRule="auto"/>
        <w:rPr>
          <w:sz w:val="20"/>
          <w:szCs w:val="20"/>
          <w:color w:val="auto"/>
        </w:rPr>
      </w:pPr>
      <w:r>
        <w:rPr>
          <w:rFonts w:ascii="Courier New" w:cs="Courier New" w:eastAsia="Courier New" w:hAnsi="Courier New"/>
          <w:sz w:val="15"/>
          <w:szCs w:val="15"/>
          <w:color w:val="auto"/>
        </w:rPr>
        <w:t>Warren C. Easley, age 56, joined L-P as Vice President, Technology and Quality in May 1996 after serving as Technical Manager--Nylon Division, North America for E.I. du Pont de Nemours &amp; Co. for more than five years previous.</w:t>
      </w:r>
    </w:p>
    <w:p>
      <w:pPr>
        <w:spacing w:after="0" w:line="350" w:lineRule="exact"/>
        <w:rPr>
          <w:sz w:val="20"/>
          <w:szCs w:val="20"/>
          <w:color w:val="auto"/>
        </w:rPr>
      </w:pPr>
    </w:p>
    <w:p>
      <w:pPr>
        <w:jc w:val="both"/>
        <w:ind w:right="2899" w:firstLine="1283"/>
        <w:spacing w:after="0" w:line="249" w:lineRule="auto"/>
        <w:rPr>
          <w:sz w:val="20"/>
          <w:szCs w:val="20"/>
          <w:color w:val="auto"/>
        </w:rPr>
      </w:pPr>
      <w:r>
        <w:rPr>
          <w:rFonts w:ascii="Courier New" w:cs="Courier New" w:eastAsia="Courier New" w:hAnsi="Courier New"/>
          <w:sz w:val="15"/>
          <w:szCs w:val="15"/>
          <w:color w:val="auto"/>
        </w:rPr>
        <w:t>Richard W. Frost, age 46, joined L-P in May 1996 as Vice President, Timberlands and Fiber Procurement. Mr. Frost worked for S.D. Warren Company as Director of Timberlands prior to April 1992, as Vice President and Manager, Westbrook Mill, from April 1992 to September 1995, and as Vice President and General Manager, Somerset Operations for S.D. Warren Company from September 1995 to 1996.</w:t>
      </w:r>
    </w:p>
    <w:p>
      <w:pPr>
        <w:spacing w:after="0" w:line="176" w:lineRule="exact"/>
        <w:rPr>
          <w:sz w:val="20"/>
          <w:szCs w:val="20"/>
          <w:color w:val="auto"/>
        </w:rPr>
      </w:pPr>
    </w:p>
    <w:p>
      <w:pPr>
        <w:jc w:val="both"/>
        <w:ind w:right="2899" w:firstLine="1283"/>
        <w:spacing w:after="0" w:line="249" w:lineRule="auto"/>
        <w:rPr>
          <w:sz w:val="20"/>
          <w:szCs w:val="20"/>
          <w:color w:val="auto"/>
        </w:rPr>
      </w:pPr>
      <w:r>
        <w:rPr>
          <w:rFonts w:ascii="Courier New" w:cs="Courier New" w:eastAsia="Courier New" w:hAnsi="Courier New"/>
          <w:sz w:val="15"/>
          <w:szCs w:val="15"/>
          <w:color w:val="auto"/>
        </w:rPr>
        <w:t>H. Ward Hubbell, age 37, joined L-P as Director, Corporate Affairs in September 1997. Previously, Mr. Hubbell was employed by International Paper Company beginning in October 1992, first as Communications Director and then as Federal Affairs Manager. Before that, he was vice president of a Washington, D.C., public relations firm.</w:t>
      </w:r>
    </w:p>
    <w:p>
      <w:pPr>
        <w:spacing w:after="0" w:line="176" w:lineRule="exact"/>
        <w:rPr>
          <w:sz w:val="20"/>
          <w:szCs w:val="20"/>
          <w:color w:val="auto"/>
        </w:rPr>
      </w:pPr>
    </w:p>
    <w:p>
      <w:pPr>
        <w:jc w:val="both"/>
        <w:ind w:right="2899" w:firstLine="1283"/>
        <w:spacing w:after="0" w:line="249" w:lineRule="auto"/>
        <w:rPr>
          <w:sz w:val="20"/>
          <w:szCs w:val="20"/>
          <w:color w:val="auto"/>
        </w:rPr>
      </w:pPr>
      <w:r>
        <w:rPr>
          <w:rFonts w:ascii="Courier New" w:cs="Courier New" w:eastAsia="Courier New" w:hAnsi="Courier New"/>
          <w:sz w:val="15"/>
          <w:szCs w:val="15"/>
          <w:color w:val="auto"/>
        </w:rPr>
        <w:t>Karen D. Lundquist, age 42, was named Vice President, Manufacturing in January 1997. Before joining L-P, Ms. Lundquist was an executive officer and director of Rapid Change Technologies, Inc. (formerly known as Creative Breakthroughs, Inc.), from the fall of 1993 to January 1997, and served as its chief executive officer from mid-1995 to 1997. From September 1991 to October 1993, Ms. Lundquist was a plant manager with E.I. du Pont de Nemours &amp; Co.</w:t>
      </w:r>
    </w:p>
    <w:p>
      <w:pPr>
        <w:spacing w:after="0" w:line="352" w:lineRule="exact"/>
        <w:rPr>
          <w:sz w:val="20"/>
          <w:szCs w:val="20"/>
          <w:color w:val="auto"/>
        </w:rPr>
      </w:pPr>
    </w:p>
    <w:p>
      <w:pPr>
        <w:jc w:val="both"/>
        <w:ind w:right="2899" w:firstLine="1283"/>
        <w:spacing w:after="0" w:line="249" w:lineRule="auto"/>
        <w:rPr>
          <w:sz w:val="20"/>
          <w:szCs w:val="20"/>
          <w:color w:val="auto"/>
        </w:rPr>
      </w:pPr>
      <w:r>
        <w:rPr>
          <w:rFonts w:ascii="Courier New" w:cs="Courier New" w:eastAsia="Courier New" w:hAnsi="Courier New"/>
          <w:sz w:val="15"/>
          <w:szCs w:val="15"/>
          <w:color w:val="auto"/>
        </w:rPr>
        <w:t>J. Keith Matheney, age 49, joined the registrant in March 1970 and has served as Vice President, Sales and Marketing since January 26, 1997. Mr. Matheney was General Manager--Western Division from February 1996 to January 1997 after serving as General Manager--Weather-Seal Division of the registrant from May 1994 to February 1996, and as Director of Sales and Marketing for more than five years previous.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19"/>
          </w:cols>
          <w:pgMar w:left="240" w:top="470" w:right="1440" w:bottom="1440" w:gutter="0" w:footer="0" w:header="0"/>
        </w:sectPr>
      </w:pPr>
    </w:p>
    <w:bookmarkStart w:id="11" w:name="page12"/>
    <w:bookmarkEnd w:id="11"/>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Elizabeth T. Smith, age 53, became Director, Environmental Affairs of the registrant in March 1993. Ms. Smith has been employed by L-P in various positions relating to environmental management since 1987.</w:t>
      </w:r>
    </w:p>
    <w:p>
      <w:pPr>
        <w:spacing w:after="0" w:line="17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Curtis M. Stevens, age 45, was appointed as Vice President, Chief Financial Officer and Treasurer of L-P in September 1997. He previously spent 13 years as the senior financial executive of Planar Systems, Inc., a leading manufacturer and supplier of electroluminescent flat panel displays, where he was named Executive Vice President and General Manager in 1996.</w:t>
      </w:r>
    </w:p>
    <w:p>
      <w:pPr>
        <w:spacing w:after="0" w:line="17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Michael J. Tull, age 52, became Vice President, Human Resources of the registrant in May 1996. Mr. Tull was previously employed by Sharp HealthCare, a regional system of hospitals and related facilities in San Diego, California, for more than 10 years, most recently as Corporate Vice President of Employee Quality and Development beginning in 1991.</w:t>
      </w:r>
    </w:p>
    <w:p>
      <w:pPr>
        <w:spacing w:after="0" w:line="17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Gary C. Wilkerson, age 51, joined L-P as Vice President and General Counsel in September 1997. Beginning in early 1997, Mr. Wilkerson served as (acting) Senior Vice President, General Counsel and Secretary for the consumer products division of IVAX Pharmaceuticals. For the previous seven years, he was Senior Vice President, General Counsel and Secretary of Maybelline Co., a cosmetics manufacturer.</w:t>
      </w:r>
    </w:p>
    <w:p>
      <w:pPr>
        <w:spacing w:after="0" w:line="176" w:lineRule="exact"/>
        <w:rPr>
          <w:sz w:val="20"/>
          <w:szCs w:val="20"/>
          <w:color w:val="auto"/>
        </w:rPr>
      </w:pPr>
    </w:p>
    <w:p>
      <w:pPr>
        <w:jc w:val="both"/>
        <w:ind w:right="2899" w:firstLine="916"/>
        <w:spacing w:after="0" w:line="249" w:lineRule="auto"/>
        <w:rPr>
          <w:sz w:val="20"/>
          <w:szCs w:val="20"/>
          <w:color w:val="auto"/>
        </w:rPr>
      </w:pPr>
      <w:r>
        <w:rPr>
          <w:rFonts w:ascii="Courier New" w:cs="Courier New" w:eastAsia="Courier New" w:hAnsi="Courier New"/>
          <w:sz w:val="15"/>
          <w:szCs w:val="15"/>
          <w:color w:val="auto"/>
        </w:rPr>
        <w:t>All executive officers serve at the pleasure of the board of directors of L-P. Unless earlier removed by the board of directors, the officers' terms of office run until the next annual meeting of the board of directors.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920" w:right="3719" w:hanging="915"/>
        <w:spacing w:after="0" w:line="250" w:lineRule="auto"/>
        <w:tabs>
          <w:tab w:leader="none" w:pos="9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Registrant's Common Equity and Related Stockholder Matters</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common stock is listed on the New York Stock Exchange, the Dow-Jones newspaper quotations symbol is "LaPac," and the ticker symbol is "LPX." Information regarding market prices for the registrant's common stock is included in the table in Item 6 headed "High and Low Stock Prices." Holders of the registrant's common stock may automatically reinvest dividends toward purchase of additional shares of the registrant's common stock. At March 12, 1998, L-P had approximately 21,000 stockholders of record. Information regarding cash dividends paid during 1996 and 1997 is included in the table in Item 6 with respect to quarterly data.</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19"/>
          </w:cols>
          <w:pgMar w:left="240" w:top="470" w:right="1440" w:bottom="1440" w:gutter="0" w:footer="0" w:header="0"/>
        </w:sectPr>
      </w:pPr>
    </w:p>
    <w:bookmarkStart w:id="12" w:name="page13"/>
    <w:bookmarkEnd w:id="12"/>
    <w:tbl>
      <w:tblPr>
        <w:tblLayout w:type="fixed"/>
        <w:tblInd w:w="6" w:type="dxa"/>
        <w:tblCellMar>
          <w:top w:w="0" w:type="dxa"/>
          <w:left w:w="0" w:type="dxa"/>
          <w:bottom w:w="0" w:type="dxa"/>
          <w:right w:w="0" w:type="dxa"/>
        </w:tblCellMar>
      </w:tblPr>
      <w:tr>
        <w:trPr>
          <w:trHeight w:val="171"/>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52"/>
        </w:trPr>
        <w:tc>
          <w:tcPr>
            <w:tcW w:w="4300" w:type="dxa"/>
            <w:vAlign w:val="bottom"/>
            <w:gridSpan w:val="5"/>
          </w:tcPr>
          <w:p>
            <w:pPr>
              <w:spacing w:after="0"/>
              <w:rPr>
                <w:sz w:val="20"/>
                <w:szCs w:val="20"/>
                <w:color w:val="auto"/>
              </w:rPr>
            </w:pPr>
            <w:r>
              <w:rPr>
                <w:rFonts w:ascii="Courier New" w:cs="Courier New" w:eastAsia="Courier New" w:hAnsi="Courier New"/>
                <w:sz w:val="15"/>
                <w:szCs w:val="15"/>
                <w:color w:val="auto"/>
              </w:rPr>
              <w:t>DOLLAR AMOUNTS IN MILLIONS EXCEPT PER SHARE</w:t>
            </w:r>
          </w:p>
        </w:tc>
        <w:tc>
          <w:tcPr>
            <w:tcW w:w="100" w:type="dxa"/>
            <w:vAlign w:val="bottom"/>
          </w:tcPr>
          <w:p>
            <w:pPr>
              <w:spacing w:after="0"/>
              <w:rPr>
                <w:sz w:val="24"/>
                <w:szCs w:val="24"/>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4300" w:type="dxa"/>
            <w:vAlign w:val="bottom"/>
            <w:gridSpan w:val="5"/>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1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352"/>
        </w:trPr>
        <w:tc>
          <w:tcPr>
            <w:tcW w:w="2560" w:type="dxa"/>
            <w:vAlign w:val="bottom"/>
          </w:tcPr>
          <w:p>
            <w:pPr>
              <w:spacing w:after="0"/>
              <w:rPr>
                <w:sz w:val="20"/>
                <w:szCs w:val="20"/>
                <w:color w:val="auto"/>
              </w:rPr>
            </w:pPr>
            <w:r>
              <w:rPr>
                <w:rFonts w:ascii="Courier New" w:cs="Courier New" w:eastAsia="Courier New" w:hAnsi="Courier New"/>
                <w:sz w:val="15"/>
                <w:szCs w:val="15"/>
                <w:color w:val="auto"/>
              </w:rPr>
              <w:t>ANNUAL DATA</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2,486.0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2,402.5</w:t>
            </w:r>
          </w:p>
        </w:tc>
        <w:tc>
          <w:tcPr>
            <w:tcW w:w="820" w:type="dxa"/>
            <w:vAlign w:val="bottom"/>
          </w:tcPr>
          <w:p>
            <w:pPr>
              <w:spacing w:after="0"/>
              <w:rPr>
                <w:sz w:val="15"/>
                <w:szCs w:val="15"/>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(200.7)</w:t>
            </w:r>
          </w:p>
        </w:tc>
        <w:tc>
          <w:tcPr>
            <w:tcW w:w="240" w:type="dxa"/>
            <w:vAlign w:val="bottom"/>
          </w:tcPr>
          <w:p>
            <w:pPr>
              <w:spacing w:after="0"/>
              <w:rPr>
                <w:sz w:val="15"/>
                <w:szCs w:val="15"/>
                <w:color w:val="auto"/>
              </w:rPr>
            </w:pPr>
          </w:p>
        </w:tc>
        <w:tc>
          <w:tcPr>
            <w:tcW w:w="164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(101.8)</w:t>
            </w:r>
          </w:p>
        </w:tc>
      </w:tr>
      <w:tr>
        <w:trPr>
          <w:trHeight w:val="176"/>
        </w:trPr>
        <w:tc>
          <w:tcPr>
            <w:tcW w:w="4300" w:type="dxa"/>
            <w:vAlign w:val="bottom"/>
            <w:gridSpan w:val="5"/>
          </w:tcPr>
          <w:p>
            <w:pPr>
              <w:spacing w:after="0"/>
              <w:rPr>
                <w:sz w:val="20"/>
                <w:szCs w:val="20"/>
                <w:color w:val="auto"/>
              </w:rPr>
            </w:pPr>
            <w:r>
              <w:rPr>
                <w:rFonts w:ascii="Courier New" w:cs="Courier New" w:eastAsia="Courier New" w:hAnsi="Courier New"/>
                <w:sz w:val="15"/>
                <w:szCs w:val="15"/>
                <w:color w:val="auto"/>
              </w:rPr>
              <w:t>Net income (loss) per share-basic and diluted</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w:t>
            </w:r>
          </w:p>
        </w:tc>
        <w:tc>
          <w:tcPr>
            <w:tcW w:w="240" w:type="dxa"/>
            <w:vAlign w:val="bottom"/>
          </w:tcPr>
          <w:p>
            <w:pPr>
              <w:spacing w:after="0"/>
              <w:rPr>
                <w:sz w:val="15"/>
                <w:szCs w:val="15"/>
                <w:color w:val="auto"/>
              </w:rPr>
            </w:pPr>
          </w:p>
        </w:tc>
        <w:tc>
          <w:tcPr>
            <w:tcW w:w="164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(.94)</w:t>
            </w:r>
          </w:p>
        </w:tc>
      </w:tr>
      <w:tr>
        <w:trPr>
          <w:trHeight w:val="176"/>
        </w:trPr>
        <w:tc>
          <w:tcPr>
            <w:tcW w:w="4300" w:type="dxa"/>
            <w:vAlign w:val="bottom"/>
            <w:gridSpan w:val="5"/>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22.8</w:t>
            </w:r>
          </w:p>
        </w:tc>
        <w:tc>
          <w:tcPr>
            <w:tcW w:w="2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88.2</w:t>
            </w:r>
          </w:p>
        </w:tc>
        <w:tc>
          <w:tcPr>
            <w:tcW w:w="820" w:type="dxa"/>
            <w:vAlign w:val="bottom"/>
          </w:tcPr>
          <w:p>
            <w:pPr>
              <w:spacing w:after="0"/>
              <w:rPr>
                <w:sz w:val="15"/>
                <w:szCs w:val="15"/>
                <w:color w:val="auto"/>
              </w:rPr>
            </w:pPr>
          </w:p>
        </w:tc>
      </w:tr>
      <w:tr>
        <w:trPr>
          <w:trHeight w:val="176"/>
        </w:trPr>
        <w:tc>
          <w:tcPr>
            <w:tcW w:w="3620" w:type="dxa"/>
            <w:vAlign w:val="bottom"/>
            <w:gridSpan w:val="4"/>
          </w:tcPr>
          <w:p>
            <w:pPr>
              <w:spacing w:after="0"/>
              <w:rPr>
                <w:sz w:val="20"/>
                <w:szCs w:val="20"/>
                <w:color w:val="auto"/>
              </w:rPr>
            </w:pPr>
            <w:r>
              <w:rPr>
                <w:rFonts w:ascii="Courier New" w:cs="Courier New" w:eastAsia="Courier New" w:hAnsi="Courier New"/>
                <w:sz w:val="15"/>
                <w:szCs w:val="15"/>
                <w:color w:val="auto"/>
              </w:rPr>
              <w:t>Capital expenditures -- plants, logging</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30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roads and timber (includes cash portion</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of acquisitions)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266.0</w:t>
            </w:r>
          </w:p>
        </w:tc>
        <w:tc>
          <w:tcPr>
            <w:tcW w:w="2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204.5</w:t>
            </w:r>
          </w:p>
        </w:tc>
        <w:tc>
          <w:tcPr>
            <w:tcW w:w="820" w:type="dxa"/>
            <w:vAlign w:val="bottom"/>
          </w:tcPr>
          <w:p>
            <w:pPr>
              <w:spacing w:after="0"/>
              <w:rPr>
                <w:sz w:val="15"/>
                <w:szCs w:val="15"/>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234.5</w:t>
            </w:r>
          </w:p>
        </w:tc>
        <w:tc>
          <w:tcPr>
            <w:tcW w:w="2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277.5</w:t>
            </w:r>
          </w:p>
        </w:tc>
        <w:tc>
          <w:tcPr>
            <w:tcW w:w="820" w:type="dxa"/>
            <w:vAlign w:val="bottom"/>
          </w:tcPr>
          <w:p>
            <w:pPr>
              <w:spacing w:after="0"/>
              <w:rPr>
                <w:sz w:val="15"/>
                <w:szCs w:val="15"/>
                <w:color w:val="auto"/>
              </w:rPr>
            </w:pPr>
          </w:p>
        </w:tc>
      </w:tr>
      <w:tr>
        <w:trPr>
          <w:trHeight w:val="176"/>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Ratio of current assets to</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6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1.68 to 1</w:t>
            </w:r>
          </w:p>
        </w:tc>
        <w:tc>
          <w:tcPr>
            <w:tcW w:w="164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1.87 to 1</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2,622.4</w:t>
            </w:r>
          </w:p>
        </w:tc>
        <w:tc>
          <w:tcPr>
            <w:tcW w:w="2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2,578.4</w:t>
            </w:r>
          </w:p>
        </w:tc>
        <w:tc>
          <w:tcPr>
            <w:tcW w:w="820" w:type="dxa"/>
            <w:vAlign w:val="bottom"/>
          </w:tcPr>
          <w:p>
            <w:pPr>
              <w:spacing w:after="0"/>
              <w:rPr>
                <w:sz w:val="15"/>
                <w:szCs w:val="15"/>
                <w:color w:val="auto"/>
              </w:rPr>
            </w:pPr>
          </w:p>
        </w:tc>
      </w:tr>
      <w:tr>
        <w:trPr>
          <w:trHeight w:val="176"/>
        </w:trPr>
        <w:tc>
          <w:tcPr>
            <w:tcW w:w="4300" w:type="dxa"/>
            <w:vAlign w:val="bottom"/>
            <w:gridSpan w:val="5"/>
          </w:tcPr>
          <w:p>
            <w:pPr>
              <w:spacing w:after="0"/>
              <w:rPr>
                <w:sz w:val="20"/>
                <w:szCs w:val="20"/>
                <w:color w:val="auto"/>
              </w:rPr>
            </w:pPr>
            <w:r>
              <w:rPr>
                <w:rFonts w:ascii="Courier New" w:cs="Courier New" w:eastAsia="Courier New" w:hAnsi="Courier New"/>
                <w:sz w:val="15"/>
                <w:szCs w:val="15"/>
                <w:color w:val="auto"/>
              </w:rPr>
              <w:t>Long-term debt, excluding current portion</w:t>
            </w:r>
          </w:p>
        </w:tc>
        <w:tc>
          <w:tcPr>
            <w:tcW w:w="1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458.6</w:t>
            </w:r>
          </w:p>
        </w:tc>
        <w:tc>
          <w:tcPr>
            <w:tcW w:w="2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572.3</w:t>
            </w:r>
          </w:p>
        </w:tc>
        <w:tc>
          <w:tcPr>
            <w:tcW w:w="820" w:type="dxa"/>
            <w:vAlign w:val="bottom"/>
          </w:tcPr>
          <w:p>
            <w:pPr>
              <w:spacing w:after="0"/>
              <w:rPr>
                <w:sz w:val="15"/>
                <w:szCs w:val="15"/>
                <w:color w:val="auto"/>
              </w:rPr>
            </w:pPr>
          </w:p>
        </w:tc>
      </w:tr>
      <w:tr>
        <w:trPr>
          <w:trHeight w:val="176"/>
        </w:trPr>
        <w:tc>
          <w:tcPr>
            <w:tcW w:w="33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Long-term debt as a percent of</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60" w:type="dxa"/>
            <w:vAlign w:val="bottom"/>
          </w:tcPr>
          <w:p>
            <w:pPr>
              <w:ind w:left="360"/>
              <w:spacing w:after="0"/>
              <w:rPr>
                <w:sz w:val="20"/>
                <w:szCs w:val="20"/>
                <w:color w:val="auto"/>
              </w:rPr>
            </w:pPr>
            <w:r>
              <w:rPr>
                <w:rFonts w:ascii="Courier New" w:cs="Courier New" w:eastAsia="Courier New" w:hAnsi="Courier New"/>
                <w:sz w:val="15"/>
                <w:szCs w:val="15"/>
                <w:color w:val="auto"/>
              </w:rPr>
              <w:t>total capitalization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24.3%</w:t>
            </w:r>
          </w:p>
        </w:tc>
        <w:tc>
          <w:tcPr>
            <w:tcW w:w="240" w:type="dxa"/>
            <w:vAlign w:val="bottom"/>
          </w:tcPr>
          <w:p>
            <w:pPr>
              <w:spacing w:after="0"/>
              <w:rPr>
                <w:sz w:val="15"/>
                <w:szCs w:val="15"/>
                <w:color w:val="auto"/>
              </w:rPr>
            </w:pPr>
          </w:p>
        </w:tc>
        <w:tc>
          <w:tcPr>
            <w:tcW w:w="164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30.8%</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1,427.6</w:t>
            </w:r>
          </w:p>
        </w:tc>
        <w:tc>
          <w:tcPr>
            <w:tcW w:w="2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1,286.2</w:t>
            </w:r>
          </w:p>
        </w:tc>
        <w:tc>
          <w:tcPr>
            <w:tcW w:w="820" w:type="dxa"/>
            <w:vAlign w:val="bottom"/>
          </w:tcPr>
          <w:p>
            <w:pPr>
              <w:spacing w:after="0"/>
              <w:rPr>
                <w:sz w:val="15"/>
                <w:szCs w:val="15"/>
                <w:color w:val="auto"/>
              </w:rPr>
            </w:pPr>
          </w:p>
        </w:tc>
      </w:tr>
      <w:tr>
        <w:trPr>
          <w:trHeight w:val="176"/>
        </w:trPr>
        <w:tc>
          <w:tcPr>
            <w:tcW w:w="33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Per ending share of common stock</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13.13</w:t>
            </w:r>
          </w:p>
        </w:tc>
        <w:tc>
          <w:tcPr>
            <w:tcW w:w="240" w:type="dxa"/>
            <w:vAlign w:val="bottom"/>
          </w:tcPr>
          <w:p>
            <w:pPr>
              <w:spacing w:after="0"/>
              <w:rPr>
                <w:sz w:val="15"/>
                <w:szCs w:val="15"/>
                <w:color w:val="auto"/>
              </w:rPr>
            </w:pPr>
          </w:p>
        </w:tc>
        <w:tc>
          <w:tcPr>
            <w:tcW w:w="164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11.73</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Number of employees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12,500</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Number of stockholders of record</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23,900</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1ST QTR</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2ND QTR</w:t>
            </w:r>
          </w:p>
        </w:tc>
        <w:tc>
          <w:tcPr>
            <w:tcW w:w="100" w:type="dxa"/>
            <w:vAlign w:val="bottom"/>
          </w:tcPr>
          <w:p>
            <w:pPr>
              <w:spacing w:after="0"/>
              <w:rPr>
                <w:sz w:val="24"/>
                <w:szCs w:val="24"/>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3RD QTR</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4TH QTR</w:t>
            </w:r>
          </w:p>
        </w:tc>
        <w:tc>
          <w:tcPr>
            <w:tcW w:w="180" w:type="dxa"/>
            <w:vAlign w:val="bottom"/>
          </w:tcPr>
          <w:p>
            <w:pPr>
              <w:spacing w:after="0"/>
              <w:rPr>
                <w:sz w:val="24"/>
                <w:szCs w:val="24"/>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YEAR</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1997 QUARTERLY DATA</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554.6</w:t>
            </w:r>
          </w:p>
        </w:tc>
        <w:tc>
          <w:tcPr>
            <w:tcW w:w="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633.3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619.5</w:t>
            </w:r>
          </w:p>
        </w:tc>
        <w:tc>
          <w:tcPr>
            <w:tcW w:w="8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$ 595.1</w:t>
            </w:r>
          </w:p>
        </w:tc>
        <w:tc>
          <w:tcPr>
            <w:tcW w:w="180" w:type="dxa"/>
            <w:vAlign w:val="bottom"/>
          </w:tcPr>
          <w:p>
            <w:pPr>
              <w:jc w:val="right"/>
              <w:ind w:right="25"/>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2,402.5</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Gross profit (loss) (1)</w:t>
            </w:r>
          </w:p>
        </w:tc>
        <w:tc>
          <w:tcPr>
            <w:tcW w:w="1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(35.1)</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w:t>
            </w:r>
          </w:p>
        </w:tc>
        <w:tc>
          <w:tcPr>
            <w:tcW w:w="10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(13.8)</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(31.4)</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(88.5)</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and minority interest</w:t>
            </w:r>
          </w:p>
        </w:tc>
        <w:tc>
          <w:tcPr>
            <w:tcW w:w="10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78.3(2)</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(176.3)(2)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(37.3)</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42.0(2)</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(112.4)(2)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(21.3)</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(101.8)</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1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(1.03)(2)</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1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c>
          <w:tcPr>
            <w:tcW w:w="10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w:t>
            </w:r>
          </w:p>
        </w:tc>
      </w:tr>
      <w:tr>
        <w:trPr>
          <w:trHeight w:val="352"/>
        </w:trPr>
        <w:tc>
          <w:tcPr>
            <w:tcW w:w="2560" w:type="dxa"/>
            <w:vAlign w:val="bottom"/>
          </w:tcPr>
          <w:p>
            <w:pPr>
              <w:spacing w:after="0"/>
              <w:rPr>
                <w:sz w:val="20"/>
                <w:szCs w:val="20"/>
                <w:color w:val="auto"/>
              </w:rPr>
            </w:pPr>
            <w:r>
              <w:rPr>
                <w:rFonts w:ascii="Courier New" w:cs="Courier New" w:eastAsia="Courier New" w:hAnsi="Courier New"/>
                <w:sz w:val="15"/>
                <w:szCs w:val="15"/>
                <w:color w:val="auto"/>
              </w:rPr>
              <w:t>1996 QUARTERLY DATA</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584.1</w:t>
            </w:r>
          </w:p>
        </w:tc>
        <w:tc>
          <w:tcPr>
            <w:tcW w:w="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658.3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676.3</w:t>
            </w:r>
          </w:p>
        </w:tc>
        <w:tc>
          <w:tcPr>
            <w:tcW w:w="8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$ 567.3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2,486.0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Gross profit (loss) (1)</w:t>
            </w:r>
          </w:p>
        </w:tc>
        <w:tc>
          <w:tcPr>
            <w:tcW w:w="1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35.0</w:t>
            </w:r>
          </w:p>
        </w:tc>
        <w:tc>
          <w:tcPr>
            <w:tcW w:w="1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21.9</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(20.9)</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and minority interest</w:t>
            </w:r>
          </w:p>
        </w:tc>
        <w:tc>
          <w:tcPr>
            <w:tcW w:w="1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34.5</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(332.0)(2)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(24.3)</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(326.8)</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(203.4)(2)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(14.7)</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(200.7)</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(1.89)(2)</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1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c>
          <w:tcPr>
            <w:tcW w:w="10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w:t>
            </w:r>
          </w:p>
        </w:tc>
      </w:tr>
      <w:tr>
        <w:trPr>
          <w:trHeight w:val="352"/>
        </w:trPr>
        <w:tc>
          <w:tcPr>
            <w:tcW w:w="2560" w:type="dxa"/>
            <w:vAlign w:val="bottom"/>
          </w:tcPr>
          <w:p>
            <w:pPr>
              <w:spacing w:after="0"/>
              <w:rPr>
                <w:sz w:val="20"/>
                <w:szCs w:val="20"/>
                <w:color w:val="auto"/>
              </w:rPr>
            </w:pPr>
            <w:r>
              <w:rPr>
                <w:rFonts w:ascii="Courier New" w:cs="Courier New" w:eastAsia="Courier New" w:hAnsi="Courier New"/>
                <w:sz w:val="15"/>
                <w:szCs w:val="15"/>
                <w:color w:val="auto"/>
              </w:rPr>
              <w:t>HIGH AND LOW STOCK PRICES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1997 High</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25.56</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25.88</w:t>
            </w:r>
          </w:p>
        </w:tc>
      </w:tr>
      <w:tr>
        <w:trPr>
          <w:trHeight w:val="176"/>
        </w:trPr>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Low</w:t>
            </w:r>
          </w:p>
        </w:tc>
        <w:tc>
          <w:tcPr>
            <w:tcW w:w="1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19.88</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17.00</w:t>
            </w:r>
          </w:p>
        </w:tc>
        <w:tc>
          <w:tcPr>
            <w:tcW w:w="10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20.50</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17.54</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17.00</w:t>
            </w:r>
          </w:p>
        </w:tc>
      </w:tr>
      <w:tr>
        <w:trPr>
          <w:trHeight w:val="352"/>
        </w:trPr>
        <w:tc>
          <w:tcPr>
            <w:tcW w:w="2560" w:type="dxa"/>
            <w:vAlign w:val="bottom"/>
          </w:tcPr>
          <w:p>
            <w:pPr>
              <w:spacing w:after="0"/>
              <w:rPr>
                <w:sz w:val="20"/>
                <w:szCs w:val="20"/>
                <w:color w:val="auto"/>
              </w:rPr>
            </w:pPr>
            <w:r>
              <w:rPr>
                <w:rFonts w:ascii="Courier New" w:cs="Courier New" w:eastAsia="Courier New" w:hAnsi="Courier New"/>
                <w:sz w:val="15"/>
                <w:szCs w:val="15"/>
                <w:color w:val="auto"/>
              </w:rPr>
              <w:t>1996 High</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23.75</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28.13</w:t>
            </w:r>
          </w:p>
        </w:tc>
      </w:tr>
      <w:tr>
        <w:trPr>
          <w:trHeight w:val="176"/>
        </w:trPr>
        <w:tc>
          <w:tcPr>
            <w:tcW w:w="2560" w:type="dxa"/>
            <w:vAlign w:val="bottom"/>
          </w:tcPr>
          <w:p>
            <w:pPr>
              <w:ind w:left="460"/>
              <w:spacing w:after="0"/>
              <w:rPr>
                <w:sz w:val="20"/>
                <w:szCs w:val="20"/>
                <w:color w:val="auto"/>
              </w:rPr>
            </w:pPr>
            <w:r>
              <w:rPr>
                <w:rFonts w:ascii="Courier New" w:cs="Courier New" w:eastAsia="Courier New" w:hAnsi="Courier New"/>
                <w:sz w:val="15"/>
                <w:szCs w:val="15"/>
                <w:color w:val="auto"/>
              </w:rPr>
              <w:t>Low</w:t>
            </w:r>
          </w:p>
        </w:tc>
        <w:tc>
          <w:tcPr>
            <w:tcW w:w="1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23.00</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22.13</w:t>
            </w:r>
          </w:p>
        </w:tc>
        <w:tc>
          <w:tcPr>
            <w:tcW w:w="10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19.63</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20.63</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19.63</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826" w:right="2899" w:hanging="826"/>
        <w:spacing w:after="0" w:line="250" w:lineRule="auto"/>
        <w:tabs>
          <w:tab w:leader="none" w:pos="8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profit is income before settlements, charges and other unusual items, taxes, minority interest and interest.</w:t>
      </w:r>
    </w:p>
    <w:p>
      <w:pPr>
        <w:spacing w:after="0" w:line="174" w:lineRule="exact"/>
        <w:rPr>
          <w:rFonts w:ascii="Courier New" w:cs="Courier New" w:eastAsia="Courier New" w:hAnsi="Courier New"/>
          <w:sz w:val="15"/>
          <w:szCs w:val="15"/>
          <w:color w:val="auto"/>
        </w:rPr>
      </w:pPr>
    </w:p>
    <w:p>
      <w:pPr>
        <w:ind w:left="826" w:right="2899" w:hanging="826"/>
        <w:spacing w:after="0" w:line="250" w:lineRule="auto"/>
        <w:tabs>
          <w:tab w:leader="none" w:pos="8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settlements, charges and other unusual items. See the Notes to Financial Statements in Item 8 for explanation of these amounts.</w:t>
      </w:r>
    </w:p>
    <w:p>
      <w:pPr>
        <w:spacing w:after="0" w:line="174" w:lineRule="exact"/>
        <w:rPr>
          <w:rFonts w:ascii="Courier New" w:cs="Courier New" w:eastAsia="Courier New" w:hAnsi="Courier New"/>
          <w:sz w:val="15"/>
          <w:szCs w:val="15"/>
          <w:color w:val="auto"/>
        </w:rPr>
      </w:pPr>
    </w:p>
    <w:p>
      <w:pPr>
        <w:ind w:left="3566" w:hanging="176"/>
        <w:spacing w:after="0"/>
        <w:tabs>
          <w:tab w:leader="none" w:pos="3566"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25"/>
          </w:cols>
          <w:pgMar w:left="234" w:top="64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Statements herein to the extent they are not based on historical events, constitute forward-looking statements. Forward-looking statements include, without limitation, statements regarding the outlook for future operations, forecasts of future costs and expenditures, evaluation of market conditions, the outcome of legal proceedings, the adequacy of reserves, or plans for product development. Investors are cautioned that forward-looking statements are subject to an inherent risk that actual results may vary materially from those described herein. Factors that may result in such variance, in addition to those set forth under the above captions, include changes in interest rates, commodity prices, and other economic conditions; actions by competitors; changing weather conditions and other natural phenomena; actions by government authorities; uncertainties associated with legal proceedings; technological developments; future decisions by management in response to changing conditions; and misjudgments in the course of preparing forward-looking statements.</w:t>
      </w:r>
    </w:p>
    <w:p>
      <w:pPr>
        <w:spacing w:after="0" w:line="18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19"/>
          </w:cols>
          <w:pgMar w:left="240" w:top="64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FIVE-YEAR SUMMARY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(DOLLAR AMOUNTS IN MILLIONS EXCEPT PER SHARE)</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SUMMARY INCOME STATEMENT DATA (2)</w:t>
            </w:r>
          </w:p>
        </w:tc>
        <w:tc>
          <w:tcPr>
            <w:tcW w:w="660" w:type="dxa"/>
            <w:vAlign w:val="bottom"/>
          </w:tcPr>
          <w:p>
            <w:pPr>
              <w:spacing w:after="0"/>
              <w:rPr>
                <w:sz w:val="14"/>
                <w:szCs w:val="14"/>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1997(4)</w:t>
            </w:r>
          </w:p>
        </w:tc>
        <w:tc>
          <w:tcPr>
            <w:tcW w:w="200" w:type="dxa"/>
            <w:vAlign w:val="bottom"/>
          </w:tcPr>
          <w:p>
            <w:pPr>
              <w:spacing w:after="0"/>
              <w:rPr>
                <w:sz w:val="14"/>
                <w:szCs w:val="14"/>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1996(4)</w:t>
            </w:r>
          </w:p>
        </w:tc>
        <w:tc>
          <w:tcPr>
            <w:tcW w:w="140" w:type="dxa"/>
            <w:vAlign w:val="bottom"/>
          </w:tcPr>
          <w:p>
            <w:pPr>
              <w:spacing w:after="0"/>
              <w:rPr>
                <w:sz w:val="14"/>
                <w:szCs w:val="14"/>
                <w:color w:val="auto"/>
              </w:rPr>
            </w:pP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1995(4)</w:t>
            </w:r>
          </w:p>
        </w:tc>
        <w:tc>
          <w:tcPr>
            <w:tcW w:w="100" w:type="dxa"/>
            <w:vAlign w:val="bottom"/>
          </w:tcPr>
          <w:p>
            <w:pPr>
              <w:spacing w:after="0"/>
              <w:rPr>
                <w:sz w:val="14"/>
                <w:szCs w:val="14"/>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1993</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529"/>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6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2,402.5</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2,486.0</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2,843.2</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3,039.5</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2,511.3</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Gross profit (loss) (1)</w:t>
            </w:r>
          </w:p>
        </w:tc>
        <w:tc>
          <w:tcPr>
            <w:tcW w:w="660" w:type="dxa"/>
            <w:vAlign w:val="bottom"/>
          </w:tcPr>
          <w:p>
            <w:pPr>
              <w:spacing w:after="0"/>
              <w:rPr>
                <w:sz w:val="15"/>
                <w:szCs w:val="15"/>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(88.5)</w:t>
            </w:r>
          </w:p>
        </w:tc>
        <w:tc>
          <w:tcPr>
            <w:tcW w:w="2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31.0</w:t>
            </w:r>
          </w:p>
        </w:tc>
        <w:tc>
          <w:tcPr>
            <w:tcW w:w="1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268.9</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558.6</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423.6</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net</w:t>
            </w:r>
          </w:p>
        </w:tc>
        <w:tc>
          <w:tcPr>
            <w:tcW w:w="660" w:type="dxa"/>
            <w:vAlign w:val="bottom"/>
          </w:tcPr>
          <w:p>
            <w:pPr>
              <w:spacing w:after="0"/>
              <w:rPr>
                <w:sz w:val="15"/>
                <w:szCs w:val="15"/>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(29.0)</w:t>
            </w:r>
          </w:p>
        </w:tc>
        <w:tc>
          <w:tcPr>
            <w:tcW w:w="2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w:t>
            </w:r>
          </w:p>
        </w:tc>
        <w:tc>
          <w:tcPr>
            <w:tcW w:w="1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660" w:type="dxa"/>
            <w:vAlign w:val="bottom"/>
          </w:tcPr>
          <w:p>
            <w:pPr>
              <w:spacing w:after="0"/>
              <w:rPr>
                <w:sz w:val="15"/>
                <w:szCs w:val="15"/>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(43.6)</w:t>
            </w:r>
          </w:p>
        </w:tc>
        <w:tc>
          <w:tcPr>
            <w:tcW w:w="2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(125.6)</w:t>
            </w:r>
          </w:p>
        </w:tc>
        <w:tc>
          <w:tcPr>
            <w:tcW w:w="14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(45.8)</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209.8</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173.2</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(loss) (3)</w:t>
            </w:r>
          </w:p>
        </w:tc>
        <w:tc>
          <w:tcPr>
            <w:tcW w:w="660" w:type="dxa"/>
            <w:vAlign w:val="bottom"/>
          </w:tcPr>
          <w:p>
            <w:pPr>
              <w:spacing w:after="0"/>
              <w:rPr>
                <w:sz w:val="15"/>
                <w:szCs w:val="15"/>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(101.8)</w:t>
            </w:r>
          </w:p>
        </w:tc>
        <w:tc>
          <w:tcPr>
            <w:tcW w:w="2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(200.7)</w:t>
            </w:r>
          </w:p>
        </w:tc>
        <w:tc>
          <w:tcPr>
            <w:tcW w:w="14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(51.7)</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346.9</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254.4</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(loss) per share (3) - basic</w:t>
            </w:r>
          </w:p>
        </w:tc>
        <w:tc>
          <w:tcPr>
            <w:tcW w:w="6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w:t>
            </w:r>
          </w:p>
        </w:tc>
        <w:tc>
          <w:tcPr>
            <w:tcW w:w="2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w:t>
            </w:r>
          </w:p>
        </w:tc>
        <w:tc>
          <w:tcPr>
            <w:tcW w:w="14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w:t>
            </w:r>
          </w:p>
        </w:tc>
        <w:tc>
          <w:tcPr>
            <w:tcW w:w="10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3.15</w:t>
            </w:r>
          </w:p>
        </w:tc>
        <w:tc>
          <w:tcPr>
            <w:tcW w:w="280" w:type="dxa"/>
            <w:vAlign w:val="bottom"/>
          </w:tcPr>
          <w:p>
            <w:pPr>
              <w:spacing w:after="0"/>
              <w:rPr>
                <w:sz w:val="15"/>
                <w:szCs w:val="15"/>
                <w:color w:val="auto"/>
              </w:rPr>
            </w:pP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2.32</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(loss) per share (3) - diluted</w:t>
            </w:r>
          </w:p>
        </w:tc>
        <w:tc>
          <w:tcPr>
            <w:tcW w:w="660" w:type="dxa"/>
            <w:vAlign w:val="bottom"/>
          </w:tcPr>
          <w:p>
            <w:pPr>
              <w:spacing w:after="0"/>
              <w:rPr>
                <w:sz w:val="15"/>
                <w:szCs w:val="15"/>
                <w:color w:val="auto"/>
              </w:rPr>
            </w:pP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w:t>
            </w:r>
          </w:p>
        </w:tc>
        <w:tc>
          <w:tcPr>
            <w:tcW w:w="2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w:t>
            </w:r>
          </w:p>
        </w:tc>
        <w:tc>
          <w:tcPr>
            <w:tcW w:w="14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w:t>
            </w:r>
          </w:p>
        </w:tc>
        <w:tc>
          <w:tcPr>
            <w:tcW w:w="10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3.13</w:t>
            </w:r>
          </w:p>
        </w:tc>
        <w:tc>
          <w:tcPr>
            <w:tcW w:w="280" w:type="dxa"/>
            <w:vAlign w:val="bottom"/>
          </w:tcPr>
          <w:p>
            <w:pPr>
              <w:spacing w:after="0"/>
              <w:rPr>
                <w:sz w:val="15"/>
                <w:szCs w:val="15"/>
                <w:color w:val="auto"/>
              </w:rPr>
            </w:pP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2.29</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660" w:type="dxa"/>
            <w:vAlign w:val="bottom"/>
          </w:tcPr>
          <w:p>
            <w:pPr>
              <w:spacing w:after="0"/>
              <w:rPr>
                <w:sz w:val="15"/>
                <w:szCs w:val="15"/>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w:t>
            </w:r>
          </w:p>
        </w:tc>
        <w:tc>
          <w:tcPr>
            <w:tcW w:w="2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w:t>
            </w:r>
          </w:p>
        </w:tc>
        <w:tc>
          <w:tcPr>
            <w:tcW w:w="14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.545</w:t>
            </w:r>
          </w:p>
        </w:tc>
        <w:tc>
          <w:tcPr>
            <w:tcW w:w="1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.485</w:t>
            </w:r>
          </w:p>
        </w:tc>
        <w:tc>
          <w:tcPr>
            <w:tcW w:w="280" w:type="dxa"/>
            <w:vAlign w:val="bottom"/>
          </w:tcPr>
          <w:p>
            <w:pPr>
              <w:spacing w:after="0"/>
              <w:rPr>
                <w:sz w:val="15"/>
                <w:szCs w:val="15"/>
                <w:color w:val="auto"/>
              </w:rPr>
            </w:pP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Average shares of common stock</w:t>
            </w: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outstanding (thousands)-</w:t>
            </w: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420" w:type="dxa"/>
            <w:vAlign w:val="bottom"/>
          </w:tcPr>
          <w:p>
            <w:pPr>
              <w:ind w:left="460"/>
              <w:spacing w:after="0"/>
              <w:rPr>
                <w:sz w:val="20"/>
                <w:szCs w:val="20"/>
                <w:color w:val="auto"/>
              </w:rPr>
            </w:pPr>
            <w:r>
              <w:rPr>
                <w:rFonts w:ascii="Courier New" w:cs="Courier New" w:eastAsia="Courier New" w:hAnsi="Courier New"/>
                <w:sz w:val="15"/>
                <w:szCs w:val="15"/>
                <w:color w:val="auto"/>
              </w:rPr>
              <w:t>Basic</w:t>
            </w:r>
          </w:p>
        </w:tc>
        <w:tc>
          <w:tcPr>
            <w:tcW w:w="66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108,450</w:t>
            </w:r>
          </w:p>
        </w:tc>
        <w:tc>
          <w:tcPr>
            <w:tcW w:w="20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8"/>
              </w:rPr>
              <w:t>107,410</w:t>
            </w:r>
          </w:p>
        </w:tc>
        <w:tc>
          <w:tcPr>
            <w:tcW w:w="14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107,040</w:t>
            </w:r>
          </w:p>
        </w:tc>
        <w:tc>
          <w:tcPr>
            <w:tcW w:w="10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110,140</w:t>
            </w:r>
          </w:p>
        </w:tc>
        <w:tc>
          <w:tcPr>
            <w:tcW w:w="28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109,670</w:t>
            </w:r>
          </w:p>
        </w:tc>
      </w:tr>
      <w:tr>
        <w:trPr>
          <w:trHeight w:val="176"/>
        </w:trPr>
        <w:tc>
          <w:tcPr>
            <w:tcW w:w="3420" w:type="dxa"/>
            <w:vAlign w:val="bottom"/>
          </w:tcPr>
          <w:p>
            <w:pPr>
              <w:ind w:left="460"/>
              <w:spacing w:after="0"/>
              <w:rPr>
                <w:sz w:val="20"/>
                <w:szCs w:val="20"/>
                <w:color w:val="auto"/>
              </w:rPr>
            </w:pPr>
            <w:r>
              <w:rPr>
                <w:rFonts w:ascii="Courier New" w:cs="Courier New" w:eastAsia="Courier New" w:hAnsi="Courier New"/>
                <w:sz w:val="15"/>
                <w:szCs w:val="15"/>
                <w:color w:val="auto"/>
              </w:rPr>
              <w:t>Diluted</w:t>
            </w:r>
          </w:p>
        </w:tc>
        <w:tc>
          <w:tcPr>
            <w:tcW w:w="660" w:type="dxa"/>
            <w:vAlign w:val="bottom"/>
          </w:tcPr>
          <w:p>
            <w:pPr>
              <w:spacing w:after="0"/>
              <w:rPr>
                <w:sz w:val="15"/>
                <w:szCs w:val="15"/>
                <w:color w:val="auto"/>
              </w:rPr>
            </w:pP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108,450</w:t>
            </w:r>
          </w:p>
        </w:tc>
        <w:tc>
          <w:tcPr>
            <w:tcW w:w="20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8"/>
              </w:rPr>
              <w:t>107,410</w:t>
            </w:r>
          </w:p>
        </w:tc>
        <w:tc>
          <w:tcPr>
            <w:tcW w:w="14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107,040</w:t>
            </w:r>
          </w:p>
        </w:tc>
        <w:tc>
          <w:tcPr>
            <w:tcW w:w="10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110,800</w:t>
            </w:r>
          </w:p>
        </w:tc>
        <w:tc>
          <w:tcPr>
            <w:tcW w:w="28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110,880</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SUMMARY BALANCE SHEETS</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596.8</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612.9</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618.5</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721.9</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614.1</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Timber and timberlands, at cost</w:t>
            </w: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less cost of timber harvested</w:t>
            </w:r>
          </w:p>
        </w:tc>
        <w:tc>
          <w:tcPr>
            <w:tcW w:w="66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634.2</w:t>
            </w:r>
          </w:p>
        </w:tc>
        <w:tc>
          <w:tcPr>
            <w:tcW w:w="2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648.6</w:t>
            </w:r>
          </w:p>
        </w:tc>
        <w:tc>
          <w:tcPr>
            <w:tcW w:w="1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689.6</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693.5</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673.5</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66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1,191.8</w:t>
            </w:r>
          </w:p>
        </w:tc>
        <w:tc>
          <w:tcPr>
            <w:tcW w:w="2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1,278.5</w:t>
            </w:r>
          </w:p>
        </w:tc>
        <w:tc>
          <w:tcPr>
            <w:tcW w:w="1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1,452.3</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1,273.2</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1,145.9</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Goodwill and other assets</w:t>
            </w:r>
          </w:p>
        </w:tc>
        <w:tc>
          <w:tcPr>
            <w:tcW w:w="66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155.6</w:t>
            </w:r>
          </w:p>
        </w:tc>
        <w:tc>
          <w:tcPr>
            <w:tcW w:w="2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82.4</w:t>
            </w:r>
          </w:p>
        </w:tc>
        <w:tc>
          <w:tcPr>
            <w:tcW w:w="1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45.0</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55.1</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32.8</w:t>
            </w:r>
          </w:p>
        </w:tc>
      </w:tr>
      <w:tr>
        <w:trPr>
          <w:trHeight w:val="176"/>
        </w:trPr>
        <w:tc>
          <w:tcPr>
            <w:tcW w:w="3420" w:type="dxa"/>
            <w:vAlign w:val="bottom"/>
          </w:tcPr>
          <w:p>
            <w:pPr>
              <w:spacing w:after="0"/>
              <w:rPr>
                <w:sz w:val="15"/>
                <w:szCs w:val="15"/>
                <w:color w:val="auto"/>
              </w:rPr>
            </w:pPr>
          </w:p>
        </w:tc>
        <w:tc>
          <w:tcPr>
            <w:tcW w:w="18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2,578.4</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2,622.4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2,805.4</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2,743.7</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2,466.3</w:t>
            </w:r>
          </w:p>
        </w:tc>
      </w:tr>
      <w:tr>
        <w:trPr>
          <w:trHeight w:val="176"/>
        </w:trPr>
        <w:tc>
          <w:tcPr>
            <w:tcW w:w="3420" w:type="dxa"/>
            <w:vAlign w:val="bottom"/>
          </w:tcPr>
          <w:p>
            <w:pPr>
              <w:spacing w:after="0"/>
              <w:rPr>
                <w:sz w:val="15"/>
                <w:szCs w:val="15"/>
                <w:color w:val="auto"/>
              </w:rPr>
            </w:pPr>
          </w:p>
        </w:tc>
        <w:tc>
          <w:tcPr>
            <w:tcW w:w="18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24"/>
                <w:szCs w:val="24"/>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319.3</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378.4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448.5</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344.8</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317.2</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Long-term debt, excluding</w:t>
            </w: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w:t>
            </w:r>
          </w:p>
        </w:tc>
        <w:tc>
          <w:tcPr>
            <w:tcW w:w="66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572.3</w:t>
            </w:r>
          </w:p>
        </w:tc>
        <w:tc>
          <w:tcPr>
            <w:tcW w:w="2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458.6</w:t>
            </w:r>
          </w:p>
        </w:tc>
        <w:tc>
          <w:tcPr>
            <w:tcW w:w="1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201.3</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209.8</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288.6</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Deferred income taxes and other</w:t>
            </w:r>
          </w:p>
        </w:tc>
        <w:tc>
          <w:tcPr>
            <w:tcW w:w="66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400.6</w:t>
            </w:r>
          </w:p>
        </w:tc>
        <w:tc>
          <w:tcPr>
            <w:tcW w:w="2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357.8</w:t>
            </w:r>
          </w:p>
        </w:tc>
        <w:tc>
          <w:tcPr>
            <w:tcW w:w="1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499.6</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339.7</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289.1</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6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1,286.2</w:t>
            </w:r>
          </w:p>
        </w:tc>
        <w:tc>
          <w:tcPr>
            <w:tcW w:w="2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1,427.6</w:t>
            </w:r>
          </w:p>
        </w:tc>
        <w:tc>
          <w:tcPr>
            <w:tcW w:w="1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1,656.0</w:t>
            </w:r>
          </w:p>
        </w:tc>
        <w:tc>
          <w:tcPr>
            <w:tcW w:w="100" w:type="dxa"/>
            <w:vAlign w:val="bottom"/>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1,849.4</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1,571.4</w:t>
            </w:r>
          </w:p>
        </w:tc>
      </w:tr>
      <w:tr>
        <w:trPr>
          <w:trHeight w:val="176"/>
        </w:trPr>
        <w:tc>
          <w:tcPr>
            <w:tcW w:w="3420" w:type="dxa"/>
            <w:vAlign w:val="bottom"/>
          </w:tcPr>
          <w:p>
            <w:pPr>
              <w:spacing w:after="0"/>
              <w:rPr>
                <w:sz w:val="15"/>
                <w:szCs w:val="15"/>
                <w:color w:val="auto"/>
              </w:rPr>
            </w:pPr>
          </w:p>
        </w:tc>
        <w:tc>
          <w:tcPr>
            <w:tcW w:w="18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liabilities and</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6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2,578.4</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2,622.4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2,805.4</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2,743.7</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2,466.3</w:t>
            </w:r>
          </w:p>
        </w:tc>
      </w:tr>
      <w:tr>
        <w:trPr>
          <w:trHeight w:val="176"/>
        </w:trPr>
        <w:tc>
          <w:tcPr>
            <w:tcW w:w="3420" w:type="dxa"/>
            <w:vAlign w:val="bottom"/>
          </w:tcPr>
          <w:p>
            <w:pPr>
              <w:spacing w:after="0"/>
              <w:rPr>
                <w:sz w:val="15"/>
                <w:szCs w:val="15"/>
                <w:color w:val="auto"/>
              </w:rPr>
            </w:pPr>
          </w:p>
        </w:tc>
        <w:tc>
          <w:tcPr>
            <w:tcW w:w="18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529"/>
        </w:trPr>
        <w:tc>
          <w:tcPr>
            <w:tcW w:w="342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- 15 -</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180"/>
          </w:cols>
          <w:pgMar w:left="240" w:top="647" w:right="479" w:bottom="1440" w:gutter="0" w:footer="0" w:header="0"/>
        </w:sectPr>
      </w:pPr>
    </w:p>
    <w:bookmarkStart w:id="15" w:name="page16"/>
    <w:bookmarkEnd w:id="15"/>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KEY FINANCIAL TRENDS</w:t>
            </w:r>
          </w:p>
        </w:tc>
        <w:tc>
          <w:tcPr>
            <w:tcW w:w="500" w:type="dxa"/>
            <w:vAlign w:val="bottom"/>
          </w:tcPr>
          <w:p>
            <w:pPr>
              <w:spacing w:after="0"/>
              <w:rPr>
                <w:sz w:val="14"/>
                <w:szCs w:val="14"/>
                <w:color w:val="auto"/>
              </w:rPr>
            </w:pPr>
          </w:p>
        </w:tc>
        <w:tc>
          <w:tcPr>
            <w:tcW w:w="1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1997(4)</w:t>
            </w:r>
          </w:p>
        </w:tc>
        <w:tc>
          <w:tcPr>
            <w:tcW w:w="140" w:type="dxa"/>
            <w:vAlign w:val="bottom"/>
          </w:tcPr>
          <w:p>
            <w:pPr>
              <w:spacing w:after="0"/>
              <w:rPr>
                <w:sz w:val="14"/>
                <w:szCs w:val="14"/>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1996(4)</w:t>
            </w:r>
          </w:p>
        </w:tc>
        <w:tc>
          <w:tcPr>
            <w:tcW w:w="180" w:type="dxa"/>
            <w:vAlign w:val="bottom"/>
          </w:tcPr>
          <w:p>
            <w:pPr>
              <w:spacing w:after="0"/>
              <w:rPr>
                <w:sz w:val="14"/>
                <w:szCs w:val="14"/>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13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1993</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277.5</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170.0</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377.1</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296.9</w:t>
            </w:r>
          </w:p>
        </w:tc>
      </w:tr>
      <w:tr>
        <w:trPr>
          <w:trHeight w:val="176"/>
        </w:trPr>
        <w:tc>
          <w:tcPr>
            <w:tcW w:w="3620" w:type="dxa"/>
            <w:vAlign w:val="bottom"/>
          </w:tcPr>
          <w:p>
            <w:pPr>
              <w:spacing w:after="0"/>
              <w:rPr>
                <w:sz w:val="15"/>
                <w:szCs w:val="15"/>
                <w:color w:val="auto"/>
              </w:rPr>
            </w:pPr>
          </w:p>
        </w:tc>
        <w:tc>
          <w:tcPr>
            <w:tcW w:w="17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Plant and logging road additions (5)</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154.8</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244.0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362.9</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286.0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208.4</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Timber additions, net</w:t>
            </w:r>
          </w:p>
        </w:tc>
        <w:tc>
          <w:tcPr>
            <w:tcW w:w="5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49.7</w:t>
            </w:r>
          </w:p>
        </w:tc>
        <w:tc>
          <w:tcPr>
            <w:tcW w:w="14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w:t>
            </w:r>
          </w:p>
        </w:tc>
        <w:tc>
          <w:tcPr>
            <w:tcW w:w="18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49.7</w:t>
            </w:r>
          </w:p>
        </w:tc>
        <w:tc>
          <w:tcPr>
            <w:tcW w:w="140" w:type="dxa"/>
            <w:vAlign w:val="bottom"/>
          </w:tcPr>
          <w:p>
            <w:pPr>
              <w:spacing w:after="0"/>
              <w:rPr>
                <w:sz w:val="15"/>
                <w:szCs w:val="15"/>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66.0</w:t>
            </w:r>
          </w:p>
        </w:tc>
        <w:tc>
          <w:tcPr>
            <w:tcW w:w="28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81.5</w:t>
            </w:r>
          </w:p>
        </w:tc>
      </w:tr>
      <w:tr>
        <w:trPr>
          <w:trHeight w:val="176"/>
        </w:trPr>
        <w:tc>
          <w:tcPr>
            <w:tcW w:w="3620" w:type="dxa"/>
            <w:vAlign w:val="bottom"/>
          </w:tcPr>
          <w:p>
            <w:pPr>
              <w:spacing w:after="0"/>
              <w:rPr>
                <w:sz w:val="15"/>
                <w:szCs w:val="15"/>
                <w:color w:val="auto"/>
              </w:rPr>
            </w:pPr>
          </w:p>
        </w:tc>
        <w:tc>
          <w:tcPr>
            <w:tcW w:w="17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Total capital additions</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204.5</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266.0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412.6</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352.0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289.9</w:t>
            </w:r>
          </w:p>
        </w:tc>
      </w:tr>
      <w:tr>
        <w:trPr>
          <w:trHeight w:val="176"/>
        </w:trPr>
        <w:tc>
          <w:tcPr>
            <w:tcW w:w="3620" w:type="dxa"/>
            <w:vAlign w:val="bottom"/>
          </w:tcPr>
          <w:p>
            <w:pPr>
              <w:spacing w:after="0"/>
              <w:rPr>
                <w:sz w:val="15"/>
                <w:szCs w:val="15"/>
                <w:color w:val="auto"/>
              </w:rPr>
            </w:pPr>
          </w:p>
        </w:tc>
        <w:tc>
          <w:tcPr>
            <w:tcW w:w="17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Long-term debt as a percent</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of total capitalization</w:t>
            </w:r>
          </w:p>
        </w:tc>
        <w:tc>
          <w:tcPr>
            <w:tcW w:w="500" w:type="dxa"/>
            <w:vAlign w:val="bottom"/>
          </w:tcPr>
          <w:p>
            <w:pPr>
              <w:spacing w:after="0"/>
              <w:rPr>
                <w:sz w:val="15"/>
                <w:szCs w:val="15"/>
                <w:color w:val="auto"/>
              </w:rPr>
            </w:pP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6"/>
              </w:rPr>
              <w:t>31%</w:t>
            </w:r>
          </w:p>
        </w:tc>
        <w:tc>
          <w:tcPr>
            <w:tcW w:w="140" w:type="dxa"/>
            <w:vAlign w:val="bottom"/>
          </w:tcPr>
          <w:p>
            <w:pPr>
              <w:spacing w:after="0"/>
              <w:rPr>
                <w:sz w:val="15"/>
                <w:szCs w:val="15"/>
                <w:color w:val="auto"/>
              </w:rPr>
            </w:pP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15"/>
                <w:szCs w:val="15"/>
                <w:color w:val="auto"/>
              </w:rPr>
            </w:pPr>
          </w:p>
        </w:tc>
        <w:tc>
          <w:tcPr>
            <w:tcW w:w="1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5"/>
                <w:szCs w:val="15"/>
                <w:color w:val="auto"/>
              </w:rPr>
            </w:pPr>
          </w:p>
        </w:tc>
        <w:tc>
          <w:tcPr>
            <w:tcW w:w="124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16%</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as a percent of average</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equity (3)</w:t>
            </w:r>
          </w:p>
        </w:tc>
        <w:tc>
          <w:tcPr>
            <w:tcW w:w="500" w:type="dxa"/>
            <w:vAlign w:val="bottom"/>
          </w:tcPr>
          <w:p>
            <w:pPr>
              <w:spacing w:after="0"/>
              <w:rPr>
                <w:sz w:val="15"/>
                <w:szCs w:val="15"/>
                <w:color w:val="auto"/>
              </w:rPr>
            </w:pPr>
          </w:p>
        </w:tc>
        <w:tc>
          <w:tcPr>
            <w:tcW w:w="128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6"/>
              </w:rPr>
              <w:t>-8%</w:t>
            </w:r>
          </w:p>
        </w:tc>
        <w:tc>
          <w:tcPr>
            <w:tcW w:w="140" w:type="dxa"/>
            <w:vAlign w:val="bottom"/>
          </w:tcPr>
          <w:p>
            <w:pPr>
              <w:spacing w:after="0"/>
              <w:rPr>
                <w:sz w:val="15"/>
                <w:szCs w:val="15"/>
                <w:color w:val="auto"/>
              </w:rPr>
            </w:pP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5"/>
                <w:szCs w:val="15"/>
                <w:color w:val="auto"/>
              </w:rPr>
            </w:pPr>
          </w:p>
        </w:tc>
        <w:tc>
          <w:tcPr>
            <w:tcW w:w="1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spacing w:after="0"/>
              <w:rPr>
                <w:sz w:val="15"/>
                <w:szCs w:val="15"/>
                <w:color w:val="auto"/>
              </w:rPr>
            </w:pPr>
          </w:p>
        </w:tc>
        <w:tc>
          <w:tcPr>
            <w:tcW w:w="124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17%</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826" w:right="3860" w:hanging="826"/>
        <w:spacing w:after="0" w:line="250" w:lineRule="auto"/>
        <w:tabs>
          <w:tab w:leader="none" w:pos="8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profit is income before settlements, charges and unusual items, income taxes, minority interest, and interest.</w:t>
      </w:r>
    </w:p>
    <w:p>
      <w:pPr>
        <w:sectPr>
          <w:pgSz w:w="11900" w:h="16838" w:orient="portrait"/>
          <w:cols w:equalWidth="0" w:num="1">
            <w:col w:w="11186"/>
          </w:cols>
          <w:pgMar w:left="234" w:top="999" w:right="479" w:bottom="1440" w:gutter="0" w:footer="0" w:header="0"/>
        </w:sectPr>
      </w:pPr>
    </w:p>
    <w:p>
      <w:pPr>
        <w:spacing w:after="0" w:line="175" w:lineRule="exact"/>
        <w:rPr>
          <w:sz w:val="20"/>
          <w:szCs w:val="20"/>
          <w:color w:val="auto"/>
        </w:rPr>
      </w:pPr>
    </w:p>
    <w:p>
      <w:pPr>
        <w:ind w:left="826" w:hanging="826"/>
        <w:spacing w:after="0" w:line="249" w:lineRule="auto"/>
        <w:tabs>
          <w:tab w:leader="none" w:pos="82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 share amounts and adjusted for a two-for-one stock split in 1992.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3860"/>
        <w:spacing w:after="0"/>
        <w:tabs>
          <w:tab w:leader="none" w:pos="2180" w:val="left"/>
          <w:tab w:leader="none" w:pos="1160" w:val="left"/>
        </w:tabs>
        <w:rPr>
          <w:sz w:val="20"/>
          <w:szCs w:val="20"/>
          <w:color w:val="auto"/>
        </w:rPr>
      </w:pPr>
      <w:r>
        <w:rPr>
          <w:rFonts w:ascii="Courier New" w:cs="Courier New" w:eastAsia="Courier New" w:hAnsi="Courier New"/>
          <w:sz w:val="15"/>
          <w:szCs w:val="15"/>
          <w:color w:val="auto"/>
        </w:rPr>
        <w:t>number of shares</w:t>
        <w:tab/>
        <w:t>have been</w:t>
        <w:tab/>
        <w:t>retroactively</w:t>
      </w:r>
    </w:p>
    <w:p>
      <w:pPr>
        <w:spacing w:after="0" w:line="6" w:lineRule="exact"/>
        <w:rPr>
          <w:sz w:val="20"/>
          <w:szCs w:val="20"/>
          <w:color w:val="auto"/>
        </w:rPr>
      </w:pPr>
    </w:p>
    <w:p>
      <w:pPr>
        <w:jc w:val="right"/>
        <w:ind w:right="3860"/>
        <w:spacing w:after="0"/>
        <w:tabs>
          <w:tab w:leader="none" w:pos="3100" w:val="left"/>
          <w:tab w:leader="none" w:pos="1160" w:val="left"/>
        </w:tabs>
        <w:rPr>
          <w:sz w:val="20"/>
          <w:szCs w:val="20"/>
          <w:color w:val="auto"/>
        </w:rPr>
      </w:pPr>
      <w:r>
        <w:rPr>
          <w:rFonts w:ascii="Courier New" w:cs="Courier New" w:eastAsia="Courier New" w:hAnsi="Courier New"/>
          <w:sz w:val="15"/>
          <w:szCs w:val="15"/>
          <w:color w:val="auto"/>
        </w:rPr>
        <w:t>stock</w:t>
        <w:tab/>
        <w:t>split in 1993 and a</w:t>
        <w:tab/>
        <w:t>three-for-two</w:t>
      </w:r>
    </w:p>
    <w:p>
      <w:pPr>
        <w:spacing w:after="0" w:line="358" w:lineRule="exact"/>
        <w:rPr>
          <w:sz w:val="20"/>
          <w:szCs w:val="20"/>
          <w:color w:val="auto"/>
        </w:rPr>
      </w:pPr>
    </w:p>
    <w:p>
      <w:pPr>
        <w:sectPr>
          <w:pgSz w:w="11900" w:h="16838" w:orient="portrait"/>
          <w:cols w:equalWidth="0" w:num="2">
            <w:col w:w="3386" w:space="100"/>
            <w:col w:w="7700"/>
          </w:cols>
          <w:pgMar w:left="234" w:top="999" w:right="479" w:bottom="1440" w:gutter="0" w:footer="0" w:header="0"/>
          <w:type w:val="continuous"/>
        </w:sectPr>
      </w:pPr>
    </w:p>
    <w:p>
      <w:pPr>
        <w:ind w:left="826" w:hanging="826"/>
        <w:spacing w:after="0"/>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cumulative effects of accounting changes in 1993.</w:t>
      </w:r>
    </w:p>
    <w:p>
      <w:pPr>
        <w:spacing w:after="0" w:line="182" w:lineRule="exact"/>
        <w:rPr>
          <w:rFonts w:ascii="Courier New" w:cs="Courier New" w:eastAsia="Courier New" w:hAnsi="Courier New"/>
          <w:sz w:val="15"/>
          <w:szCs w:val="15"/>
          <w:color w:val="auto"/>
        </w:rPr>
      </w:pPr>
    </w:p>
    <w:p>
      <w:pPr>
        <w:jc w:val="both"/>
        <w:ind w:left="826" w:right="3860" w:hanging="826"/>
        <w:spacing w:after="0" w:line="249" w:lineRule="auto"/>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settlements, charges and other unusual items, net. See the Notes to Financial Statements in Item 8 for explanation of these amounts.</w:t>
      </w:r>
    </w:p>
    <w:p>
      <w:pPr>
        <w:spacing w:after="0" w:line="175"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paid in acquisitions.</w:t>
      </w:r>
    </w:p>
    <w:p>
      <w:pPr>
        <w:spacing w:after="0" w:line="358" w:lineRule="exact"/>
        <w:rPr>
          <w:rFonts w:ascii="Courier New" w:cs="Courier New" w:eastAsia="Courier New" w:hAnsi="Courier New"/>
          <w:sz w:val="15"/>
          <w:szCs w:val="15"/>
          <w:color w:val="auto"/>
        </w:rPr>
      </w:pPr>
    </w:p>
    <w:p>
      <w:pPr>
        <w:ind w:left="3566" w:hanging="176"/>
        <w:spacing w:after="0"/>
        <w:tabs>
          <w:tab w:leader="none" w:pos="35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11186"/>
          </w:cols>
          <w:pgMar w:left="234" w:top="999" w:right="479" w:bottom="1440" w:gutter="0" w:footer="0" w:header="0"/>
          <w:type w:val="continuous"/>
        </w:sectPr>
      </w:pPr>
    </w:p>
    <w:bookmarkStart w:id="16" w:name="page17"/>
    <w:bookmarkEnd w:id="16"/>
    <w:p>
      <w:pPr>
        <w:ind w:left="1100" w:right="3359" w:hanging="1098"/>
        <w:spacing w:after="0" w:line="250" w:lineRule="auto"/>
        <w:tabs>
          <w:tab w:leader="none" w:pos="10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incurred a net loss in 1997 of $101.8 million ($.94 per share), which included a pre-tax net charge of $32.5 million ($20.6 million after taxes, or $.19 per share). L-P's net losses in 1996 and 1995 primarily resulted from charges taken in the third quarter of each year. The charge in 1996 was $350.0 million pre-tax ($215.0 million after tax, or $2.00 per share) and the 1995 charge was $366.6 million pre-tax ($221.8 million after tax, or $2.07 per share). These charges are discussed in further detail in Note Seven to the financial statements. Prior to the settlements, charges and other unusual items, L-P had an after-tax loss of $81.2 million ($.75 per share) in 1997, after-tax income of $14.3 million in 1996 ($.13 per share) and after-tax income of $170.1 million in 1995 ($1.59 per share).</w:t>
      </w:r>
    </w:p>
    <w:p>
      <w:pPr>
        <w:spacing w:after="0" w:line="175" w:lineRule="exact"/>
        <w:rPr>
          <w:sz w:val="20"/>
          <w:szCs w:val="20"/>
          <w:color w:val="auto"/>
        </w:rPr>
      </w:pPr>
    </w:p>
    <w:p>
      <w:pPr>
        <w:jc w:val="both"/>
        <w:ind w:right="2899" w:firstLine="550"/>
        <w:spacing w:after="0" w:line="250" w:lineRule="auto"/>
        <w:rPr>
          <w:sz w:val="20"/>
          <w:szCs w:val="20"/>
          <w:color w:val="auto"/>
        </w:rPr>
      </w:pPr>
      <w:r>
        <w:rPr>
          <w:rFonts w:ascii="Courier New" w:cs="Courier New" w:eastAsia="Courier New" w:hAnsi="Courier New"/>
          <w:sz w:val="15"/>
          <w:szCs w:val="15"/>
          <w:color w:val="auto"/>
        </w:rPr>
        <w:t>Sales in 1997 were $2.40 billion, a 3% decline from 1996 sales of $2.49 billion. Sales in 1996 were 13% lower than 1995 sales of $2.84 billion.</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operates in two major business segments: building products and pulp. Building products is the most significant segment, accounting for more than 88 percent of net sales in each of the past three years. The results of operations are discussed below for each of these segments separately. Additional information about the factors affecting L-P's segments is presented in the "Selected Financial Data" in Item 6 and the "Product Information Summary" in Item 1.</w:t>
      </w:r>
    </w:p>
    <w:p>
      <w:pPr>
        <w:spacing w:after="0" w:line="35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In 1997, the building products segment had a decline in sales and profitability, largely the result of an industry-wide oversupply of structural panel products in North America. In 1997, the pulp segment lost money, but improved from the large losses suffered in 1996. However, the economic crisis in Asia negatively impacted pulp segment results late in the year. Both the building products and pulp segments declined in sales and profitability in 1996 compared to 1995. The weakness in building products was primarily due to the structural panel oversupply, while pulp markets remained very weak throughout 1996 due to high world-wide inventories. The Ketchikan Pulp Company contract issue (discussed further below) also negatively impacted pulp segment results in 1996.</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 PRODUCTS</w:t>
      </w:r>
    </w:p>
    <w:p>
      <w:pPr>
        <w:spacing w:after="0" w:line="182" w:lineRule="exact"/>
        <w:rPr>
          <w:sz w:val="20"/>
          <w:szCs w:val="20"/>
          <w:color w:val="auto"/>
        </w:rPr>
      </w:pPr>
    </w:p>
    <w:p>
      <w:pPr>
        <w:ind w:left="6320"/>
        <w:spacing w:after="0"/>
        <w:rPr>
          <w:sz w:val="20"/>
          <w:szCs w:val="20"/>
          <w:color w:val="auto"/>
        </w:rPr>
      </w:pPr>
      <w:r>
        <w:rPr>
          <w:rFonts w:ascii="Courier New" w:cs="Courier New" w:eastAsia="Courier New" w:hAnsi="Courier New"/>
          <w:sz w:val="15"/>
          <w:szCs w:val="15"/>
          <w:color w:val="auto"/>
        </w:rPr>
        <w:t>INCREASE</w:t>
      </w:r>
    </w:p>
    <w:p>
      <w:pPr>
        <w:spacing w:after="0" w:line="6" w:lineRule="exact"/>
        <w:rPr>
          <w:sz w:val="20"/>
          <w:szCs w:val="20"/>
          <w:color w:val="auto"/>
        </w:rPr>
      </w:pPr>
    </w:p>
    <w:p>
      <w:pPr>
        <w:ind w:left="3660"/>
        <w:spacing w:after="0"/>
        <w:tabs>
          <w:tab w:leader="none" w:pos="6200" w:val="left"/>
        </w:tabs>
        <w:rPr>
          <w:sz w:val="20"/>
          <w:szCs w:val="20"/>
          <w:color w:val="auto"/>
        </w:rPr>
      </w:pPr>
      <w:r>
        <w:rPr>
          <w:rFonts w:ascii="Courier New" w:cs="Courier New" w:eastAsia="Courier New" w:hAnsi="Courier New"/>
          <w:sz w:val="15"/>
          <w:szCs w:val="15"/>
          <w:color w:val="auto"/>
        </w:rPr>
        <w:t>YEAR ENDED DEC. 31,</w:t>
      </w:r>
      <w:r>
        <w:rPr>
          <w:sz w:val="20"/>
          <w:szCs w:val="20"/>
          <w:color w:val="auto"/>
        </w:rPr>
        <w:tab/>
      </w:r>
      <w:r>
        <w:rPr>
          <w:rFonts w:ascii="Courier New" w:cs="Courier New" w:eastAsia="Courier New" w:hAnsi="Courier New"/>
          <w:sz w:val="15"/>
          <w:szCs w:val="15"/>
          <w:color w:val="auto"/>
        </w:rPr>
        <w:t>(DECREASE)</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80"/>
        <w:spacing w:after="0"/>
        <w:tabs>
          <w:tab w:leader="none" w:pos="4280" w:val="left"/>
          <w:tab w:leader="none" w:pos="5200" w:val="left"/>
          <w:tab w:leader="none" w:pos="61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97-96 96-95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(DOLLAR AMOUNTS IN MILLIONS)</w:t>
            </w:r>
          </w:p>
        </w:tc>
        <w:tc>
          <w:tcPr>
            <w:tcW w:w="460" w:type="dxa"/>
            <w:vAlign w:val="bottom"/>
          </w:tcPr>
          <w:p>
            <w:pPr>
              <w:spacing w:after="0"/>
              <w:rPr>
                <w:sz w:val="14"/>
                <w:szCs w:val="14"/>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Structural panel products</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6"/>
              </w:rPr>
              <w:t>864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6"/>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Lumber</w:t>
            </w:r>
          </w:p>
        </w:tc>
        <w:tc>
          <w:tcPr>
            <w:tcW w:w="560" w:type="dxa"/>
            <w:vAlign w:val="bottom"/>
          </w:tcPr>
          <w:p>
            <w:pPr>
              <w:spacing w:after="0"/>
              <w:rPr>
                <w:sz w:val="15"/>
                <w:szCs w:val="15"/>
                <w:color w:val="auto"/>
              </w:rPr>
            </w:pP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6"/>
              </w:rPr>
              <w:t>665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614</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Industrial panel products</w:t>
            </w:r>
          </w:p>
        </w:tc>
        <w:tc>
          <w:tcPr>
            <w:tcW w:w="560" w:type="dxa"/>
            <w:vAlign w:val="bottom"/>
          </w:tcPr>
          <w:p>
            <w:pPr>
              <w:spacing w:after="0"/>
              <w:rPr>
                <w:sz w:val="15"/>
                <w:szCs w:val="15"/>
                <w:color w:val="auto"/>
              </w:rPr>
            </w:pP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6"/>
              </w:rPr>
              <w:t>181</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Other building products</w:t>
            </w:r>
          </w:p>
        </w:tc>
        <w:tc>
          <w:tcPr>
            <w:tcW w:w="560" w:type="dxa"/>
            <w:vAlign w:val="bottom"/>
          </w:tcPr>
          <w:p>
            <w:pPr>
              <w:spacing w:after="0"/>
              <w:rPr>
                <w:sz w:val="15"/>
                <w:szCs w:val="15"/>
                <w:color w:val="auto"/>
              </w:rPr>
            </w:pP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6"/>
              </w:rPr>
              <w:t>563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494</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2920" w:type="dxa"/>
            <w:vAlign w:val="bottom"/>
          </w:tcPr>
          <w:p>
            <w:pPr>
              <w:spacing w:after="0"/>
              <w:rPr>
                <w:sz w:val="15"/>
                <w:szCs w:val="15"/>
                <w:color w:val="auto"/>
              </w:rPr>
            </w:pPr>
          </w:p>
        </w:tc>
        <w:tc>
          <w:tcPr>
            <w:tcW w:w="9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Total building products</w:t>
            </w:r>
          </w:p>
        </w:tc>
        <w:tc>
          <w:tcPr>
            <w:tcW w:w="9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$2,273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$2,309</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$2,509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6"/>
        </w:trPr>
        <w:tc>
          <w:tcPr>
            <w:tcW w:w="2920" w:type="dxa"/>
            <w:vAlign w:val="bottom"/>
          </w:tcPr>
          <w:p>
            <w:pPr>
              <w:spacing w:after="0"/>
              <w:rPr>
                <w:sz w:val="15"/>
                <w:szCs w:val="15"/>
                <w:color w:val="auto"/>
              </w:rPr>
            </w:pPr>
          </w:p>
        </w:tc>
        <w:tc>
          <w:tcPr>
            <w:tcW w:w="9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Profit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174</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346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6"/>
        </w:trPr>
        <w:tc>
          <w:tcPr>
            <w:tcW w:w="2920" w:type="dxa"/>
            <w:vAlign w:val="bottom"/>
          </w:tcPr>
          <w:p>
            <w:pPr>
              <w:spacing w:after="0"/>
              <w:rPr>
                <w:sz w:val="15"/>
                <w:szCs w:val="15"/>
                <w:color w:val="auto"/>
              </w:rPr>
            </w:pPr>
          </w:p>
        </w:tc>
        <w:tc>
          <w:tcPr>
            <w:tcW w:w="9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181"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Sales of structural panel products (plywood and oriented strand board (OSB)) suffered in both 1997 and 1996 from industry wide over-capacity. The over-capacity is the result of new OSB plants built by the industry throughout North America at a rate greater than the growth in demand. Average selling prices in 1997 fell approximately 13% compared to 1996, while 1996 average prices were approximately 20% lower than 1995. During the latter part of 1997, L-P's net sales realization was also negatively impacted by increased shipping costs caused by interrupted rail service. Structural panel sales volumes in 1997 decreased 3% from 1996 levels as a result of the permanent closure of two</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19"/>
          </w:cols>
          <w:pgMar w:left="240" w:top="470" w:right="1440" w:bottom="1440" w:gutter="0" w:footer="0" w:header="0"/>
        </w:sectPr>
      </w:pPr>
    </w:p>
    <w:bookmarkStart w:id="17" w:name="page18"/>
    <w:bookmarkEnd w:id="17"/>
    <w:p>
      <w:pPr>
        <w:jc w:val="both"/>
        <w:ind w:right="2899"/>
        <w:spacing w:after="0" w:line="249" w:lineRule="auto"/>
        <w:rPr>
          <w:sz w:val="20"/>
          <w:szCs w:val="20"/>
          <w:color w:val="auto"/>
        </w:rPr>
      </w:pPr>
      <w:r>
        <w:rPr>
          <w:rFonts w:ascii="Courier New" w:cs="Courier New" w:eastAsia="Courier New" w:hAnsi="Courier New"/>
          <w:sz w:val="15"/>
          <w:szCs w:val="15"/>
          <w:color w:val="auto"/>
        </w:rPr>
        <w:t>plywood plants and four OSB plants in 1997 and late 1996. Sales volumes in 1996 increased approximately 14% compared to 1995 due to new OSB plants started-up in that year, despite temporary market-related shut-downs at some of L-P's OSB plants.</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Lumber sales increased in 1997 due to a 6% increase in average sales prices and a slight increase in volume sold. Lumber markets experienced strong demand through the first three quarters of 1997, benefiting from a robust U.S. economy, relatively low interest rates and strong housing starts. Late in the year, weakening currencies in Asia limited shipments from North America to those markets which put supply pressure on domestic markets, causing lumber prices to decline. This trend will likely continue into 1998. Lumber sales were lower in 1996 than 1995 as a result of sales volume, which decreased approximately 12%. L-P permanently closed a number of unprofitable sawmills around the country in 1995 and 1996. Average selling prices rose about 9% in 1996 due to a strong U.S. economy, lower production volumes industry wide and lower volumes of lumber imported from Canada.</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Industrial panels consist of particleboard, medium density fiberboard (MDF) and hardboard. These sales decreased in 1997 compared to 1996 primarily because of lower sales prices of approximately 6%. The price decline was due primarily to increased industry production relative to demand. Industrial panel sales volumes in 1997 decreased slightly after a slight increase in 1996 compared to 1995. Prices fell approximately 11% in 1996. This price decline was also due to excess industry production.</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The increase in other building products sales in 1997 was primarily due to the acquisition of Associated Chemists, Inc. (coatings and chemicals) in mid-1996, GreenStone Industries, Inc. (cellulose insulation) in early 1997 and the assets of Tecton Laminates (engineered I-Joists and LVL) in early 1997. Other building products sales decreased in 1996 due to lower wood chip sales. L-P was producing fewer wood chips due to lower sawmill and plywood production, and wood chip prices weakened significantly, particularly on the West Coast.</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The primary factor in the decrease in building products profits in 1997 was further erosion of OSB sales prices. Also, higher log costs in the southern region of the country caused plywood earnings to be significantly reduced. Industrial panel profits also declined in 1997 as a result of lower sales prices. Lumber profits increased in 1997 due to higher average sales prices, which helped offset the profitability declines in structural and industrial panels. Building products profits decreased in 1996 from 1995 due to the lower prices discussed above for structural panel products and industrial panel products. Raw material costs were generally lower in 1996 than in 1995, but did not fully offset the lower sales prices.</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L-P's building products are primarily sold as commodities and therefore sales prices fluctuate based on market factors over which L-P has no control. L-P cannot predict whether the prices of its building products will remain at current levels, or will increase or decrease in the future because supply and demand are influenced by many factors, only two of which are the cost and availability of raw materials. L-P is not able to determine to what extent, if any, it will be able to pass any future increases in the price of raw materials on to customers through product price increases.</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19"/>
          </w:cols>
          <w:pgMar w:left="240" w:top="470" w:right="1440" w:bottom="1440" w:gutter="0" w:footer="0" w:header="0"/>
        </w:sectPr>
      </w:pPr>
    </w:p>
    <w:bookmarkStart w:id="18" w:name="page19"/>
    <w:bookmarkEnd w:id="18"/>
    <w:p>
      <w:pPr>
        <w:ind w:left="6"/>
        <w:spacing w:after="0"/>
        <w:rPr>
          <w:sz w:val="20"/>
          <w:szCs w:val="20"/>
          <w:color w:val="auto"/>
        </w:rPr>
      </w:pPr>
      <w:r>
        <w:rPr>
          <w:rFonts w:ascii="Courier New" w:cs="Courier New" w:eastAsia="Courier New" w:hAnsi="Courier New"/>
          <w:sz w:val="15"/>
          <w:szCs w:val="15"/>
          <w:color w:val="auto"/>
        </w:rPr>
        <w:t>PULP</w:t>
      </w:r>
    </w:p>
    <w:p>
      <w:pPr>
        <w:spacing w:after="0" w:line="6" w:lineRule="exact"/>
        <w:rPr>
          <w:sz w:val="20"/>
          <w:szCs w:val="20"/>
          <w:color w:val="auto"/>
        </w:rPr>
      </w:pPr>
    </w:p>
    <w:p>
      <w:pPr>
        <w:ind w:left="6046"/>
        <w:spacing w:after="0"/>
        <w:rPr>
          <w:sz w:val="20"/>
          <w:szCs w:val="20"/>
          <w:color w:val="auto"/>
        </w:rPr>
      </w:pPr>
      <w:r>
        <w:rPr>
          <w:rFonts w:ascii="Courier New" w:cs="Courier New" w:eastAsia="Courier New" w:hAnsi="Courier New"/>
          <w:sz w:val="15"/>
          <w:szCs w:val="15"/>
          <w:color w:val="auto"/>
        </w:rPr>
        <w:t>INCREASE</w:t>
      </w:r>
    </w:p>
    <w:p>
      <w:pPr>
        <w:spacing w:after="0" w:line="6" w:lineRule="exact"/>
        <w:rPr>
          <w:sz w:val="20"/>
          <w:szCs w:val="20"/>
          <w:color w:val="auto"/>
        </w:rPr>
      </w:pPr>
    </w:p>
    <w:p>
      <w:pPr>
        <w:ind w:left="2746"/>
        <w:spacing w:after="0"/>
        <w:tabs>
          <w:tab w:leader="none" w:pos="5926" w:val="left"/>
        </w:tabs>
        <w:rPr>
          <w:sz w:val="20"/>
          <w:szCs w:val="20"/>
          <w:color w:val="auto"/>
        </w:rPr>
      </w:pPr>
      <w:r>
        <w:rPr>
          <w:rFonts w:ascii="Courier New" w:cs="Courier New" w:eastAsia="Courier New" w:hAnsi="Courier New"/>
          <w:sz w:val="15"/>
          <w:szCs w:val="15"/>
          <w:color w:val="auto"/>
        </w:rPr>
        <w:t>YEAR ENDED DEC. 31,</w:t>
      </w:r>
      <w:r>
        <w:rPr>
          <w:sz w:val="20"/>
          <w:szCs w:val="20"/>
          <w:color w:val="auto"/>
        </w:rPr>
        <w:tab/>
      </w:r>
      <w:r>
        <w:rPr>
          <w:rFonts w:ascii="Courier New" w:cs="Courier New" w:eastAsia="Courier New" w:hAnsi="Courier New"/>
          <w:sz w:val="15"/>
          <w:szCs w:val="15"/>
          <w:color w:val="auto"/>
        </w:rPr>
        <w:t>(DECREASE)</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286"/>
        <w:spacing w:after="0"/>
        <w:tabs>
          <w:tab w:leader="none" w:pos="3366" w:val="left"/>
          <w:tab w:leader="none" w:pos="4566" w:val="left"/>
          <w:tab w:leader="none" w:pos="5566" w:val="left"/>
          <w:tab w:leader="none" w:pos="6666"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97-96</w:t>
      </w:r>
      <w:r>
        <w:rPr>
          <w:sz w:val="20"/>
          <w:szCs w:val="20"/>
          <w:color w:val="auto"/>
        </w:rPr>
        <w:tab/>
      </w:r>
      <w:r>
        <w:rPr>
          <w:rFonts w:ascii="Courier New" w:cs="Courier New" w:eastAsia="Courier New" w:hAnsi="Courier New"/>
          <w:sz w:val="15"/>
          <w:szCs w:val="15"/>
          <w:color w:val="auto"/>
        </w:rPr>
        <w:t>96-95</w:t>
      </w:r>
    </w:p>
    <w:p>
      <w:pPr>
        <w:spacing w:after="0" w:line="6" w:lineRule="exact"/>
        <w:rPr>
          <w:sz w:val="20"/>
          <w:szCs w:val="20"/>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 AMOUNTS 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Pulp sales</w:t>
            </w:r>
          </w:p>
        </w:tc>
        <w:tc>
          <w:tcPr>
            <w:tcW w:w="1320" w:type="dxa"/>
            <w:vAlign w:val="bottom"/>
          </w:tcPr>
          <w:p>
            <w:pPr>
              <w:ind w:left="540"/>
              <w:spacing w:after="0"/>
              <w:rPr>
                <w:sz w:val="20"/>
                <w:szCs w:val="20"/>
                <w:color w:val="auto"/>
              </w:rPr>
            </w:pPr>
            <w:r>
              <w:rPr>
                <w:rFonts w:ascii="Courier New" w:cs="Courier New" w:eastAsia="Courier New" w:hAnsi="Courier New"/>
                <w:sz w:val="15"/>
                <w:szCs w:val="15"/>
                <w:color w:val="auto"/>
              </w:rPr>
              <w:t>$130</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$177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$334</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6"/>
        </w:trPr>
        <w:tc>
          <w:tcPr>
            <w:tcW w:w="1740" w:type="dxa"/>
            <w:vAlign w:val="bottom"/>
          </w:tcPr>
          <w:p>
            <w:pPr>
              <w:spacing w:after="0"/>
              <w:rPr>
                <w:sz w:val="15"/>
                <w:szCs w:val="15"/>
                <w:color w:val="auto"/>
              </w:rPr>
            </w:pPr>
          </w:p>
        </w:tc>
        <w:tc>
          <w:tcPr>
            <w:tcW w:w="13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2"/>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Profit (loss)</w:t>
            </w:r>
          </w:p>
        </w:tc>
        <w:tc>
          <w:tcPr>
            <w:tcW w:w="1320" w:type="dxa"/>
            <w:vAlign w:val="bottom"/>
          </w:tcPr>
          <w:p>
            <w:pPr>
              <w:ind w:left="540"/>
              <w:spacing w:after="0"/>
              <w:rPr>
                <w:sz w:val="20"/>
                <w:szCs w:val="20"/>
                <w:color w:val="auto"/>
              </w:rPr>
            </w:pPr>
            <w:r>
              <w:rPr>
                <w:rFonts w:ascii="Courier New" w:cs="Courier New" w:eastAsia="Courier New" w:hAnsi="Courier New"/>
                <w:sz w:val="15"/>
                <w:szCs w:val="15"/>
                <w:color w:val="auto"/>
              </w:rPr>
              <w:t>$(29)</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$(91)</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$ 44</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6"/>
        </w:trPr>
        <w:tc>
          <w:tcPr>
            <w:tcW w:w="1740" w:type="dxa"/>
            <w:vAlign w:val="bottom"/>
          </w:tcPr>
          <w:p>
            <w:pPr>
              <w:spacing w:after="0"/>
              <w:rPr>
                <w:sz w:val="15"/>
                <w:szCs w:val="15"/>
                <w:color w:val="auto"/>
              </w:rPr>
            </w:pPr>
          </w:p>
        </w:tc>
        <w:tc>
          <w:tcPr>
            <w:tcW w:w="13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181"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The single largest factor in the decline in pulp sales in 1997 was the closure in March 1997 of the pulp mill owned by L-P's Ketchikan Pulp Company (KPC) subsidiary. Pulp sales volumes decreased approximately 10%, while average prices dropped approximately 19%. However, KPC pulp had a higher sales average than L-P's two remaining pulp mills. Excluding KPC, L-P's remaining pulp business showed an increase of 11% in sales volume and a price decrease of approximately 6%. The Asian economic crisis caused pulp prices to decline late in 1997, which will likely continue into 1998. Pulp sales plummeted in 1996 as sales prices fell an average of 44% while volumes decreased about 5%. Large pulp inventories around the world created very weak pulp markets throughout 1996. L-P took intermittent downtime at the pulp mills during the year, which caused the volume decrease.</w:t>
      </w:r>
    </w:p>
    <w:p>
      <w:pPr>
        <w:spacing w:after="0" w:line="351"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Pulp segment profits improved significantly in 1997 due in large part to the shut-down of the KPC mill which had been suffering losses due to market conditions and changes in the timber supply contract. At the two remaining mills, L-P successfully cut its operating costs through a concentrated cost reduction effort, both from more efficient operations and a central purchasing program. After making a profit in 1995, the pulp mills returned to losses in 1996 due to the downturn in the markets and problems experienced with the KPC contract. Raw material costs decreased in 1996 after experiencing an increase in 1995.</w:t>
      </w:r>
    </w:p>
    <w:p>
      <w:pPr>
        <w:spacing w:after="0" w:line="35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L-P's pulp products are primarily sold as commodities and therefore sales prices fluctuate based on market factors over which L-P has no control. L-P cannot predict whether the prices of its pulp products will remain at current levels, or will increase or decrease in the future because supply and demand are influenced by many factors, only two of which are the cost and availability of raw materials. L-P is not able to determine to what extent, if any, it will be able to pass any future increases in the price of raw materials on to customers through product price increases. The economic crisis in Asia has continued into 1998, which has negatively impacted pulp markets. A significant portion of L-P's pulp is sold to countries in that region.</w:t>
      </w:r>
    </w:p>
    <w:p>
      <w:pPr>
        <w:spacing w:after="0" w:line="175"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L-P pulp products are sold primarily to export customers and represent the majority of L-P's export sales. Therefore, the decline in pulp sales was the primary reason for L-P's decreased export sales in 1997 and 1996, both in amount and as a percent of total sales. Information regarding L-P's geographic segments and export sales are provided in the notes to financial statements under the caption "Segment Information."</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GENERAL CORPORATE EXPENSE, NET</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Net general corporate expense was $80 million in 1997, compared to $52 million in 1996, and an unusually high amount of $121 million in 1995. In 1997 and 1996, the recurring level of general corporate expense has increased largely due to corporate-wide training programs undertaken by current management and the addition of key personnel to drive future growth and improvement initiatives. In 1996, $17 million of credits, resulting from a gain on the sale of assets, were netted into this expense. The most significant factor in the 1995 amount was higher expenses associated with litigation against the company of approximately $48 million, including</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25"/>
          </w:cols>
          <w:pgMar w:left="234" w:top="470" w:right="1440" w:bottom="1440" w:gutter="0" w:footer="0" w:header="0"/>
        </w:sectPr>
      </w:pPr>
    </w:p>
    <w:bookmarkStart w:id="19" w:name="page20"/>
    <w:bookmarkEnd w:id="19"/>
    <w:p>
      <w:pPr>
        <w:jc w:val="both"/>
        <w:ind w:right="2899"/>
        <w:spacing w:after="0" w:line="249" w:lineRule="auto"/>
        <w:rPr>
          <w:sz w:val="20"/>
          <w:szCs w:val="20"/>
          <w:color w:val="auto"/>
        </w:rPr>
      </w:pPr>
      <w:r>
        <w:rPr>
          <w:rFonts w:ascii="Courier New" w:cs="Courier New" w:eastAsia="Courier New" w:hAnsi="Courier New"/>
          <w:sz w:val="15"/>
          <w:szCs w:val="15"/>
          <w:color w:val="auto"/>
        </w:rPr>
        <w:t>legal fees and increases in contingency reserves (it did not, however, include amounts recorded in the line item "Settlements, Charges and Other Unusual Items, Net" which is discussed in Note Seven to the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SETTLEMENTS, CHARGES AND OTHER UNUSUAL ITEMS,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550"/>
        <w:spacing w:after="0" w:line="250" w:lineRule="auto"/>
        <w:rPr>
          <w:sz w:val="20"/>
          <w:szCs w:val="20"/>
          <w:color w:val="auto"/>
        </w:rPr>
      </w:pPr>
      <w:r>
        <w:rPr>
          <w:rFonts w:ascii="Courier New" w:cs="Courier New" w:eastAsia="Courier New" w:hAnsi="Courier New"/>
          <w:sz w:val="15"/>
          <w:szCs w:val="15"/>
          <w:color w:val="auto"/>
        </w:rPr>
        <w:t>For a discussion of settlements, charges and other unusual items, net, refer to Note Seven to the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Net interest expense rose significantly in 1997 and 1996 as L-P borrowed funds to cover its settlement obligations and fund capital expenditures. Additionally, interest capitalized has decreased in 1997 and 1996 as construction projects have been completed. Also, interest income was lower in each of the past two years due to lower levels of cash available for investing.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AND ENVIRONMENTAL MATTERS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550"/>
        <w:spacing w:after="0" w:line="253" w:lineRule="auto"/>
        <w:rPr>
          <w:sz w:val="20"/>
          <w:szCs w:val="20"/>
          <w:color w:val="auto"/>
        </w:rPr>
      </w:pPr>
      <w:r>
        <w:rPr>
          <w:rFonts w:ascii="Courier New" w:cs="Courier New" w:eastAsia="Courier New" w:hAnsi="Courier New"/>
          <w:sz w:val="15"/>
          <w:szCs w:val="15"/>
          <w:color w:val="auto"/>
        </w:rPr>
        <w:t>For a discussion of legal and environmental matters involving L-P and the potential effect on the company, refer to Note Eight to the financial statements.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LIQUIDITY AND CAPITAL RESOURCES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Net cash provided by operations increased to $88 million in 1997 from $23 million in 1996, down from $335 million in 1995. These fluctuations primarily correlate to changes in the company's net loss. In 1997, L-P received a settlement from the U.S. Government of $135 million for claims related to the KPC long-term timber supply contract. In 1997 and 1996, L-P paid out $205 million and $263 million for obligations related to litigation settlements.</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Net cash used in investing activities decreased to $140 million from $213 million in 1996 and $387 million in 1995. Capital expenditures peaked in 1995 with the addition of several new OSB plants and other projects. In 1997 and 1996, L-P received $64 million and $62 million of cash for assets sold. L-P has also spent significant amounts on environmental projects (such as pollution control equipment), upgrades of existing production facilities, and timber to supply its operations and logging roads.</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increased its net borrowings by $114 million in 1997 and $196 million in 1996. The borrowings financed the payments of settlement obligations and capital expenditures. L-P purchased only $3 million of treasury shares in 1997 and no treasury shares in 1996 after purchasing $120 million of treasury stock in 1995.</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has a revolving credit facility of $300 million, which was fully borrowed at year-end. Subsequent to year-end, L-P entered into an additional credit facility with a group of banks for an additional $100 million, which is available to fund cash needs. This additional credit facility must be repaid upon the sale of assets described below.</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October 1997, L-P announced that it intends to sell assets that management considers non-strategic to L-P's core businesses. These assets include, among others, the remaining California redwood timberlands, related lumber and certain distribution businesses, the Samoa, California, pulp mill, the Weather-Seal window and door manufacturing business, the Creative Point, Inc., subsidiary, the Red Bluff, California, cement fiber roof shake plant and the fiber gypsum plant in Nova Scotia. As of year-end, L-P was actively marketing all of these assets and had sold the fiber gypsum plant. L-P presently estimates the proceeds from these sales at $800 million to</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19"/>
          </w:cols>
          <w:pgMar w:left="240" w:top="470" w:right="1440" w:bottom="1440" w:gutter="0" w:footer="0" w:header="0"/>
        </w:sectPr>
      </w:pPr>
    </w:p>
    <w:bookmarkStart w:id="20" w:name="page21"/>
    <w:bookmarkEnd w:id="20"/>
    <w:p>
      <w:pPr>
        <w:jc w:val="both"/>
        <w:ind w:right="2899"/>
        <w:spacing w:after="0" w:line="249" w:lineRule="auto"/>
        <w:rPr>
          <w:sz w:val="20"/>
          <w:szCs w:val="20"/>
          <w:color w:val="auto"/>
        </w:rPr>
      </w:pPr>
      <w:r>
        <w:rPr>
          <w:rFonts w:ascii="Courier New" w:cs="Courier New" w:eastAsia="Courier New" w:hAnsi="Courier New"/>
          <w:sz w:val="15"/>
          <w:szCs w:val="15"/>
          <w:color w:val="auto"/>
        </w:rPr>
        <w:t>$1 billion. However, there can be no assurance that net proceeds within the foregoing range will be realized. The proceeds realized will initially be used to fund operations and reduce or eliminate outstanding borrowings on L-P's revolving credit facility. Management is currently studying alternative uses of the proceeds to maximize the long-term value to L-P and its stockholders.</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has budgeted capital expenditures, including timber and logging road additions, for 1998 of approximately $150 million. These expenditures are primarily to complete an OSB plant currently under construction, continue environmental improvements to existing plants, upgrade production facilities and provide timber to operations.</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Contingency reserves, which represent an estimate of future cash needs for various contingencies (principally, payments for siding litigation settlements), total $224 million, of which $40 million is estimated to be payable within one year. As with all accounting estimates, there is inherent uncertainty concerning the reliability and precision of such estimates. As described in the notes to the financial statements under the heading "Contingencies," the amounts ultimately paid in settling all of the outstanding litigation could exceed the current reserves by a material amount.</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continues to be in a strong financial condition with a relatively low ratio of long-term debt as a percent of total capitalization. Management believes that existing cash and cash equivalents combined with additional borrowing available on lines of credit, expected income tax refunds, the significant cash inflow expected from the asset sale program described above and cash to be generated from operations will be sufficient to meet projected cash needs including the payments related to the siding litigation settlement referred to above. The company also believes that because of its conservative financial structure and policies, it has substantial financial flexibility to generate additional funds should the need arise.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As the year 2000 approaches, an issue impacting most companies has emerged regarding the ability of computer applications and systems to properly interpret the year. This is a pervasive and complex issue.</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is in the process of identifying significant applications that will require modification to ensure Year 2000 compliance. Internal and external resources are being used to make this assessment, the required modifications and test Year 2000 compliance. L-P plans on completing the assessment of all significant applications and developing a plan for appropriate action by September 30, 1998.</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In addition, L-P will begin communicating with others with whom it does significant business to determine their Year 2000 compliance readiness and the extent to which L-P is vulnerable to any third party Year 2000 issues. However, there can be no guarantee that the systems of other companies on which L-P's systems rely will be timely converted, or that a failure to convert by another company, or a conversion that is incompatible with L-P's systems, would not have a material adverse effect on L-P.</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The total cost to L-P of these Year 2000 compliance activities has not been and is not anticipated to be material to its financial position or results of operations in any given year. These costs and the date on which L-P plans to complete the Year 2000 assessment process are based on management's best estimates, which were derived utilizing numerous assumptions of future events including the continued availability of certain resources, third-party modification plans and other factors. However, there can be no guarantee that these estimates will be achieved and actual results could differ from those plans.</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19"/>
          </w:cols>
          <w:pgMar w:left="240" w:top="470" w:right="1440" w:bottom="1440" w:gutter="0" w:footer="0" w:header="0"/>
        </w:sectPr>
      </w:pPr>
    </w:p>
    <w:bookmarkStart w:id="21" w:name="page22"/>
    <w:bookmarkEnd w:id="21"/>
    <w:p>
      <w:pPr>
        <w:spacing w:after="0"/>
        <w:tabs>
          <w:tab w:leader="none" w:pos="108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 disclosure is required under this item.</w:t>
      </w:r>
    </w:p>
    <w:p>
      <w:pPr>
        <w:spacing w:after="0" w:line="182"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The consolidated financial statements and accompanying notes to financial statements together with the reports of independent public accountants are located on the following pages. Quarterly data for the registrant's latest two fiscal years is located in the table labeled "Quarterly Data" in Item 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52"/>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DECEMBER 31 (DOLLAR AMOUNTS IN MILLIONS)</w:t>
            </w:r>
          </w:p>
        </w:tc>
        <w:tc>
          <w:tcPr>
            <w:tcW w:w="280" w:type="dxa"/>
            <w:vAlign w:val="bottom"/>
          </w:tcPr>
          <w:p>
            <w:pPr>
              <w:spacing w:after="0"/>
              <w:rPr>
                <w:sz w:val="24"/>
                <w:szCs w:val="24"/>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27.8</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Accounts receivable, less reserves of $2.0 and $1.4</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146.2</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136.2</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258.8</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264.3</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Income tax refunds receivable</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78.0</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99.5</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73.0</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73.1</w:t>
            </w:r>
          </w:p>
        </w:tc>
      </w:tr>
      <w:tr>
        <w:trPr>
          <w:trHeight w:val="176"/>
        </w:trPr>
        <w:tc>
          <w:tcPr>
            <w:tcW w:w="484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596.8</w:t>
            </w:r>
          </w:p>
        </w:tc>
        <w:tc>
          <w:tcPr>
            <w:tcW w:w="14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612.9</w:t>
            </w:r>
          </w:p>
        </w:tc>
      </w:tr>
      <w:tr>
        <w:trPr>
          <w:trHeight w:val="352"/>
        </w:trPr>
        <w:tc>
          <w:tcPr>
            <w:tcW w:w="4840" w:type="dxa"/>
            <w:vAlign w:val="bottom"/>
          </w:tcPr>
          <w:p>
            <w:pPr>
              <w:spacing w:after="0"/>
              <w:rPr>
                <w:sz w:val="20"/>
                <w:szCs w:val="20"/>
                <w:color w:val="auto"/>
              </w:rPr>
            </w:pPr>
            <w:r>
              <w:rPr>
                <w:rFonts w:ascii="Courier New" w:cs="Courier New" w:eastAsia="Courier New" w:hAnsi="Courier New"/>
                <w:sz w:val="15"/>
                <w:szCs w:val="15"/>
                <w:color w:val="auto"/>
              </w:rPr>
              <w:t>Timber and Timberlands, at cost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840" w:type="dxa"/>
            <w:vAlign w:val="bottom"/>
          </w:tcPr>
          <w:p>
            <w:pPr>
              <w:ind w:left="360"/>
              <w:spacing w:after="0"/>
              <w:rPr>
                <w:sz w:val="20"/>
                <w:szCs w:val="20"/>
                <w:color w:val="auto"/>
              </w:rPr>
            </w:pPr>
            <w:r>
              <w:rPr>
                <w:rFonts w:ascii="Courier New" w:cs="Courier New" w:eastAsia="Courier New" w:hAnsi="Courier New"/>
                <w:sz w:val="15"/>
                <w:szCs w:val="15"/>
                <w:color w:val="auto"/>
              </w:rPr>
              <w:t>less cost of timber harvested</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634.2</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648.6</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Land, land improvements and logging roads,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840" w:type="dxa"/>
            <w:vAlign w:val="bottom"/>
          </w:tcPr>
          <w:p>
            <w:pPr>
              <w:ind w:left="360"/>
              <w:spacing w:after="0"/>
              <w:rPr>
                <w:sz w:val="20"/>
                <w:szCs w:val="20"/>
                <w:color w:val="auto"/>
              </w:rPr>
            </w:pPr>
            <w:r>
              <w:rPr>
                <w:rFonts w:ascii="Courier New" w:cs="Courier New" w:eastAsia="Courier New" w:hAnsi="Courier New"/>
                <w:sz w:val="15"/>
                <w:szCs w:val="15"/>
                <w:color w:val="auto"/>
              </w:rPr>
              <w:t>net of road amortization</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185.6</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182.5</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262.5</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269.5</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1,876.3</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1,953.9</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109.5</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w:t>
            </w:r>
          </w:p>
        </w:tc>
      </w:tr>
      <w:tr>
        <w:trPr>
          <w:trHeight w:val="176"/>
        </w:trPr>
        <w:tc>
          <w:tcPr>
            <w:tcW w:w="484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2,433.9</w:t>
            </w:r>
          </w:p>
        </w:tc>
        <w:tc>
          <w:tcPr>
            <w:tcW w:w="14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2,486.0</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(1,242.1)</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(1,207.5)</w:t>
            </w:r>
          </w:p>
        </w:tc>
      </w:tr>
      <w:tr>
        <w:trPr>
          <w:trHeight w:val="176"/>
        </w:trPr>
        <w:tc>
          <w:tcPr>
            <w:tcW w:w="484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ind w:left="360"/>
              <w:spacing w:after="0"/>
              <w:rPr>
                <w:sz w:val="20"/>
                <w:szCs w:val="20"/>
                <w:color w:val="auto"/>
              </w:rPr>
            </w:pPr>
            <w:r>
              <w:rPr>
                <w:rFonts w:ascii="Courier New" w:cs="Courier New" w:eastAsia="Courier New" w:hAnsi="Courier New"/>
                <w:sz w:val="15"/>
                <w:szCs w:val="15"/>
                <w:color w:val="auto"/>
              </w:rPr>
              <w:t>Net property, plant and equipment</w:t>
            </w:r>
          </w:p>
        </w:tc>
        <w:tc>
          <w:tcPr>
            <w:tcW w:w="28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1,191.8</w:t>
            </w:r>
          </w:p>
        </w:tc>
        <w:tc>
          <w:tcPr>
            <w:tcW w:w="14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1,278.5</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Goodwill, net of amortization</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70.7</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45.9</w:t>
            </w: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84.9</w:t>
            </w:r>
          </w:p>
        </w:tc>
        <w:tc>
          <w:tcPr>
            <w:tcW w:w="1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w:t>
            </w:r>
          </w:p>
        </w:tc>
      </w:tr>
      <w:tr>
        <w:trPr>
          <w:trHeight w:val="176"/>
        </w:trPr>
        <w:tc>
          <w:tcPr>
            <w:tcW w:w="484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$ 2,578.4</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$ 2,622.4</w:t>
            </w:r>
          </w:p>
        </w:tc>
      </w:tr>
      <w:tr>
        <w:trPr>
          <w:trHeight w:val="176"/>
        </w:trPr>
        <w:tc>
          <w:tcPr>
            <w:tcW w:w="484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19"/>
          </w:cols>
          <w:pgMar w:left="240" w:top="823"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52"/>
        </w:trPr>
        <w:tc>
          <w:tcPr>
            <w:tcW w:w="6040" w:type="dxa"/>
            <w:vAlign w:val="bottom"/>
            <w:gridSpan w:val="3"/>
          </w:tcPr>
          <w:p>
            <w:pPr>
              <w:spacing w:after="0"/>
              <w:rPr>
                <w:sz w:val="20"/>
                <w:szCs w:val="20"/>
                <w:color w:val="auto"/>
              </w:rPr>
            </w:pPr>
            <w:r>
              <w:rPr>
                <w:rFonts w:ascii="Courier New" w:cs="Courier New" w:eastAsia="Courier New" w:hAnsi="Courier New"/>
                <w:sz w:val="15"/>
                <w:szCs w:val="15"/>
                <w:color w:val="auto"/>
              </w:rPr>
              <w:t>DECEMBER 31 (DOLLAR AMOUNTS IN MILLIONS EXCEPT PER SHARE)</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2"/>
        </w:trPr>
        <w:tc>
          <w:tcPr>
            <w:tcW w:w="4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24"/>
                <w:szCs w:val="24"/>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47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Short-term notes payable</w:t>
            </w:r>
          </w:p>
        </w:tc>
        <w:tc>
          <w:tcPr>
            <w:tcW w:w="3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22.0</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35.4</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liabilities</w:t>
            </w:r>
          </w:p>
        </w:tc>
        <w:tc>
          <w:tcPr>
            <w:tcW w:w="3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234.4</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224.3</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Current portion of contingency reserves</w:t>
            </w:r>
          </w:p>
        </w:tc>
        <w:tc>
          <w:tcPr>
            <w:tcW w:w="3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40.0</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4720" w:type="dxa"/>
            <w:vAlign w:val="bottom"/>
          </w:tcPr>
          <w:p>
            <w:pPr>
              <w:spacing w:after="0"/>
              <w:rPr>
                <w:sz w:val="15"/>
                <w:szCs w:val="15"/>
                <w:color w:val="auto"/>
              </w:rPr>
            </w:pP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720" w:type="dxa"/>
            <w:vAlign w:val="bottom"/>
          </w:tcPr>
          <w:p>
            <w:pPr>
              <w:ind w:left="460"/>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319.3</w:t>
            </w:r>
          </w:p>
        </w:tc>
        <w:tc>
          <w:tcPr>
            <w:tcW w:w="3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378.4</w:t>
            </w:r>
          </w:p>
        </w:tc>
      </w:tr>
      <w:tr>
        <w:trPr>
          <w:trHeight w:val="352"/>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Long-term Debt, excluding current portion</w:t>
            </w:r>
          </w:p>
        </w:tc>
        <w:tc>
          <w:tcPr>
            <w:tcW w:w="36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572.3</w:t>
            </w:r>
          </w:p>
        </w:tc>
        <w:tc>
          <w:tcPr>
            <w:tcW w:w="3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458.6</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178.6</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163.2</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Contingency Reserves, excluding current portion</w:t>
            </w:r>
          </w:p>
        </w:tc>
        <w:tc>
          <w:tcPr>
            <w:tcW w:w="3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184.0</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159.8</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Other Long-term Liabilities and Minority Interest</w:t>
            </w:r>
          </w:p>
        </w:tc>
        <w:tc>
          <w:tcPr>
            <w:tcW w:w="3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38.0</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34.8</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Common stock, $1 par value, 200,000,000 shares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authorized, 116,937,022 shares issued</w:t>
            </w:r>
          </w:p>
        </w:tc>
        <w:tc>
          <w:tcPr>
            <w:tcW w:w="3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117.0</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117.0</w:t>
            </w:r>
          </w:p>
        </w:tc>
      </w:tr>
      <w:tr>
        <w:trPr>
          <w:trHeight w:val="176"/>
        </w:trPr>
        <w:tc>
          <w:tcPr>
            <w:tcW w:w="4720" w:type="dxa"/>
            <w:vAlign w:val="bottom"/>
          </w:tcPr>
          <w:p>
            <w:pPr>
              <w:spacing w:after="0"/>
              <w:rPr>
                <w:sz w:val="15"/>
                <w:szCs w:val="15"/>
                <w:color w:val="auto"/>
              </w:rPr>
            </w:pP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Preferred stock, $1 par value, 15,000,000 shares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authorized, no shares issued</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472.2</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472.7</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977.5</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1,140.0</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Treasury stock, 7,309,360 shares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and 8,170,799 shares, at cost</w:t>
            </w:r>
          </w:p>
        </w:tc>
        <w:tc>
          <w:tcPr>
            <w:tcW w:w="3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(163.4)</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(183.3)</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Loans to Employee Stock Ownership Trusts</w:t>
            </w:r>
          </w:p>
        </w:tc>
        <w:tc>
          <w:tcPr>
            <w:tcW w:w="3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(37.7)</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(79.4)</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6"/>
        </w:trPr>
        <w:tc>
          <w:tcPr>
            <w:tcW w:w="4720" w:type="dxa"/>
            <w:vAlign w:val="bottom"/>
          </w:tcPr>
          <w:p>
            <w:pPr>
              <w:spacing w:after="0"/>
              <w:rPr>
                <w:sz w:val="15"/>
                <w:szCs w:val="15"/>
                <w:color w:val="auto"/>
              </w:rPr>
            </w:pP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720" w:type="dxa"/>
            <w:vAlign w:val="bottom"/>
          </w:tcPr>
          <w:p>
            <w:pPr>
              <w:ind w:left="460"/>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1,286.2</w:t>
            </w:r>
          </w:p>
        </w:tc>
        <w:tc>
          <w:tcPr>
            <w:tcW w:w="3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1,427.6</w:t>
            </w:r>
          </w:p>
        </w:tc>
      </w:tr>
      <w:tr>
        <w:trPr>
          <w:trHeight w:val="176"/>
        </w:trPr>
        <w:tc>
          <w:tcPr>
            <w:tcW w:w="4720" w:type="dxa"/>
            <w:vAlign w:val="bottom"/>
          </w:tcPr>
          <w:p>
            <w:pPr>
              <w:spacing w:after="0"/>
              <w:rPr>
                <w:sz w:val="15"/>
                <w:szCs w:val="15"/>
                <w:color w:val="auto"/>
              </w:rPr>
            </w:pP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720" w:type="dxa"/>
            <w:vAlign w:val="bottom"/>
          </w:tcPr>
          <w:p>
            <w:pPr>
              <w:ind w:left="46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$ 2,578.4</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$ 2,622.4</w:t>
            </w:r>
          </w:p>
        </w:tc>
      </w:tr>
      <w:tr>
        <w:trPr>
          <w:trHeight w:val="176"/>
        </w:trPr>
        <w:tc>
          <w:tcPr>
            <w:tcW w:w="4720" w:type="dxa"/>
            <w:vAlign w:val="bottom"/>
          </w:tcPr>
          <w:p>
            <w:pPr>
              <w:spacing w:after="0"/>
              <w:rPr>
                <w:sz w:val="15"/>
                <w:szCs w:val="15"/>
                <w:color w:val="auto"/>
              </w:rPr>
            </w:pP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19"/>
          </w:cols>
          <w:pgMar w:left="240" w:top="82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(DOLLAR AMOUNTS IN MILLIONS EXCEPT PER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$ 2,402.5</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$ 2,486.0</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$ 2,843.2</w:t>
            </w:r>
          </w:p>
        </w:tc>
      </w:tr>
      <w:tr>
        <w:trPr>
          <w:trHeight w:val="176"/>
        </w:trPr>
        <w:tc>
          <w:tcPr>
            <w:tcW w:w="3760" w:type="dxa"/>
            <w:vAlign w:val="bottom"/>
          </w:tcPr>
          <w:p>
            <w:pPr>
              <w:spacing w:after="0"/>
              <w:rPr>
                <w:sz w:val="15"/>
                <w:szCs w:val="15"/>
                <w:color w:val="auto"/>
              </w:rPr>
            </w:pP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2,138.7</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2,123.5</w:t>
            </w:r>
          </w:p>
        </w:tc>
        <w:tc>
          <w:tcPr>
            <w:tcW w:w="1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2,250.3</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142.8</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150.6</w:t>
            </w:r>
          </w:p>
        </w:tc>
        <w:tc>
          <w:tcPr>
            <w:tcW w:w="1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152.0</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Cost of timber harvested</w:t>
            </w:r>
          </w:p>
        </w:tc>
        <w:tc>
          <w:tcPr>
            <w:tcW w:w="2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41.1</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41.2</w:t>
            </w:r>
          </w:p>
        </w:tc>
        <w:tc>
          <w:tcPr>
            <w:tcW w:w="1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50.6</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Selling and administrative</w:t>
            </w:r>
          </w:p>
        </w:tc>
        <w:tc>
          <w:tcPr>
            <w:tcW w:w="2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168.4</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139.7</w:t>
            </w:r>
          </w:p>
        </w:tc>
        <w:tc>
          <w:tcPr>
            <w:tcW w:w="1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121.4</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Settlements, charges and other</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unusual items, net</w:t>
            </w:r>
          </w:p>
        </w:tc>
        <w:tc>
          <w:tcPr>
            <w:tcW w:w="2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32.5</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350.0</w:t>
            </w:r>
          </w:p>
        </w:tc>
        <w:tc>
          <w:tcPr>
            <w:tcW w:w="1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366.6</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Interest expense, net of</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capitalized interest</w:t>
            </w:r>
          </w:p>
        </w:tc>
        <w:tc>
          <w:tcPr>
            <w:tcW w:w="2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30.9</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14.2</w:t>
            </w:r>
          </w:p>
        </w:tc>
        <w:tc>
          <w:tcPr>
            <w:tcW w:w="1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w:t>
            </w:r>
          </w:p>
        </w:tc>
      </w:tr>
      <w:tr>
        <w:trPr>
          <w:trHeight w:val="176"/>
        </w:trPr>
        <w:tc>
          <w:tcPr>
            <w:tcW w:w="3760" w:type="dxa"/>
            <w:vAlign w:val="bottom"/>
          </w:tcPr>
          <w:p>
            <w:pPr>
              <w:spacing w:after="0"/>
              <w:rPr>
                <w:sz w:val="15"/>
                <w:szCs w:val="15"/>
                <w:color w:val="auto"/>
              </w:rPr>
            </w:pP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Total costs and expenses</w:t>
            </w:r>
          </w:p>
        </w:tc>
        <w:tc>
          <w:tcPr>
            <w:tcW w:w="220" w:type="dxa"/>
            <w:vAlign w:val="bottom"/>
          </w:tcPr>
          <w:p>
            <w:pPr>
              <w:spacing w:after="0"/>
              <w:rPr>
                <w:sz w:val="24"/>
                <w:szCs w:val="24"/>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2,552.5</w:t>
            </w:r>
          </w:p>
        </w:tc>
        <w:tc>
          <w:tcPr>
            <w:tcW w:w="140" w:type="dxa"/>
            <w:vAlign w:val="bottom"/>
          </w:tcPr>
          <w:p>
            <w:pPr>
              <w:spacing w:after="0"/>
              <w:rPr>
                <w:sz w:val="24"/>
                <w:szCs w:val="24"/>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2,812.8</w:t>
            </w:r>
          </w:p>
        </w:tc>
        <w:tc>
          <w:tcPr>
            <w:tcW w:w="18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2,938.0</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(loss) before taxes and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(326.8)</w:t>
            </w:r>
          </w:p>
        </w:tc>
        <w:tc>
          <w:tcPr>
            <w:tcW w:w="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(94.8)</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22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(43.6)</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(125.6)</w:t>
            </w:r>
          </w:p>
        </w:tc>
        <w:tc>
          <w:tcPr>
            <w:tcW w:w="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(45.8)</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Minority interest in net income (loss)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of consolidated subsidiaries</w:t>
            </w:r>
          </w:p>
        </w:tc>
        <w:tc>
          <w:tcPr>
            <w:tcW w:w="220" w:type="dxa"/>
            <w:vAlign w:val="bottom"/>
          </w:tcPr>
          <w:p>
            <w:pPr>
              <w:spacing w:after="0"/>
              <w:rPr>
                <w:sz w:val="15"/>
                <w:szCs w:val="15"/>
                <w:color w:val="auto"/>
              </w:rPr>
            </w:pP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w:t>
            </w:r>
          </w:p>
        </w:tc>
      </w:tr>
      <w:tr>
        <w:trPr>
          <w:trHeight w:val="176"/>
        </w:trPr>
        <w:tc>
          <w:tcPr>
            <w:tcW w:w="3760" w:type="dxa"/>
            <w:vAlign w:val="bottom"/>
          </w:tcPr>
          <w:p>
            <w:pPr>
              <w:spacing w:after="0"/>
              <w:rPr>
                <w:sz w:val="15"/>
                <w:szCs w:val="15"/>
                <w:color w:val="auto"/>
              </w:rPr>
            </w:pP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(51.7)</w:t>
            </w:r>
          </w:p>
        </w:tc>
      </w:tr>
      <w:tr>
        <w:trPr>
          <w:trHeight w:val="176"/>
        </w:trPr>
        <w:tc>
          <w:tcPr>
            <w:tcW w:w="3760" w:type="dxa"/>
            <w:vAlign w:val="bottom"/>
          </w:tcPr>
          <w:p>
            <w:pPr>
              <w:spacing w:after="0"/>
              <w:rPr>
                <w:sz w:val="15"/>
                <w:szCs w:val="15"/>
                <w:color w:val="auto"/>
              </w:rPr>
            </w:pP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INCOME (LOSS) PER SHARE - BASIC</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6"/>
        </w:trPr>
        <w:tc>
          <w:tcPr>
            <w:tcW w:w="37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AND DILUTED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CASH DIVIDENDS PER SHARE OF COMMON STOCK</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r>
        <w:trPr>
          <w:trHeight w:val="176"/>
        </w:trPr>
        <w:tc>
          <w:tcPr>
            <w:tcW w:w="37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AVERAGE SHARES OF COMMON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STOCK (thousands)</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108,450</w:t>
            </w:r>
          </w:p>
        </w:tc>
        <w:tc>
          <w:tcPr>
            <w:tcW w:w="1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107,410</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107,040</w:t>
            </w:r>
          </w:p>
        </w:tc>
      </w:tr>
      <w:tr>
        <w:trPr>
          <w:trHeight w:val="176"/>
        </w:trPr>
        <w:tc>
          <w:tcPr>
            <w:tcW w:w="37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- 24 -</w:t>
      </w:r>
    </w:p>
    <w:p>
      <w:pPr>
        <w:sectPr>
          <w:pgSz w:w="11900" w:h="16838" w:orient="portrait"/>
          <w:cols w:equalWidth="0" w:num="1">
            <w:col w:w="10219"/>
          </w:cols>
          <w:pgMar w:left="240" w:top="823"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(DOLLAR AMOUNTS IN MILLIONS)</w:t>
            </w:r>
          </w:p>
        </w:tc>
        <w:tc>
          <w:tcPr>
            <w:tcW w:w="960" w:type="dxa"/>
            <w:vAlign w:val="bottom"/>
          </w:tcPr>
          <w:p>
            <w:pPr>
              <w:ind w:left="240"/>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$(101.8)</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(51.7)</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to net cash provided by operating activities:</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amortization and</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cost of timber harvested</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183.9</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191.8</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202.6</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Settlements, charges</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and other unusual items, net</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216.6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350.0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366.6</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Cash settlements of contingencies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(204.8)</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Other adjustments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26.9</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receivables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31.9</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28.7</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inventories</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12.8</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(103.9)</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income tax</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refunds receivable</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21.8</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(99.5)</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prepaid expenses</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accounts payable</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and accrued liabilities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38.2</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income taxes payable</w:t>
            </w:r>
          </w:p>
        </w:tc>
        <w:tc>
          <w:tcPr>
            <w:tcW w:w="9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deferred income taxes</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15.3</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(144.7)</w:t>
            </w:r>
          </w:p>
        </w:tc>
      </w:tr>
      <w:tr>
        <w:trPr>
          <w:trHeight w:val="176"/>
        </w:trPr>
        <w:tc>
          <w:tcPr>
            <w:tcW w:w="43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88.2</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22.8</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334.6</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Plant, equipment and logging road additions,</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including cash used in acquisitions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(154.8)</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(362.9)</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Timber and timberland additions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(49.7)</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(49.7)</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Assets sold</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62.4</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23.5</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investing activities, net</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w:t>
            </w:r>
          </w:p>
        </w:tc>
      </w:tr>
      <w:tr>
        <w:trPr>
          <w:trHeight w:val="176"/>
        </w:trPr>
        <w:tc>
          <w:tcPr>
            <w:tcW w:w="43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529"/>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(139.9)</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(387.3)</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increase (decrease) in short-term</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notes payable</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47.8</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Long-term borrowings</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228.4</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262.7</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Repayment of long-term debt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(101.0)</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(82.0)</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(60.7)</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(58.2)</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Purchase of treasury stock</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(120.2)</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financing activities, net</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w:t>
            </w:r>
          </w:p>
        </w:tc>
      </w:tr>
      <w:tr>
        <w:trPr>
          <w:trHeight w:val="176"/>
        </w:trPr>
        <w:tc>
          <w:tcPr>
            <w:tcW w:w="43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55.8</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(187.8)</w:t>
            </w:r>
          </w:p>
        </w:tc>
      </w:tr>
      <w:tr>
        <w:trPr>
          <w:trHeight w:val="176"/>
        </w:trPr>
        <w:tc>
          <w:tcPr>
            <w:tcW w:w="43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CASH EQUIVALENTS</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(240.5)</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 AT BEGINNING</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OF YEAR</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27.8</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75.4</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315.9</w:t>
            </w:r>
          </w:p>
        </w:tc>
      </w:tr>
      <w:tr>
        <w:trPr>
          <w:trHeight w:val="176"/>
        </w:trPr>
        <w:tc>
          <w:tcPr>
            <w:tcW w:w="43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2"/>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 AT END OF YEAR</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31.9</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27.8</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75.4</w:t>
            </w:r>
          </w:p>
        </w:tc>
      </w:tr>
      <w:tr>
        <w:trPr>
          <w:trHeight w:val="176"/>
        </w:trPr>
        <w:tc>
          <w:tcPr>
            <w:tcW w:w="43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- 25 -</w:t>
      </w:r>
    </w:p>
    <w:p>
      <w:pPr>
        <w:sectPr>
          <w:pgSz w:w="11900" w:h="16838" w:orient="portrait"/>
          <w:cols w:equalWidth="0" w:num="1">
            <w:col w:w="10219"/>
          </w:cols>
          <w:pgMar w:left="240" w:top="999"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29"/>
        </w:trPr>
        <w:tc>
          <w:tcPr>
            <w:tcW w:w="3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ADD'L</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DOLLAR AMOUNTS IN MILLIONS</w:t>
            </w:r>
          </w:p>
        </w:tc>
        <w:tc>
          <w:tcPr>
            <w:tcW w:w="262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COMMON STOCK</w:t>
            </w:r>
          </w:p>
        </w:tc>
        <w:tc>
          <w:tcPr>
            <w:tcW w:w="284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TREASURY STOCK</w:t>
            </w:r>
          </w:p>
        </w:tc>
        <w:tc>
          <w:tcPr>
            <w:tcW w:w="11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RETAINED</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EXCEPT PER SHARE</w:t>
            </w:r>
          </w:p>
        </w:tc>
        <w:tc>
          <w:tcPr>
            <w:tcW w:w="14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AMOUNT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3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w:t>
            </w:r>
          </w:p>
        </w:tc>
        <w:tc>
          <w:tcPr>
            <w:tcW w:w="11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EARNINGS</w:t>
            </w:r>
          </w:p>
        </w:tc>
      </w:tr>
      <w:tr>
        <w:trPr>
          <w:trHeight w:val="176"/>
        </w:trPr>
        <w:tc>
          <w:tcPr>
            <w:tcW w:w="3420" w:type="dxa"/>
            <w:vAlign w:val="bottom"/>
          </w:tcPr>
          <w:p>
            <w:pPr>
              <w:spacing w:after="0"/>
              <w:rPr>
                <w:sz w:val="15"/>
                <w:szCs w:val="15"/>
                <w:color w:val="auto"/>
              </w:rPr>
            </w:pPr>
          </w:p>
        </w:tc>
        <w:tc>
          <w:tcPr>
            <w:tcW w:w="26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AS OF DECEMBER 31, 1994</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116,937,022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117.0</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4,944,804</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478.4</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1,510.7</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dividends, $.545 per share</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(58.2)</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Issuance of shares for employee</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stock plans and for</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other purposes</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(689,744)</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13.8</w:t>
            </w:r>
          </w:p>
        </w:tc>
        <w:tc>
          <w:tcPr>
            <w:tcW w:w="3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Purchase of treasury stock</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4,333,397</w:t>
            </w:r>
          </w:p>
        </w:tc>
        <w:tc>
          <w:tcPr>
            <w:tcW w:w="3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(120.2)</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Employee stock ownership</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trust contribution</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and pension</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liability adjustment, net</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AS OF DECEMBER 31, 1995</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116,937,022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117.0</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8,588,427</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472.4</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1,400.8</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dividends, $.56 per share</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Issuance of shares for employee</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stock plans and for</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other purposes</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(417,628)</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Employee stock ownership</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trust contribution</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pension liability adjustment and</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net</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AS OF DECEMBER 31, 1996</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116,937,022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117.0</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8,170,799</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472.7</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1,140.0</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(101.8)</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dividends, $.56 per share</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Issuance of shares for employee</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stock plans and for</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other purposes</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(1,016,534)</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22.8</w:t>
            </w:r>
          </w:p>
        </w:tc>
        <w:tc>
          <w:tcPr>
            <w:tcW w:w="3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Purchase of treasury stock</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155,095</w:t>
            </w:r>
          </w:p>
        </w:tc>
        <w:tc>
          <w:tcPr>
            <w:tcW w:w="3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Employee stock ownership</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trust contribution</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pension liability adjustment and</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net</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AS OF DECEMBER 31, 1997</w:t>
            </w: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116,937,022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117.0</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7,309,360</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472.2</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977.5</w:t>
            </w:r>
          </w:p>
        </w:tc>
      </w:tr>
      <w:tr>
        <w:trPr>
          <w:trHeight w:val="176"/>
        </w:trPr>
        <w:tc>
          <w:tcPr>
            <w:tcW w:w="3420" w:type="dxa"/>
            <w:vAlign w:val="bottom"/>
          </w:tcPr>
          <w:p>
            <w:pPr>
              <w:spacing w:after="0"/>
              <w:rPr>
                <w:sz w:val="15"/>
                <w:szCs w:val="15"/>
                <w:color w:val="auto"/>
              </w:rPr>
            </w:pPr>
          </w:p>
        </w:tc>
        <w:tc>
          <w:tcPr>
            <w:tcW w:w="14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continued on next page of EDGARized text.]</w:t>
      </w:r>
    </w:p>
    <w:p>
      <w:pPr>
        <w:sectPr>
          <w:pgSz w:w="11900" w:h="16838" w:orient="portrait"/>
          <w:cols w:equalWidth="0" w:num="1">
            <w:col w:w="11080"/>
          </w:cols>
          <w:pgMar w:left="240" w:top="823" w:right="5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w w:val="97"/>
              </w:rPr>
              <w:t>OTHER</w:t>
            </w:r>
          </w:p>
        </w:tc>
        <w:tc>
          <w:tcPr>
            <w:tcW w:w="68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480" w:type="dxa"/>
            <w:vAlign w:val="bottom"/>
          </w:tcPr>
          <w:p>
            <w:pPr>
              <w:spacing w:after="0"/>
              <w:rPr>
                <w:sz w:val="15"/>
                <w:szCs w:val="15"/>
                <w:color w:val="auto"/>
              </w:rPr>
            </w:pP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LOANS</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EQUITY</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DOLLAR AMOUNTS IN MILLIONS</w:t>
            </w: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TO</w:t>
            </w:r>
          </w:p>
        </w:tc>
        <w:tc>
          <w:tcPr>
            <w:tcW w:w="72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HOLDERS'</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EXCEPT PER SHARE</w:t>
            </w: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ESOTs</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w w:val="97"/>
              </w:rPr>
              <w:t>MENTS</w:t>
            </w:r>
          </w:p>
        </w:tc>
        <w:tc>
          <w:tcPr>
            <w:tcW w:w="680" w:type="dxa"/>
            <w:vAlign w:val="bottom"/>
          </w:tcPr>
          <w:p>
            <w:pPr>
              <w:spacing w:after="0"/>
              <w:rPr>
                <w:sz w:val="15"/>
                <w:szCs w:val="15"/>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AS OF DECEMBER 31, 1994</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(114.0)</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(56.4)</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$ 1,849.4</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dividends, $.545 per share</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(58.2)</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shares for employee</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stock plans and for</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other purposes</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Purchase of treasury stock</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(120.2)</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Employee stock ownership</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trust contribution</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28.5</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28.5</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and pension</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liability adjustment, net</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AS OF DECEMBER 31, 1995</w:t>
            </w: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(85.5)</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(56.0)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$ 1,656.0</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dividends, $.56 per share</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shares for employee</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stock plans and for</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other purposes</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Employee stock ownership</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trust contribution</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23.9</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23.9</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pension liability adjustment and</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net</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AS OF DECEMBER 31, 1996</w:t>
            </w: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(61.6)</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(57.2)</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$ 1,427.6</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(101.8)</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dividends, $.56 per share</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shares for employee</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stock plans and for</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other purposes</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22.3</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Purchase of treasury stock</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Employee stock ownership</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trust contribution</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23.9</w:t>
            </w:r>
          </w:p>
        </w:tc>
        <w:tc>
          <w:tcPr>
            <w:tcW w:w="6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23.9</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pension liability adjustment and</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net</w:t>
            </w:r>
          </w:p>
        </w:tc>
        <w:tc>
          <w:tcPr>
            <w:tcW w:w="60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(22.2)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AS OF DECEMBER 31, 1997</w:t>
            </w:r>
          </w:p>
        </w:tc>
        <w:tc>
          <w:tcPr>
            <w:tcW w:w="6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(37.7)</w:t>
            </w: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(79.4)</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$ 1,286.2</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219"/>
          </w:cols>
          <w:pgMar w:left="240" w:top="823" w:right="1440" w:bottom="1440" w:gutter="0" w:footer="0" w:header="0"/>
        </w:sectPr>
      </w:pPr>
    </w:p>
    <w:bookmarkStart w:id="27" w:name="page28"/>
    <w:bookmarkEnd w:id="27"/>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ind w:left="366" w:hanging="366"/>
        <w:spacing w:after="0"/>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Nature of Operations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Louisiana-Pacific Corporation is a U.S.-based company principally engaged in the manufacture of building products, and to a lesser extent, market pulp. Through its foreign subsidiaries, the Company also maintains manufacturing facilities in Canada and Ireland. The principal customers for the Company's building products are retail home centers, builders, manufactured housing producers, distributors and wholesalers in North America, with minor sales to Asia and Europe. The principal customers for its pulp products are brokers in Asia and Europe, with minor sales in North America.</w:t>
      </w:r>
    </w:p>
    <w:p>
      <w:pPr>
        <w:spacing w:after="0" w:line="175" w:lineRule="exact"/>
        <w:rPr>
          <w:sz w:val="20"/>
          <w:szCs w:val="20"/>
          <w:color w:val="auto"/>
        </w:rPr>
      </w:pPr>
    </w:p>
    <w:p>
      <w:pPr>
        <w:jc w:val="both"/>
        <w:ind w:left="6" w:right="2899" w:firstLine="544"/>
        <w:spacing w:after="0" w:line="249" w:lineRule="auto"/>
        <w:tabs>
          <w:tab w:leader="none" w:pos="8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portion of L-P's sales are derived from structural panel products and lumber. Structural panel sales were 36% of total 1997 sales and lumber sales were 28% of the total.</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Use of Estimates in the Preparation of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See discussion of specific estimates in footnotes entitled "Income Taxes," "Retirement Plans," "Stock Options and Plans," "Settlements, Charges and Other Unusual Items, Net" and "Contingencies."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Principles of Presentation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The consolidated financial statements include the accounts of Louisiana-Pacific Corporation and all of its subsidiaries (L-P), after elimination of intercompany balances and transactions.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Earnings Per Share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Basic and diluted earnings per share have been computed based on the weighted average number of shares of common stock outstanding during the periods. The effect of potentially dilutive common stock equivalents is not included in the calculation of dilutive earnings per share because it is currently anti-dilutive as a result of L-P's net losses. Shares held by L-P's Employee Stock Ownership Trusts (ESOTs) which were acquired by the ESOTs on or after January 1, 1994 and are not allocated to participants' accounts, are not considered outstanding for purposes of computing earnings per share (763,786 shares at December 31, 1997).</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Cash and Cash Equivalents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L-P considers all highly liquid securities with an original maturity of three months or less to be cash equivalents. Cash paid during 1997, 1996 and 1995 for interest (net of capitalized interest) was $29.2 million, $13.4 million and $4.6 million. Net cash paid (received) during 1997, 1996 and 1995 for income taxes was $(80.7) million, $(4.1) million and $109.0 million.</w:t>
      </w:r>
    </w:p>
    <w:p>
      <w:pPr>
        <w:spacing w:after="0" w:line="176"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L-P invests its excess cash with high quality financial institutions and, by policy, limits the amount of credit exposure at any one financial institution. In addition, L-P holds its cash investments until maturity and is therefore not subject to significant market risk.</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- 27 -</w:t>
      </w:r>
    </w:p>
    <w:p>
      <w:pPr>
        <w:sectPr>
          <w:pgSz w:w="11900" w:h="16838" w:orient="portrait"/>
          <w:cols w:equalWidth="0" w:num="1">
            <w:col w:w="10225"/>
          </w:cols>
          <w:pgMar w:left="234" w:top="82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Valuation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Inventories are valued at the lower of cost or market. Inventory costs include material, labor and operating overhead. The LIFO method is used for most log and lumber inventories with remaining inventories valued at FIFO or average cost. Inventory quantities are determined on the basis of physical inventories, adjusted where necessary for intervening transactions from the date of the physical inventory to the end of the year. The major types of inventories are as follows:</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DECEMBER 31 (IN MILLIONS)</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2620" w:type="dxa"/>
            <w:vAlign w:val="bottom"/>
          </w:tcPr>
          <w:p>
            <w:pPr>
              <w:spacing w:after="0"/>
              <w:rPr>
                <w:sz w:val="20"/>
                <w:szCs w:val="20"/>
                <w:color w:val="auto"/>
              </w:rPr>
            </w:pPr>
            <w:r>
              <w:rPr>
                <w:rFonts w:ascii="Courier New" w:cs="Courier New" w:eastAsia="Courier New" w:hAnsi="Courier New"/>
                <w:sz w:val="15"/>
                <w:szCs w:val="15"/>
                <w:color w:val="auto"/>
              </w:rPr>
              <w:t>Logs</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$ 112.4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$ 106.4</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Lumber</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47.4</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Panel products</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54.4</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Other building products</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70.0</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Pulp</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Other raw materials</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Supplies</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r>
      <w:tr>
        <w:trPr>
          <w:trHeight w:val="176"/>
        </w:trPr>
        <w:tc>
          <w:tcPr>
            <w:tcW w:w="26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2620" w:type="dxa"/>
            <w:vAlign w:val="bottom"/>
          </w:tcPr>
          <w:p>
            <w:pPr>
              <w:ind w:left="380"/>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$ 258.8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$ 264.3</w:t>
            </w:r>
          </w:p>
        </w:tc>
      </w:tr>
      <w:tr>
        <w:trPr>
          <w:trHeight w:val="176"/>
        </w:trPr>
        <w:tc>
          <w:tcPr>
            <w:tcW w:w="26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follows an overall policy on fee timber that amortizes timber costs over the total fiber available during the estimated growth cycle. Timber carrying costs, such as reforestation and forest management, are generally expensed as incurred. Cost of timber harvested includes not only the cost of fee timber but also the amortization of the cost of long-term timber deeds.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uses the units of production method of depreciation for most machinery and equipment which amortizes the cost of equipment over the estimated units that will be produced during its useful life. Provisions for depreciation of buildings and the remaining machinery and equipment have been computed using straight-line rates based on the estimated service lives. The effective straight-line rates for the principal classes of property range from approximately 5 percent to 20 percent.</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Logging road construction costs are capitalized and included in land and land improvements. These costs are amortized as the timber volume adjacent to the road system is harvested.</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capitalizes interest on borrowed funds during construction periods. Capitalized interest is charged to machinery and equipment accounts and amortized over the lives of the related assets. Interest capitalized during 1997, 1996 and 1995 was $4.8 million, $7.1 million and $10.9 million.</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L-P defers start-up costs on major construction projects during the start-up phase. No start-up costs were deferred in 1997. Start-up costs deferred during 1996 and 1995 were $3.8 million and $3.1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Impairments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Long-lived assets to be held and used by the Company are reviewed for impairment when events and circumstances indicate costs may not be recoverable. Losses are recognized when the book values exceed expected undiscounted future cash flows. If impairment exists, the asset's book value</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19"/>
          </w:cols>
          <w:pgMar w:left="240" w:top="647" w:right="1440" w:bottom="1440" w:gutter="0" w:footer="0" w:header="0"/>
        </w:sectPr>
      </w:pPr>
    </w:p>
    <w:bookmarkStart w:id="29" w:name="page30"/>
    <w:bookmarkEnd w:id="29"/>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is written down to its estimated fair value. Assets to be disposed are written down to their estimated fair value, less sales costs. See Note Seven for a discussion of charges in 1997, 1996 and 1995 related to impairment of property, plant and equipment.</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Derivative Financial Instruments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L-P has only limited involvement with derivative financial instruments. At December 31, 1997, L-P had no material exposure to derivative financial instruments.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Foreign Currency Translation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Assets and liabilities denominated in foreign currencies are translated to U.S. dollars at the exchange rate on the balance sheet date. Revenues, costs, and expenses are translated at average rates of exchange prevailing during the year. Translation adjustments resulting from this process are shown in stockholders' equity.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Goodwill</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Goodwill has resulted from the purchase of subsidiaries and is being amortized on a straight-line basis over 10 to 25 years. The amortization period and recoverability of this goodwill are periodically reviewed by the Company.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Receivable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Included in other assets are notes receivable related to a timber and timberland sale that occurred during 1997. The Company received $47.9 million in notes from a third party. The notes are due in principal payments of $20 million in 2008, $20 million in 2009, and $7.9 million in 2012. Interest is to be received in semi-annual installments with rates varying from 5.62% to 7.5%. These notes provide collateral for L-P's senior secured notes.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Acquisitions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Acquisitions are accounted for under the purchase method of accounting, whereby the results of acquired companies are included in L-P's consolidated results from the date of their acquisition.</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Reclassifications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550"/>
        <w:spacing w:after="0" w:line="250"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175" w:lineRule="exact"/>
        <w:rPr>
          <w:sz w:val="20"/>
          <w:szCs w:val="20"/>
          <w:color w:val="auto"/>
        </w:rPr>
      </w:pPr>
    </w:p>
    <w:p>
      <w:pPr>
        <w:ind w:left="546" w:hanging="546"/>
        <w:spacing w:after="0"/>
        <w:tabs>
          <w:tab w:leader="none" w:pos="54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LIABILITIES</w:t>
      </w:r>
    </w:p>
    <w:p>
      <w:pPr>
        <w:spacing w:after="0" w:line="182" w:lineRule="exact"/>
        <w:rPr>
          <w:sz w:val="20"/>
          <w:szCs w:val="20"/>
          <w:color w:val="auto"/>
        </w:rPr>
      </w:pPr>
    </w:p>
    <w:tbl>
      <w:tblPr>
        <w:tblLayout w:type="fixed"/>
        <w:tblInd w:w="546" w:type="dxa"/>
        <w:tblCellMar>
          <w:top w:w="0" w:type="dxa"/>
          <w:left w:w="0" w:type="dxa"/>
          <w:bottom w:w="0" w:type="dxa"/>
          <w:right w:w="0" w:type="dxa"/>
        </w:tblCellMar>
      </w:tblP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DECEMBER 31 (IN MILLIONS)</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$ 153.0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$ 124.0</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Salaries and wages payable</w:t>
            </w: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Taxes other than income taxes</w:t>
            </w: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Workers' compensation</w:t>
            </w: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 accrued liabilities</w:t>
            </w: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6"/>
        </w:trPr>
        <w:tc>
          <w:tcPr>
            <w:tcW w:w="2760" w:type="dxa"/>
            <w:vAlign w:val="bottom"/>
          </w:tcPr>
          <w:p>
            <w:pPr>
              <w:spacing w:after="0"/>
              <w:rPr>
                <w:sz w:val="15"/>
                <w:szCs w:val="15"/>
                <w:color w:val="auto"/>
              </w:rPr>
            </w:pP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spacing w:after="0"/>
              <w:rPr>
                <w:sz w:val="15"/>
                <w:szCs w:val="15"/>
                <w:color w:val="auto"/>
              </w:rPr>
            </w:pP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$ 234.4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$ 224.3</w:t>
            </w:r>
          </w:p>
        </w:tc>
      </w:tr>
      <w:tr>
        <w:trPr>
          <w:trHeight w:val="176"/>
        </w:trPr>
        <w:tc>
          <w:tcPr>
            <w:tcW w:w="2760" w:type="dxa"/>
            <w:vAlign w:val="bottom"/>
          </w:tcPr>
          <w:p>
            <w:pPr>
              <w:spacing w:after="0"/>
              <w:rPr>
                <w:sz w:val="15"/>
                <w:szCs w:val="15"/>
                <w:color w:val="auto"/>
              </w:rPr>
            </w:pP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60" w:type="dxa"/>
            <w:vAlign w:val="bottom"/>
          </w:tcPr>
          <w:p>
            <w:pPr>
              <w:spacing w:after="0"/>
              <w:rPr>
                <w:sz w:val="24"/>
                <w:szCs w:val="24"/>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- 29 -</w:t>
            </w:r>
          </w:p>
        </w:tc>
        <w:tc>
          <w:tcPr>
            <w:tcW w:w="880" w:type="dxa"/>
            <w:vAlign w:val="bottom"/>
          </w:tcPr>
          <w:p>
            <w:pPr>
              <w:spacing w:after="0"/>
              <w:rPr>
                <w:sz w:val="24"/>
                <w:szCs w:val="24"/>
                <w:color w:val="auto"/>
              </w:rPr>
            </w:pPr>
          </w:p>
        </w:tc>
      </w:tr>
    </w:tbl>
    <w:p>
      <w:pPr>
        <w:sectPr>
          <w:pgSz w:w="11900" w:h="16838" w:orient="portrait"/>
          <w:cols w:equalWidth="0" w:num="1">
            <w:col w:w="10225"/>
          </w:cols>
          <w:pgMar w:left="234" w:top="823" w:right="1440" w:bottom="1440" w:gutter="0" w:footer="0" w:header="0"/>
        </w:sectPr>
      </w:pPr>
    </w:p>
    <w:bookmarkStart w:id="30" w:name="page31"/>
    <w:bookmarkEnd w:id="30"/>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ind w:left="546" w:hanging="546"/>
        <w:spacing w:after="0"/>
        <w:tabs>
          <w:tab w:leader="none" w:pos="5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left="546"/>
        <w:spacing w:after="0"/>
        <w:tabs>
          <w:tab w:leader="none" w:pos="1266" w:val="left"/>
          <w:tab w:leader="none" w:pos="1986" w:val="left"/>
          <w:tab w:leader="none" w:pos="2726" w:val="left"/>
          <w:tab w:leader="none" w:pos="3746" w:val="left"/>
          <w:tab w:leader="none" w:pos="4646" w:val="left"/>
          <w:tab w:leader="none" w:pos="5566" w:val="left"/>
        </w:tabs>
        <w:rPr>
          <w:sz w:val="20"/>
          <w:szCs w:val="20"/>
          <w:color w:val="auto"/>
        </w:rPr>
      </w:pPr>
      <w:r>
        <w:rPr>
          <w:rFonts w:ascii="Courier New" w:cs="Courier New" w:eastAsia="Courier New" w:hAnsi="Courier New"/>
          <w:sz w:val="15"/>
          <w:szCs w:val="15"/>
          <w:color w:val="auto"/>
        </w:rPr>
        <w:t>Income</w:t>
        <w:tab/>
        <w:t>(loss)</w:t>
        <w:tab/>
        <w:t>before</w:t>
        <w:tab/>
        <w:t>taxes and</w:t>
        <w:tab/>
        <w:t>minority</w:t>
        <w:tab/>
        <w:t>interest</w:t>
        <w:tab/>
        <w:t>for the years ended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December 31, was taxed under the following jurisdictions:</w:t>
      </w:r>
    </w:p>
    <w:p>
      <w:pPr>
        <w:spacing w:after="0" w:line="182" w:lineRule="exact"/>
        <w:rPr>
          <w:sz w:val="20"/>
          <w:szCs w:val="20"/>
          <w:color w:val="auto"/>
        </w:rPr>
      </w:pPr>
    </w:p>
    <w:tbl>
      <w:tblPr>
        <w:tblLayout w:type="fixed"/>
        <w:tblInd w:w="546" w:type="dxa"/>
        <w:tblCellMar>
          <w:top w:w="0" w:type="dxa"/>
          <w:left w:w="0" w:type="dxa"/>
          <w:bottom w:w="0" w:type="dxa"/>
          <w:right w:w="0" w:type="dxa"/>
        </w:tblCellMar>
      </w:tblP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YEAR ENDED DECEMBER 31 (IN MILLIONS)</w:t>
            </w:r>
          </w:p>
        </w:tc>
        <w:tc>
          <w:tcPr>
            <w:tcW w:w="11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354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$(255.1)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$(123.0)</w:t>
            </w:r>
          </w:p>
        </w:tc>
      </w:tr>
      <w:tr>
        <w:trPr>
          <w:trHeight w:val="176"/>
        </w:trPr>
        <w:tc>
          <w:tcPr>
            <w:tcW w:w="35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28.2</w:t>
            </w:r>
          </w:p>
        </w:tc>
      </w:tr>
      <w:tr>
        <w:trPr>
          <w:trHeight w:val="176"/>
        </w:trPr>
        <w:tc>
          <w:tcPr>
            <w:tcW w:w="354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54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(94.8)</w:t>
            </w:r>
          </w:p>
        </w:tc>
      </w:tr>
      <w:tr>
        <w:trPr>
          <w:trHeight w:val="176"/>
        </w:trPr>
        <w:tc>
          <w:tcPr>
            <w:tcW w:w="354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Provision (benefit) for income taxes includes the following:</w:t>
      </w:r>
    </w:p>
    <w:p>
      <w:pPr>
        <w:spacing w:after="0" w:line="182" w:lineRule="exact"/>
        <w:rPr>
          <w:sz w:val="20"/>
          <w:szCs w:val="20"/>
          <w:color w:val="auto"/>
        </w:rPr>
      </w:pPr>
    </w:p>
    <w:tbl>
      <w:tblPr>
        <w:tblLayout w:type="fixed"/>
        <w:tblInd w:w="546" w:type="dxa"/>
        <w:tblCellMar>
          <w:top w:w="0" w:type="dxa"/>
          <w:left w:w="0" w:type="dxa"/>
          <w:bottom w:w="0" w:type="dxa"/>
          <w:right w:w="0" w:type="dxa"/>
        </w:tblCellMar>
      </w:tblP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YEAR ENDED DECEMBER 31 (IN MILLIONS)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4"/>
                <w:szCs w:val="14"/>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3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3580" w:type="dxa"/>
            <w:vAlign w:val="bottom"/>
          </w:tcPr>
          <w:p>
            <w:pPr>
              <w:spacing w:after="0"/>
              <w:rPr>
                <w:sz w:val="20"/>
                <w:szCs w:val="20"/>
                <w:color w:val="auto"/>
              </w:rPr>
            </w:pPr>
            <w:r>
              <w:rPr>
                <w:rFonts w:ascii="Courier New" w:cs="Courier New" w:eastAsia="Courier New" w:hAnsi="Courier New"/>
                <w:sz w:val="15"/>
                <w:szCs w:val="15"/>
                <w:color w:val="auto"/>
              </w:rPr>
              <w:t>Current tax provision (benefit):</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U.S. federal</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$(65.0)</w:t>
            </w:r>
          </w:p>
        </w:tc>
        <w:tc>
          <w:tcPr>
            <w:tcW w:w="2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74.4</w:t>
            </w:r>
          </w:p>
        </w:tc>
      </w:tr>
      <w:tr>
        <w:trPr>
          <w:trHeight w:val="176"/>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State and local</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w:t>
            </w:r>
          </w:p>
        </w:tc>
        <w:tc>
          <w:tcPr>
            <w:tcW w:w="2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spacing w:after="0"/>
              <w:rPr>
                <w:sz w:val="15"/>
                <w:szCs w:val="15"/>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w:t>
            </w:r>
          </w:p>
        </w:tc>
      </w:tr>
      <w:tr>
        <w:trPr>
          <w:trHeight w:val="176"/>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Foreign</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12.2</w:t>
            </w:r>
          </w:p>
        </w:tc>
        <w:tc>
          <w:tcPr>
            <w:tcW w:w="220" w:type="dxa"/>
            <w:vAlign w:val="bottom"/>
          </w:tcPr>
          <w:p>
            <w:pPr>
              <w:spacing w:after="0"/>
              <w:rPr>
                <w:sz w:val="15"/>
                <w:szCs w:val="15"/>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w:t>
            </w:r>
          </w:p>
        </w:tc>
      </w:tr>
      <w:tr>
        <w:trPr>
          <w:trHeight w:val="176"/>
        </w:trPr>
        <w:tc>
          <w:tcPr>
            <w:tcW w:w="35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80" w:type="dxa"/>
            <w:vAlign w:val="bottom"/>
          </w:tcPr>
          <w:p>
            <w:pPr>
              <w:spacing w:after="0"/>
              <w:rPr>
                <w:sz w:val="20"/>
                <w:szCs w:val="20"/>
                <w:color w:val="auto"/>
              </w:rPr>
            </w:pPr>
            <w:r>
              <w:rPr>
                <w:rFonts w:ascii="Courier New" w:cs="Courier New" w:eastAsia="Courier New" w:hAnsi="Courier New"/>
                <w:sz w:val="15"/>
                <w:szCs w:val="15"/>
                <w:color w:val="auto"/>
              </w:rPr>
              <w:t>Total current tax provision</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(benefit)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$(65.7)</w:t>
            </w:r>
          </w:p>
        </w:tc>
        <w:tc>
          <w:tcPr>
            <w:tcW w:w="2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95.2</w:t>
            </w:r>
          </w:p>
        </w:tc>
      </w:tr>
      <w:tr>
        <w:trPr>
          <w:trHeight w:val="176"/>
        </w:trPr>
        <w:tc>
          <w:tcPr>
            <w:tcW w:w="35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580" w:type="dxa"/>
            <w:vAlign w:val="bottom"/>
          </w:tcPr>
          <w:p>
            <w:pPr>
              <w:spacing w:after="0"/>
              <w:rPr>
                <w:sz w:val="20"/>
                <w:szCs w:val="20"/>
                <w:color w:val="auto"/>
              </w:rPr>
            </w:pPr>
            <w:r>
              <w:rPr>
                <w:rFonts w:ascii="Courier New" w:cs="Courier New" w:eastAsia="Courier New" w:hAnsi="Courier New"/>
                <w:sz w:val="15"/>
                <w:szCs w:val="15"/>
                <w:color w:val="auto"/>
              </w:rPr>
              <w:t>Deferred tax provision (benefit):</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U.S. federal</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$(129.2)</w:t>
            </w:r>
          </w:p>
        </w:tc>
      </w:tr>
      <w:tr>
        <w:trPr>
          <w:trHeight w:val="176"/>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State and local</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6"/>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Foreign</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w:t>
            </w:r>
          </w:p>
        </w:tc>
        <w:tc>
          <w:tcPr>
            <w:tcW w:w="2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w:t>
            </w:r>
          </w:p>
        </w:tc>
        <w:tc>
          <w:tcPr>
            <w:tcW w:w="220" w:type="dxa"/>
            <w:vAlign w:val="bottom"/>
          </w:tcPr>
          <w:p>
            <w:pPr>
              <w:spacing w:after="0"/>
              <w:rPr>
                <w:sz w:val="15"/>
                <w:szCs w:val="15"/>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w:t>
            </w:r>
          </w:p>
        </w:tc>
      </w:tr>
      <w:tr>
        <w:trPr>
          <w:trHeight w:val="176"/>
        </w:trPr>
        <w:tc>
          <w:tcPr>
            <w:tcW w:w="35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580" w:type="dxa"/>
            <w:vAlign w:val="bottom"/>
          </w:tcPr>
          <w:p>
            <w:pPr>
              <w:spacing w:after="0"/>
              <w:rPr>
                <w:sz w:val="20"/>
                <w:szCs w:val="20"/>
                <w:color w:val="auto"/>
              </w:rPr>
            </w:pPr>
            <w:r>
              <w:rPr>
                <w:rFonts w:ascii="Courier New" w:cs="Courier New" w:eastAsia="Courier New" w:hAnsi="Courier New"/>
                <w:sz w:val="15"/>
                <w:szCs w:val="15"/>
                <w:color w:val="auto"/>
              </w:rPr>
              <w:t>Total deferred tax provision</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(benefit)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$ 22.1</w:t>
            </w:r>
          </w:p>
        </w:tc>
        <w:tc>
          <w:tcPr>
            <w:tcW w:w="24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$(40.4)</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$(141.0)</w:t>
            </w:r>
          </w:p>
        </w:tc>
      </w:tr>
      <w:tr>
        <w:trPr>
          <w:trHeight w:val="176"/>
        </w:trPr>
        <w:tc>
          <w:tcPr>
            <w:tcW w:w="35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left="6" w:right="2899" w:firstLine="550"/>
        <w:spacing w:after="0" w:line="250" w:lineRule="auto"/>
        <w:rPr>
          <w:sz w:val="20"/>
          <w:szCs w:val="20"/>
          <w:color w:val="auto"/>
        </w:rPr>
      </w:pPr>
      <w:r>
        <w:rPr>
          <w:rFonts w:ascii="Courier New" w:cs="Courier New" w:eastAsia="Courier New" w:hAnsi="Courier New"/>
          <w:sz w:val="15"/>
          <w:szCs w:val="15"/>
          <w:color w:val="auto"/>
        </w:rPr>
        <w:t>The tax effects of significant temporary differences creating deferred tax (assets) and liabilities at December 31 were as follows:</w:t>
      </w:r>
    </w:p>
    <w:p>
      <w:pPr>
        <w:spacing w:after="0" w:line="175" w:lineRule="exact"/>
        <w:rPr>
          <w:sz w:val="20"/>
          <w:szCs w:val="20"/>
          <w:color w:val="auto"/>
        </w:rPr>
      </w:pPr>
    </w:p>
    <w:tbl>
      <w:tblPr>
        <w:tblLayout w:type="fixed"/>
        <w:tblInd w:w="546" w:type="dxa"/>
        <w:tblCellMar>
          <w:top w:w="0" w:type="dxa"/>
          <w:left w:w="0" w:type="dxa"/>
          <w:bottom w:w="0" w:type="dxa"/>
          <w:right w:w="0" w:type="dxa"/>
        </w:tblCellMar>
      </w:tblPr>
      <w:tr>
        <w:trPr>
          <w:trHeight w:val="1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DECEMBER 31 (IN MILLIONS)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$ 134.0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95.3</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Timber and timberlands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156.9</w:t>
            </w:r>
          </w:p>
        </w:tc>
        <w:tc>
          <w:tcPr>
            <w:tcW w:w="1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Contingency reserves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(86.7)</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(100.5)</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Benefit of foreign capital loss</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and NOL carryover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Benefit of foreign ITC carryover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(62.3)</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(68.4)</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41.6</w:t>
            </w:r>
          </w:p>
        </w:tc>
        <w:tc>
          <w:tcPr>
            <w:tcW w:w="1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38.2</w:t>
            </w:r>
          </w:p>
        </w:tc>
        <w:tc>
          <w:tcPr>
            <w:tcW w:w="18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43.2</w:t>
            </w:r>
          </w:p>
        </w:tc>
      </w:tr>
      <w:tr>
        <w:trPr>
          <w:trHeight w:val="176"/>
        </w:trPr>
        <w:tc>
          <w:tcPr>
            <w:tcW w:w="33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deferred tax liability</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105.6</w:t>
            </w:r>
          </w:p>
        </w:tc>
        <w:tc>
          <w:tcPr>
            <w:tcW w:w="18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90.1</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Less net current deferred</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tax assets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r>
      <w:tr>
        <w:trPr>
          <w:trHeight w:val="176"/>
        </w:trPr>
        <w:tc>
          <w:tcPr>
            <w:tcW w:w="33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noncurrent deferred</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tax liabilities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178.6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163.2</w:t>
            </w:r>
          </w:p>
        </w:tc>
      </w:tr>
      <w:tr>
        <w:trPr>
          <w:trHeight w:val="176"/>
        </w:trPr>
        <w:tc>
          <w:tcPr>
            <w:tcW w:w="33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jc w:val="both"/>
        <w:ind w:left="6" w:right="2899"/>
        <w:spacing w:after="0" w:line="250" w:lineRule="auto"/>
        <w:rPr>
          <w:sz w:val="20"/>
          <w:szCs w:val="20"/>
          <w:color w:val="auto"/>
        </w:rPr>
      </w:pPr>
      <w:r>
        <w:rPr>
          <w:rFonts w:ascii="Courier New" w:cs="Courier New" w:eastAsia="Courier New" w:hAnsi="Courier New"/>
          <w:sz w:val="15"/>
          <w:szCs w:val="15"/>
          <w:color w:val="auto"/>
        </w:rPr>
        <w:t>The reduction in the valuation allowance reflects the expiration of tax credits and a change in the foreign currency exchange rate between balance sheet dates.</w:t>
      </w:r>
    </w:p>
    <w:p>
      <w:pPr>
        <w:spacing w:after="0" w:line="175" w:lineRule="exact"/>
        <w:rPr>
          <w:sz w:val="20"/>
          <w:szCs w:val="20"/>
          <w:color w:val="auto"/>
        </w:rPr>
      </w:pPr>
    </w:p>
    <w:p>
      <w:pPr>
        <w:jc w:val="both"/>
        <w:ind w:left="6" w:right="2899" w:firstLine="550"/>
        <w:spacing w:after="0" w:line="249" w:lineRule="auto"/>
        <w:rPr>
          <w:sz w:val="20"/>
          <w:szCs w:val="20"/>
          <w:color w:val="auto"/>
        </w:rPr>
      </w:pPr>
      <w:r>
        <w:rPr>
          <w:rFonts w:ascii="Courier New" w:cs="Courier New" w:eastAsia="Courier New" w:hAnsi="Courier New"/>
          <w:sz w:val="15"/>
          <w:szCs w:val="15"/>
          <w:color w:val="auto"/>
        </w:rPr>
        <w:t>L-P's Canadian subsidiary, Louisiana-Pacific Canada Ltd. (LPC), has unrealized foreign investment tax credits (ITC) of approximately C$89 million (Canadian dollars). These credits can be carried forward to offset future tax</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25"/>
          </w:cols>
          <w:pgMar w:left="234" w:top="82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of LPC and reduce LPC's basis in the related property, plant and equipment. The credits expire C$18 million in 1999, C$6 million in 2000, C$47 million in 2001, C$4 million in 2003, C$13 million in 2004 and C$1 million in 2005. In addition, LPC has a capital loss carryover of C$29 million available to offset capital gains in future years which does not expire.</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following table summarizes the differences between the statutory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and effective income tax rates: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180" w:type="dxa"/>
            <w:vAlign w:val="bottom"/>
          </w:tcPr>
          <w:p>
            <w:pPr>
              <w:spacing w:after="0"/>
              <w:rPr>
                <w:sz w:val="24"/>
                <w:szCs w:val="24"/>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Federal tax rate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Tax-exempt investment income</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State and local income taxes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w:t>
            </w: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Exempt foreign sales corporation income</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w:t>
            </w: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Foreign losses not benefited</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Other, net</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w:t>
            </w: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w:t>
            </w: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2"/>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4.</w:t>
            </w: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2"/>
        </w:trPr>
        <w:tc>
          <w:tcPr>
            <w:tcW w:w="180" w:type="dxa"/>
            <w:vAlign w:val="bottom"/>
          </w:tcPr>
          <w:p>
            <w:pPr>
              <w:spacing w:after="0"/>
              <w:rPr>
                <w:sz w:val="24"/>
                <w:szCs w:val="24"/>
                <w:color w:val="auto"/>
              </w:rPr>
            </w:pPr>
          </w:p>
        </w:tc>
        <w:tc>
          <w:tcPr>
            <w:tcW w:w="5220" w:type="dxa"/>
            <w:vAlign w:val="bottom"/>
            <w:gridSpan w:val="2"/>
          </w:tcPr>
          <w:p>
            <w:pPr>
              <w:ind w:left="3840"/>
              <w:spacing w:after="0"/>
              <w:rPr>
                <w:sz w:val="20"/>
                <w:szCs w:val="20"/>
                <w:color w:val="auto"/>
              </w:rPr>
            </w:pPr>
            <w:r>
              <w:rPr>
                <w:rFonts w:ascii="Courier New" w:cs="Courier New" w:eastAsia="Courier New" w:hAnsi="Courier New"/>
                <w:sz w:val="15"/>
                <w:szCs w:val="15"/>
                <w:color w:val="auto"/>
              </w:rPr>
              <w:t>INTEREST RATE</w:t>
            </w:r>
          </w:p>
        </w:tc>
        <w:tc>
          <w:tcPr>
            <w:tcW w:w="16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AT 12/31/97</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Project Bank Financings --</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Chetwynd, B.C. pulp mill, repaid in 1997,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  ---</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$ 51.0</w:t>
            </w:r>
          </w:p>
        </w:tc>
      </w:tr>
      <w:tr>
        <w:trPr>
          <w:trHeight w:val="176"/>
        </w:trPr>
        <w:tc>
          <w:tcPr>
            <w:tcW w:w="18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Nova Scotia fiber gypsum plant,</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repaid in 1997,</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34.7</w:t>
            </w:r>
          </w:p>
        </w:tc>
      </w:tr>
      <w:tr>
        <w:trPr>
          <w:trHeight w:val="176"/>
        </w:trPr>
        <w:tc>
          <w:tcPr>
            <w:tcW w:w="18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Waterford, Ireland, OSB plant, payable</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1998-2003, interest rate variable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41.4</w:t>
            </w:r>
          </w:p>
        </w:tc>
      </w:tr>
      <w:tr>
        <w:trPr>
          <w:trHeight w:val="17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Project Revenue Bond Financings, payable</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Courier New" w:cs="Courier New" w:eastAsia="Courier New" w:hAnsi="Courier New"/>
                <w:sz w:val="15"/>
                <w:szCs w:val="15"/>
                <w:color w:val="auto"/>
              </w:rPr>
              <w:t>1998-2009, interest rates variable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4.4-7.3</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26.1</w:t>
            </w:r>
          </w:p>
        </w:tc>
      </w:tr>
      <w:tr>
        <w:trPr>
          <w:trHeight w:val="176"/>
        </w:trPr>
        <w:tc>
          <w:tcPr>
            <w:tcW w:w="5400" w:type="dxa"/>
            <w:vAlign w:val="bottom"/>
            <w:gridSpan w:val="3"/>
          </w:tcPr>
          <w:p>
            <w:pPr>
              <w:spacing w:after="0"/>
              <w:rPr>
                <w:sz w:val="20"/>
                <w:szCs w:val="20"/>
                <w:color w:val="auto"/>
              </w:rPr>
            </w:pPr>
            <w:r>
              <w:rPr>
                <w:rFonts w:ascii="Courier New" w:cs="Courier New" w:eastAsia="Courier New" w:hAnsi="Courier New"/>
                <w:sz w:val="15"/>
                <w:szCs w:val="15"/>
                <w:color w:val="auto"/>
              </w:rPr>
              <w:t>Employee Stock Ownership Trust (ESOT) Loans --</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Hourly ESOT, payable annually through</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1999, interest rate variable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w:t>
            </w:r>
          </w:p>
        </w:tc>
      </w:tr>
      <w:tr>
        <w:trPr>
          <w:trHeight w:val="176"/>
        </w:trPr>
        <w:tc>
          <w:tcPr>
            <w:tcW w:w="18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Salaried ESOT, payable annually through</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1999, interest rate variable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w:t>
            </w:r>
          </w:p>
        </w:tc>
      </w:tr>
      <w:tr>
        <w:trPr>
          <w:trHeight w:val="17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Senior Secured Notes, payable 2008-2112,</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Courier New" w:cs="Courier New" w:eastAsia="Courier New" w:hAnsi="Courier New"/>
                <w:sz w:val="15"/>
                <w:szCs w:val="15"/>
                <w:color w:val="auto"/>
              </w:rPr>
              <w:t>interest rates fixed</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7.1-7.5</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47.9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Bank Credit Facility --</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Revolving credit facility, payable in</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2002, interest rate variable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300.0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275.0</w:t>
            </w:r>
          </w:p>
        </w:tc>
      </w:tr>
      <w:tr>
        <w:trPr>
          <w:trHeight w:val="176"/>
        </w:trPr>
        <w:tc>
          <w:tcPr>
            <w:tcW w:w="18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Term loan facility, payable in 2002,</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interest rate variable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125.0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Other, including capital lease obligations,</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Courier New" w:cs="Courier New" w:eastAsia="Courier New" w:hAnsi="Courier New"/>
                <w:sz w:val="15"/>
                <w:szCs w:val="15"/>
                <w:color w:val="auto"/>
              </w:rPr>
              <w:t>payable in varying amounts through 2010,</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Courier New" w:cs="Courier New" w:eastAsia="Courier New" w:hAnsi="Courier New"/>
                <w:sz w:val="15"/>
                <w:szCs w:val="15"/>
                <w:color w:val="auto"/>
              </w:rPr>
              <w:t>interest rates vary</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4.0-8.5</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595.2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477.3</w:t>
            </w:r>
          </w:p>
        </w:tc>
      </w:tr>
      <w:tr>
        <w:trPr>
          <w:trHeight w:val="17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portion</w:t>
            </w:r>
          </w:p>
        </w:tc>
        <w:tc>
          <w:tcPr>
            <w:tcW w:w="1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w:t>
            </w: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572.3</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$ 458.6</w:t>
            </w:r>
          </w:p>
        </w:tc>
      </w:tr>
      <w:tr>
        <w:trPr>
          <w:trHeight w:val="176"/>
        </w:trPr>
        <w:tc>
          <w:tcPr>
            <w:tcW w:w="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carrying amounts of L-P's long-term debt approximates fair market value since the debt is primarily variable rate debt. Project bank financings are typically secured by the underlying assets of the related project. The senior secured notes are collateralized by notes receivable related to timber and timberland sales. Many of L-P's loan agreements contain lender's standard covenants and restrictions. L-P was in compliance with all of the covenants and restrictions of these agreements at December 31, 1997.</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0219"/>
          </w:cols>
          <w:pgMar w:left="240" w:top="823" w:right="1440" w:bottom="1440" w:gutter="0" w:footer="0" w:header="0"/>
        </w:sectPr>
      </w:pPr>
    </w:p>
    <w:bookmarkStart w:id="32" w:name="page33"/>
    <w:bookmarkEnd w:id="32"/>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At December 31, 1997, L-P had a $425 million bank credit facility with a group of banks which is due in 2002. This facility includes a $300 million revolving credit facility and a $125 million term loan facility. Interest on borrowings under the facility is computed on one of numerous variable interest rate formulas at L-P's option. L-P pays a commitment fee on the unused credit line. Borrowings in 1997 are classified as long-term debt as amounts are not expected or required to be repaid during 1998. Additionally, L-P's subsidiary, L-P Canada Ltd. has a $30 million (Canadian) revolving credit facility which is classified as short-term notes payable. Subsequent to year-end, L-P entered into an additional credit facility with a group of banks for an additional $100 million, which must be repaid upon the sale of assets described in Note Seven.</w:t>
      </w:r>
    </w:p>
    <w:p>
      <w:pPr>
        <w:sectPr>
          <w:pgSz w:w="11900" w:h="16838" w:orient="portrait"/>
          <w:cols w:equalWidth="0" w:num="1">
            <w:col w:w="10225"/>
          </w:cols>
          <w:pgMar w:left="234" w:top="470" w:right="1440" w:bottom="1440" w:gutter="0" w:footer="0" w:header="0"/>
        </w:sectPr>
      </w:pPr>
    </w:p>
    <w:p>
      <w:pPr>
        <w:spacing w:after="0" w:line="175" w:lineRule="exact"/>
        <w:rPr>
          <w:sz w:val="20"/>
          <w:szCs w:val="20"/>
          <w:color w:val="auto"/>
        </w:rPr>
      </w:pPr>
    </w:p>
    <w:p>
      <w:pPr>
        <w:jc w:val="both"/>
        <w:ind w:left="6" w:firstLine="824"/>
        <w:spacing w:after="0" w:line="249" w:lineRule="auto"/>
        <w:rPr>
          <w:sz w:val="20"/>
          <w:szCs w:val="20"/>
          <w:color w:val="auto"/>
        </w:rPr>
      </w:pPr>
      <w:r>
        <w:rPr>
          <w:rFonts w:ascii="Courier New" w:cs="Courier New" w:eastAsia="Courier New" w:hAnsi="Courier New"/>
          <w:sz w:val="15"/>
          <w:szCs w:val="15"/>
          <w:color w:val="auto"/>
        </w:rPr>
        <w:t>The weighted average interest and 1996 was 6.4 percent and 6.2 percent. long-term debt is as follows: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2899"/>
        <w:spacing w:after="0" w:line="250" w:lineRule="auto"/>
        <w:rPr>
          <w:sz w:val="20"/>
          <w:szCs w:val="20"/>
          <w:color w:val="auto"/>
        </w:rPr>
      </w:pPr>
      <w:r>
        <w:rPr>
          <w:rFonts w:ascii="Courier New" w:cs="Courier New" w:eastAsia="Courier New" w:hAnsi="Courier New"/>
          <w:sz w:val="15"/>
          <w:szCs w:val="15"/>
          <w:color w:val="auto"/>
        </w:rPr>
        <w:t>rate for all debt at December 31, 1997 Required  repayment of principal  for</w:t>
      </w:r>
    </w:p>
    <w:p>
      <w:pPr>
        <w:spacing w:after="0" w:line="350" w:lineRule="exact"/>
        <w:rPr>
          <w:sz w:val="20"/>
          <w:szCs w:val="20"/>
          <w:color w:val="auto"/>
        </w:rPr>
      </w:pPr>
    </w:p>
    <w:p>
      <w:pPr>
        <w:sectPr>
          <w:pgSz w:w="11900" w:h="16838" w:orient="portrait"/>
          <w:cols w:equalWidth="0" w:num="2">
            <w:col w:w="3766" w:space="80"/>
            <w:col w:w="6379"/>
          </w:cols>
          <w:pgMar w:left="234" w:top="470" w:right="1440" w:bottom="1440" w:gutter="0" w:footer="0" w:header="0"/>
          <w:type w:val="continuous"/>
        </w:sectPr>
      </w:pPr>
    </w:p>
    <w:tbl>
      <w:tblPr>
        <w:tblLayout w:type="fixed"/>
        <w:tblInd w:w="826"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Courier New" w:cs="Courier New" w:eastAsia="Courier New" w:hAnsi="Courier New"/>
                <w:sz w:val="15"/>
                <w:szCs w:val="15"/>
                <w:color w:val="auto"/>
              </w:rPr>
              <w:t>YEAR ENDED DECEMBER 31 (IN MILLIONS)</w:t>
            </w:r>
          </w:p>
        </w:tc>
        <w:tc>
          <w:tcPr>
            <w:tcW w:w="580" w:type="dxa"/>
            <w:vAlign w:val="bottom"/>
          </w:tcPr>
          <w:p>
            <w:pPr>
              <w:spacing w:after="0"/>
              <w:rPr>
                <w:sz w:val="14"/>
                <w:szCs w:val="14"/>
                <w:color w:val="auto"/>
              </w:rPr>
            </w:pPr>
          </w:p>
        </w:tc>
      </w:tr>
      <w:tr>
        <w:trPr>
          <w:trHeight w:val="352"/>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820" w:type="dxa"/>
            <w:vAlign w:val="bottom"/>
          </w:tcPr>
          <w:p>
            <w:pPr>
              <w:spacing w:after="0"/>
              <w:rPr>
                <w:sz w:val="24"/>
                <w:szCs w:val="24"/>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6"/>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r>
      <w:tr>
        <w:trPr>
          <w:trHeight w:val="176"/>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6"/>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6"/>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456.2</w:t>
            </w:r>
          </w:p>
        </w:tc>
      </w:tr>
      <w:tr>
        <w:trPr>
          <w:trHeight w:val="176"/>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and after</w:t>
            </w:r>
          </w:p>
        </w:tc>
        <w:tc>
          <w:tcPr>
            <w:tcW w:w="1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68.6</w:t>
            </w:r>
          </w:p>
        </w:tc>
      </w:tr>
      <w:tr>
        <w:trPr>
          <w:trHeight w:val="176"/>
        </w:trPr>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4026"/>
        <w:spacing w:after="0"/>
        <w:tabs>
          <w:tab w:leader="none" w:pos="43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595.2</w:t>
      </w:r>
    </w:p>
    <w:p>
      <w:pPr>
        <w:spacing w:after="0" w:line="6"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826" w:hanging="826"/>
        <w:spacing w:after="0"/>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L-P maintains tax-qualified Employee Stock Ownership Trusts (ESOTs), for eligible salaried and hourly employees in the U.S. under which 10 percent of the eligible employees' annual earnings are contributed to the plans. Approximately 9,800 L-P employees participate in the ESOTs.</w:t>
      </w:r>
    </w:p>
    <w:p>
      <w:pPr>
        <w:spacing w:after="0" w:line="176"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The annual allocation of shares to participant accounts and compensation expense are generally based on the ESOTs' cost of the shares. However, as required, compensation expense for the 1,843,621 shares purchased by the ESOTs in 1994 is based on the market value of the shares at the time of allocation. L-P's ESOTs held a total of approximately 11,868,000 shares at December 31, 1997 of which approximately 9,734,000 were allocated to participants' accounts. ESOT expense is included in the retirement plan expense table below.</w:t>
      </w:r>
    </w:p>
    <w:p>
      <w:pPr>
        <w:spacing w:after="0" w:line="35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L-P also maintains other defined contribution pension plans covering various groups of hourly and salaried employees in the U.S. and other countries. Contributions to the plans are generally computed by one of three methods: 1) L-P contribution required based upon a defined formula with no employee contributions allowed; 2) L-P contribution required based upon a defined formula with elective or mandatory employee contributions; and 3) elective employee contributions only with no L-P contribution allowed.</w:t>
      </w:r>
    </w:p>
    <w:p>
      <w:pPr>
        <w:spacing w:after="0" w:line="175"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L-P also has a number of defined benefit pension plans covering its hourly employees, most of which were frozen in 1994. Contributions to these plans are based on actuarial calculations of amounts to cover current pension and amortization of prior service costs over periods ranging from 10 to 20 years. Contributions to multiemployer defined benefit plans are specified in applicable collective bargaining agreements.</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225"/>
          </w:cols>
          <w:pgMar w:left="234" w:top="470" w:right="1440" w:bottom="1440" w:gutter="0" w:footer="0" w:header="0"/>
          <w:type w:val="continuous"/>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1997, L-P adopted the L-P Supplemental Executive Retirement Plan (SERP), a non-qualified defined benefit plan intended to provide supplemental retirement benefits to key executives. Benefits are generally based on compensation in the years prior to retirement. The projected benefit obligation was $1.4 million at December 31, 1997. Expense for this plan is included in the retirement plan expense table below. L-P established a grantor trust to informally provide funding for the benefits payable under the SERP. During 1997, L-P contributed $4.2 million to the trust. The funds were invested in corporate-owned life insurance policies. At December 31, 1997, the trust assets were valued at $3.9 million and included in other assets in L-P's consolidated balance sheet.</w:t>
      </w:r>
    </w:p>
    <w:p>
      <w:pPr>
        <w:spacing w:after="0" w:line="351"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The status of L-P administered qualified defined benefit pension plans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spacing w:after="0"/>
              <w:rPr>
                <w:sz w:val="14"/>
                <w:szCs w:val="14"/>
                <w:color w:val="auto"/>
              </w:rPr>
            </w:pPr>
          </w:p>
        </w:tc>
      </w:tr>
      <w:tr>
        <w:trPr>
          <w:trHeight w:val="176"/>
        </w:trPr>
        <w:tc>
          <w:tcPr>
            <w:tcW w:w="2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r>
      <w:tr>
        <w:trPr>
          <w:trHeight w:val="352"/>
        </w:trPr>
        <w:tc>
          <w:tcPr>
            <w:tcW w:w="2980" w:type="dxa"/>
            <w:vAlign w:val="bottom"/>
          </w:tcPr>
          <w:p>
            <w:pPr>
              <w:spacing w:after="0"/>
              <w:rPr>
                <w:sz w:val="24"/>
                <w:szCs w:val="2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Plan with</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Plan with</w:t>
            </w:r>
          </w:p>
        </w:tc>
        <w:tc>
          <w:tcPr>
            <w:tcW w:w="13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Plans with</w:t>
            </w:r>
          </w:p>
        </w:tc>
        <w:tc>
          <w:tcPr>
            <w:tcW w:w="5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Plans with</w:t>
            </w:r>
          </w:p>
        </w:tc>
      </w:tr>
      <w:tr>
        <w:trPr>
          <w:trHeight w:val="176"/>
        </w:trPr>
        <w:tc>
          <w:tcPr>
            <w:tcW w:w="2980" w:type="dxa"/>
            <w:vAlign w:val="bottom"/>
          </w:tcPr>
          <w:p>
            <w:pPr>
              <w:spacing w:after="0"/>
              <w:rPr>
                <w:sz w:val="15"/>
                <w:szCs w:val="15"/>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Assets in</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Accumulated</w:t>
            </w:r>
          </w:p>
        </w:tc>
        <w:tc>
          <w:tcPr>
            <w:tcW w:w="13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Assets in</w:t>
            </w:r>
          </w:p>
        </w:tc>
        <w:tc>
          <w:tcPr>
            <w:tcW w:w="5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Accumulated</w:t>
            </w:r>
          </w:p>
        </w:tc>
      </w:tr>
      <w:tr>
        <w:trPr>
          <w:trHeight w:val="176"/>
        </w:trPr>
        <w:tc>
          <w:tcPr>
            <w:tcW w:w="2980" w:type="dxa"/>
            <w:vAlign w:val="bottom"/>
          </w:tcPr>
          <w:p>
            <w:pPr>
              <w:spacing w:after="0"/>
              <w:rPr>
                <w:sz w:val="15"/>
                <w:szCs w:val="15"/>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Excess of</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Benefits</w:t>
            </w:r>
          </w:p>
        </w:tc>
        <w:tc>
          <w:tcPr>
            <w:tcW w:w="13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Excess of</w:t>
            </w:r>
          </w:p>
        </w:tc>
        <w:tc>
          <w:tcPr>
            <w:tcW w:w="5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Benefits</w:t>
            </w:r>
          </w:p>
        </w:tc>
      </w:tr>
      <w:tr>
        <w:trPr>
          <w:trHeight w:val="176"/>
        </w:trPr>
        <w:tc>
          <w:tcPr>
            <w:tcW w:w="2980" w:type="dxa"/>
            <w:vAlign w:val="bottom"/>
          </w:tcPr>
          <w:p>
            <w:pPr>
              <w:spacing w:after="0"/>
              <w:rPr>
                <w:sz w:val="15"/>
                <w:szCs w:val="15"/>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Accumulated</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 Excess</w:t>
            </w:r>
          </w:p>
        </w:tc>
        <w:tc>
          <w:tcPr>
            <w:tcW w:w="13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Accumulated</w:t>
            </w:r>
          </w:p>
        </w:tc>
        <w:tc>
          <w:tcPr>
            <w:tcW w:w="5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In Excess</w:t>
            </w:r>
          </w:p>
        </w:tc>
      </w:tr>
      <w:tr>
        <w:trPr>
          <w:trHeight w:val="176"/>
        </w:trPr>
        <w:tc>
          <w:tcPr>
            <w:tcW w:w="2980" w:type="dxa"/>
            <w:vAlign w:val="bottom"/>
          </w:tcPr>
          <w:p>
            <w:pPr>
              <w:spacing w:after="0"/>
              <w:rPr>
                <w:sz w:val="15"/>
                <w:szCs w:val="15"/>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Benefits</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Assets</w:t>
            </w:r>
          </w:p>
        </w:tc>
        <w:tc>
          <w:tcPr>
            <w:tcW w:w="13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Benefits</w:t>
            </w:r>
          </w:p>
        </w:tc>
        <w:tc>
          <w:tcPr>
            <w:tcW w:w="5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of Assets</w:t>
            </w:r>
          </w:p>
        </w:tc>
      </w:tr>
      <w:tr>
        <w:trPr>
          <w:trHeight w:val="352"/>
        </w:trPr>
        <w:tc>
          <w:tcPr>
            <w:tcW w:w="2980" w:type="dxa"/>
            <w:vAlign w:val="bottom"/>
          </w:tcPr>
          <w:p>
            <w:pPr>
              <w:spacing w:after="0"/>
              <w:rPr>
                <w:sz w:val="20"/>
                <w:szCs w:val="20"/>
                <w:color w:val="auto"/>
              </w:rPr>
            </w:pPr>
            <w:r>
              <w:rPr>
                <w:rFonts w:ascii="Courier New" w:cs="Courier New" w:eastAsia="Courier New" w:hAnsi="Courier New"/>
                <w:sz w:val="15"/>
                <w:szCs w:val="15"/>
                <w:color w:val="auto"/>
              </w:rPr>
              <w:t>DECEMBER 31 (IN MILLIONS)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2"/>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2"/>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Vested portion</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11.2</w:t>
            </w:r>
          </w:p>
        </w:tc>
        <w:tc>
          <w:tcPr>
            <w:tcW w:w="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101.1</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89.8</w:t>
            </w:r>
          </w:p>
        </w:tc>
      </w:tr>
      <w:tr>
        <w:trPr>
          <w:trHeight w:val="17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Non-vested portion</w:t>
            </w:r>
          </w:p>
        </w:tc>
        <w:tc>
          <w:tcPr>
            <w:tcW w:w="5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w:t>
            </w:r>
          </w:p>
        </w:tc>
        <w:tc>
          <w:tcPr>
            <w:tcW w:w="46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w:t>
            </w:r>
          </w:p>
        </w:tc>
      </w:tr>
      <w:tr>
        <w:trPr>
          <w:trHeight w:val="176"/>
        </w:trPr>
        <w:tc>
          <w:tcPr>
            <w:tcW w:w="2980" w:type="dxa"/>
            <w:vAlign w:val="bottom"/>
          </w:tcPr>
          <w:p>
            <w:pPr>
              <w:spacing w:after="0"/>
              <w:rPr>
                <w:sz w:val="15"/>
                <w:szCs w:val="15"/>
                <w:color w:val="auto"/>
              </w:rPr>
            </w:pP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11.2</w:t>
            </w:r>
          </w:p>
        </w:tc>
        <w:tc>
          <w:tcPr>
            <w:tcW w:w="38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103.2</w:t>
            </w:r>
          </w:p>
        </w:tc>
        <w:tc>
          <w:tcPr>
            <w:tcW w:w="46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20.1</w:t>
            </w:r>
          </w:p>
        </w:tc>
        <w:tc>
          <w:tcPr>
            <w:tcW w:w="5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92.7</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Effect of future compensation</w:t>
            </w:r>
          </w:p>
        </w:tc>
        <w:tc>
          <w:tcPr>
            <w:tcW w:w="5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spacing w:after="0"/>
              <w:rPr>
                <w:sz w:val="15"/>
                <w:szCs w:val="15"/>
                <w:color w:val="auto"/>
              </w:rPr>
            </w:pP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5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11.2</w:t>
            </w:r>
          </w:p>
        </w:tc>
        <w:tc>
          <w:tcPr>
            <w:tcW w:w="38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103.2</w:t>
            </w:r>
          </w:p>
        </w:tc>
        <w:tc>
          <w:tcPr>
            <w:tcW w:w="46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20.1</w:t>
            </w:r>
          </w:p>
        </w:tc>
        <w:tc>
          <w:tcPr>
            <w:tcW w:w="5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92.7</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Plan assets</w:t>
            </w:r>
          </w:p>
        </w:tc>
        <w:tc>
          <w:tcPr>
            <w:tcW w:w="5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13.2</w:t>
            </w:r>
          </w:p>
        </w:tc>
        <w:tc>
          <w:tcPr>
            <w:tcW w:w="38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89.1</w:t>
            </w:r>
          </w:p>
        </w:tc>
        <w:tc>
          <w:tcPr>
            <w:tcW w:w="46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39.6</w:t>
            </w:r>
          </w:p>
        </w:tc>
        <w:tc>
          <w:tcPr>
            <w:tcW w:w="5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87.3</w:t>
            </w:r>
          </w:p>
        </w:tc>
      </w:tr>
      <w:tr>
        <w:trPr>
          <w:trHeight w:val="176"/>
        </w:trPr>
        <w:tc>
          <w:tcPr>
            <w:tcW w:w="2980" w:type="dxa"/>
            <w:vAlign w:val="bottom"/>
          </w:tcPr>
          <w:p>
            <w:pPr>
              <w:spacing w:after="0"/>
              <w:rPr>
                <w:sz w:val="15"/>
                <w:szCs w:val="15"/>
                <w:color w:val="auto"/>
              </w:rPr>
            </w:pP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Net funded (unfunded)</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980" w:type="dxa"/>
            <w:vAlign w:val="bottom"/>
          </w:tcPr>
          <w:p>
            <w:pPr>
              <w:ind w:left="360"/>
              <w:spacing w:after="0"/>
              <w:rPr>
                <w:sz w:val="20"/>
                <w:szCs w:val="20"/>
                <w:color w:val="auto"/>
              </w:rPr>
            </w:pPr>
            <w:r>
              <w:rPr>
                <w:rFonts w:ascii="Courier New" w:cs="Courier New" w:eastAsia="Courier New" w:hAnsi="Courier New"/>
                <w:sz w:val="15"/>
                <w:szCs w:val="15"/>
                <w:color w:val="auto"/>
              </w:rPr>
              <w:t>status</w:t>
            </w:r>
          </w:p>
        </w:tc>
        <w:tc>
          <w:tcPr>
            <w:tcW w:w="5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w:t>
            </w:r>
          </w:p>
        </w:tc>
        <w:tc>
          <w:tcPr>
            <w:tcW w:w="46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19.5</w:t>
            </w:r>
          </w:p>
        </w:tc>
        <w:tc>
          <w:tcPr>
            <w:tcW w:w="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Unrecognized asset at</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transition</w:t>
            </w:r>
          </w:p>
        </w:tc>
        <w:tc>
          <w:tcPr>
            <w:tcW w:w="50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w:t>
            </w:r>
          </w:p>
        </w:tc>
        <w:tc>
          <w:tcPr>
            <w:tcW w:w="460" w:type="dxa"/>
            <w:vAlign w:val="bottom"/>
          </w:tcPr>
          <w:p>
            <w:pPr>
              <w:spacing w:after="0"/>
              <w:rPr>
                <w:sz w:val="15"/>
                <w:szCs w:val="15"/>
                <w:color w:val="auto"/>
              </w:rPr>
            </w:pP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w:t>
            </w:r>
          </w:p>
        </w:tc>
        <w:tc>
          <w:tcPr>
            <w:tcW w:w="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Unrecognized net loss</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and other</w:t>
            </w:r>
          </w:p>
        </w:tc>
        <w:tc>
          <w:tcPr>
            <w:tcW w:w="5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w:t>
            </w:r>
          </w:p>
        </w:tc>
        <w:tc>
          <w:tcPr>
            <w:tcW w:w="38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29.3</w:t>
            </w:r>
          </w:p>
        </w:tc>
        <w:tc>
          <w:tcPr>
            <w:tcW w:w="46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20.9</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Adjustment to recognize</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minimum liability</w:t>
            </w:r>
          </w:p>
        </w:tc>
        <w:tc>
          <w:tcPr>
            <w:tcW w:w="5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(22.9)</w:t>
            </w:r>
          </w:p>
        </w:tc>
        <w:tc>
          <w:tcPr>
            <w:tcW w:w="46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w:t>
            </w:r>
          </w:p>
        </w:tc>
      </w:tr>
      <w:tr>
        <w:trPr>
          <w:trHeight w:val="176"/>
        </w:trPr>
        <w:tc>
          <w:tcPr>
            <w:tcW w:w="2980" w:type="dxa"/>
            <w:vAlign w:val="bottom"/>
          </w:tcPr>
          <w:p>
            <w:pPr>
              <w:spacing w:after="0"/>
              <w:rPr>
                <w:sz w:val="15"/>
                <w:szCs w:val="15"/>
                <w:color w:val="auto"/>
              </w:rPr>
            </w:pP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prepaid (accrued)</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pension expense</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5.6</w:t>
            </w:r>
          </w:p>
        </w:tc>
        <w:tc>
          <w:tcPr>
            <w:tcW w:w="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w:t>
            </w:r>
          </w:p>
        </w:tc>
      </w:tr>
      <w:tr>
        <w:trPr>
          <w:trHeight w:val="176"/>
        </w:trPr>
        <w:tc>
          <w:tcPr>
            <w:tcW w:w="2980" w:type="dxa"/>
            <w:vAlign w:val="bottom"/>
          </w:tcPr>
          <w:p>
            <w:pPr>
              <w:spacing w:after="0"/>
              <w:rPr>
                <w:sz w:val="15"/>
                <w:szCs w:val="15"/>
                <w:color w:val="auto"/>
              </w:rPr>
            </w:pP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actuarial assumptions used to determine pension expense and the funded status of the plans for 1997 and 1996 were: a discount rate on benefit obligations of 7.25 percent and 7.75 percent, and an 8.75 percent expected long-term rate of return on plan assets.</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assets of the plans at December 31, 1997 and 1996 consist mostly of government obligations, and minor amounts in equity securities and cash and cash equivalents.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Retirement plan expense included the following components:</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- 33 -</w:t>
      </w:r>
    </w:p>
    <w:p>
      <w:pPr>
        <w:sectPr>
          <w:pgSz w:w="11900" w:h="16838" w:orient="portrait"/>
          <w:cols w:equalWidth="0" w:num="1">
            <w:col w:w="10219"/>
          </w:cols>
          <w:pgMar w:left="240" w:top="470" w:right="1440" w:bottom="1440" w:gutter="0" w:footer="0" w:header="0"/>
        </w:sectPr>
      </w:pPr>
    </w:p>
    <w:bookmarkStart w:id="34" w:name="page35"/>
    <w:bookmarkEnd w:id="34"/>
    <w:tbl>
      <w:tblPr>
        <w:tblLayout w:type="fixed"/>
        <w:tblInd w:w="6" w:type="dxa"/>
        <w:tblCellMar>
          <w:top w:w="0" w:type="dxa"/>
          <w:left w:w="0" w:type="dxa"/>
          <w:bottom w:w="0" w:type="dxa"/>
          <w:right w:w="0" w:type="dxa"/>
        </w:tblCellMar>
      </w:tblP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705"/>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YEAR ENDED DECEMBER 31 (IN MILLIONS)</w:t>
            </w:r>
          </w:p>
        </w:tc>
        <w:tc>
          <w:tcPr>
            <w:tcW w:w="740" w:type="dxa"/>
            <w:vAlign w:val="bottom"/>
          </w:tcPr>
          <w:p>
            <w:pPr>
              <w:spacing w:after="0"/>
              <w:rPr>
                <w:sz w:val="24"/>
                <w:szCs w:val="24"/>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1997</w:t>
            </w:r>
          </w:p>
        </w:tc>
        <w:tc>
          <w:tcPr>
            <w:tcW w:w="400" w:type="dxa"/>
            <w:vAlign w:val="bottom"/>
          </w:tcPr>
          <w:p>
            <w:pPr>
              <w:spacing w:after="0"/>
              <w:rPr>
                <w:sz w:val="24"/>
                <w:szCs w:val="24"/>
                <w:color w:val="auto"/>
              </w:rPr>
            </w:pPr>
          </w:p>
        </w:tc>
        <w:tc>
          <w:tcPr>
            <w:tcW w:w="9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c>
          <w:tcPr>
            <w:tcW w:w="420" w:type="dxa"/>
            <w:vAlign w:val="bottom"/>
          </w:tcPr>
          <w:p>
            <w:pPr>
              <w:spacing w:after="0"/>
              <w:rPr>
                <w:sz w:val="24"/>
                <w:szCs w:val="24"/>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5"/>
                <w:szCs w:val="15"/>
                <w:color w:val="auto"/>
              </w:rPr>
            </w:pPr>
          </w:p>
        </w:tc>
        <w:tc>
          <w:tcPr>
            <w:tcW w:w="9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529"/>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Benefits earned by employees</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Interest cost on projected</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60" w:type="dxa"/>
            <w:vAlign w:val="bottom"/>
          </w:tcPr>
          <w:p>
            <w:pPr>
              <w:ind w:left="1000"/>
              <w:spacing w:after="0"/>
              <w:rPr>
                <w:sz w:val="20"/>
                <w:szCs w:val="20"/>
                <w:color w:val="auto"/>
              </w:rPr>
            </w:pPr>
            <w:r>
              <w:rPr>
                <w:rFonts w:ascii="Courier New" w:cs="Courier New" w:eastAsia="Courier New" w:hAnsi="Courier New"/>
                <w:sz w:val="15"/>
                <w:szCs w:val="15"/>
                <w:color w:val="auto"/>
              </w:rPr>
              <w:t>benefit obligation</w:t>
            </w:r>
          </w:p>
        </w:tc>
        <w:tc>
          <w:tcPr>
            <w:tcW w:w="7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w:t>
            </w:r>
          </w:p>
        </w:tc>
        <w:tc>
          <w:tcPr>
            <w:tcW w:w="40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8.3</w:t>
            </w:r>
          </w:p>
        </w:tc>
        <w:tc>
          <w:tcPr>
            <w:tcW w:w="4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w:t>
            </w:r>
          </w:p>
        </w:tc>
      </w:tr>
      <w:tr>
        <w:trPr>
          <w:trHeight w:val="176"/>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Return on plan assets</w:t>
            </w:r>
          </w:p>
        </w:tc>
        <w:tc>
          <w:tcPr>
            <w:tcW w:w="7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w:t>
            </w:r>
          </w:p>
        </w:tc>
        <w:tc>
          <w:tcPr>
            <w:tcW w:w="40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6"/>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Net amortization and deferral</w:t>
            </w:r>
          </w:p>
        </w:tc>
        <w:tc>
          <w:tcPr>
            <w:tcW w:w="7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6"/>
        </w:trPr>
        <w:tc>
          <w:tcPr>
            <w:tcW w:w="476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Net periodic pension expense (income)</w:t>
            </w:r>
          </w:p>
        </w:tc>
        <w:tc>
          <w:tcPr>
            <w:tcW w:w="7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(4 .3)</w:t>
            </w:r>
          </w:p>
        </w:tc>
      </w:tr>
      <w:tr>
        <w:trPr>
          <w:trHeight w:val="176"/>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Expense related to ESOTs multiemployer,</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60" w:type="dxa"/>
            <w:vAlign w:val="bottom"/>
          </w:tcPr>
          <w:p>
            <w:pPr>
              <w:ind w:left="1000"/>
              <w:spacing w:after="0"/>
              <w:rPr>
                <w:sz w:val="20"/>
                <w:szCs w:val="20"/>
                <w:color w:val="auto"/>
              </w:rPr>
            </w:pPr>
            <w:r>
              <w:rPr>
                <w:rFonts w:ascii="Courier New" w:cs="Courier New" w:eastAsia="Courier New" w:hAnsi="Courier New"/>
                <w:sz w:val="15"/>
                <w:szCs w:val="15"/>
                <w:color w:val="auto"/>
              </w:rPr>
              <w:t>defined contribution and</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760" w:type="dxa"/>
            <w:vAlign w:val="bottom"/>
          </w:tcPr>
          <w:p>
            <w:pPr>
              <w:ind w:left="1000"/>
              <w:spacing w:after="0"/>
              <w:rPr>
                <w:sz w:val="20"/>
                <w:szCs w:val="20"/>
                <w:color w:val="auto"/>
              </w:rPr>
            </w:pPr>
            <w:r>
              <w:rPr>
                <w:rFonts w:ascii="Courier New" w:cs="Courier New" w:eastAsia="Courier New" w:hAnsi="Courier New"/>
                <w:sz w:val="15"/>
                <w:szCs w:val="15"/>
                <w:color w:val="auto"/>
              </w:rPr>
              <w:t>non-qualified plans</w:t>
            </w:r>
          </w:p>
        </w:tc>
        <w:tc>
          <w:tcPr>
            <w:tcW w:w="7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28.8</w:t>
            </w:r>
          </w:p>
        </w:tc>
        <w:tc>
          <w:tcPr>
            <w:tcW w:w="40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29.1</w:t>
            </w:r>
          </w:p>
        </w:tc>
        <w:tc>
          <w:tcPr>
            <w:tcW w:w="4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30.1</w:t>
            </w:r>
          </w:p>
        </w:tc>
      </w:tr>
      <w:tr>
        <w:trPr>
          <w:trHeight w:val="176"/>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Loss from settlement of pension plan</w:t>
            </w:r>
          </w:p>
        </w:tc>
        <w:tc>
          <w:tcPr>
            <w:tcW w:w="7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w:t>
            </w:r>
          </w:p>
        </w:tc>
        <w:tc>
          <w:tcPr>
            <w:tcW w:w="40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ind w:left="820"/>
              <w:spacing w:after="0"/>
              <w:rPr>
                <w:sz w:val="20"/>
                <w:szCs w:val="20"/>
                <w:color w:val="auto"/>
              </w:rPr>
            </w:pPr>
            <w:r>
              <w:rPr>
                <w:rFonts w:ascii="Courier New" w:cs="Courier New" w:eastAsia="Courier New" w:hAnsi="Courier New"/>
                <w:sz w:val="15"/>
                <w:szCs w:val="15"/>
                <w:color w:val="auto"/>
              </w:rPr>
              <w:t>Net retirement plan expense</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34.2</w:t>
            </w: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25.3</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25.8</w:t>
            </w:r>
          </w:p>
        </w:tc>
      </w:tr>
      <w:tr>
        <w:trPr>
          <w:trHeight w:val="176"/>
        </w:trPr>
        <w:tc>
          <w:tcPr>
            <w:tcW w:w="476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L-P has several plans which provide minimal postretirement benefits other than pensions. Net expense related to these plans was not significant. L-P does not generally provide post-employment benefits.</w:t>
      </w:r>
    </w:p>
    <w:p>
      <w:pPr>
        <w:spacing w:after="0" w:line="176" w:lineRule="exact"/>
        <w:rPr>
          <w:sz w:val="20"/>
          <w:szCs w:val="20"/>
          <w:color w:val="auto"/>
        </w:rPr>
      </w:pPr>
    </w:p>
    <w:p>
      <w:pPr>
        <w:ind w:left="826" w:hanging="826"/>
        <w:spacing w:after="0"/>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PLANS</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The Financial Accounting Standards Board issued SFAS 123, "Accounting for Stock-Based Compensation" which establishes a fair value approach to measuring compensation expense related to employee stock plans for grants on or after January 1, 1995. As allowed by SFAS 123, L-P has elected to adopt only the disclosure provisions of the standard and therefore recorded no compensation expense for certain stock option plans and all stock purchase plans. Had compensation expense for L-P's stock-based compensation plans been determined based on the fair value at the grant dates for awards under those plans consistent with the method of SFAS Statement 123, L-P's net income (loss) and net income (loss) per share would have been reduced to the pro forma amounts indicated below:</w:t>
      </w:r>
    </w:p>
    <w:p>
      <w:pPr>
        <w:spacing w:after="0" w:line="351"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66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(IN MILLIONS, EXCEPT PER SHARE)</w:t>
            </w:r>
          </w:p>
        </w:tc>
        <w:tc>
          <w:tcPr>
            <w:tcW w:w="10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4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(101.8)</w:t>
            </w: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(200.7)</w:t>
            </w: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(51.7)</w:t>
            </w:r>
          </w:p>
        </w:tc>
      </w:tr>
      <w:tr>
        <w:trPr>
          <w:trHeight w:val="176"/>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0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(108.6)</w:t>
            </w:r>
          </w:p>
        </w:tc>
        <w:tc>
          <w:tcPr>
            <w:tcW w:w="4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(206.0)</w:t>
            </w:r>
          </w:p>
        </w:tc>
        <w:tc>
          <w:tcPr>
            <w:tcW w:w="4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(53.6)</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6"/>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0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w:t>
            </w:r>
          </w:p>
        </w:tc>
        <w:tc>
          <w:tcPr>
            <w:tcW w:w="4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(1.92)</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bl>
    <w:p>
      <w:pPr>
        <w:spacing w:after="0" w:line="357"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 pricing model using the actual option terms with the assumptions of a 2.5 percent to 3.2 percent dividend yield, expected volatility of 29 percent in 1997 and 27 percent in 1996 and 1995, and a risk free interest rate of 6.6 percent in 1997 and 6.7 percent in 1996 and 1995.</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 Option Plans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L-P grants options to key employees to purchase L-P common stock. Past options were granted at 85 to 100 percent of market price. The current stock award plan requires that options be granted at 100 percent of market price. The options become exercisable over 3 or 5 years beginning one year after the grant date and expire 5 or 10 years after the date of grant. Compensation expense recognized for stock options was $.7 million in 1997, $.7 million in 1996 and $1.0 million in 1995. At December 31, 1997, 4.5 million shares were available under the current stock award plan for future option grants and all other stock-based awards.</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- 34 -</w:t>
      </w:r>
    </w:p>
    <w:p>
      <w:pPr>
        <w:sectPr>
          <w:pgSz w:w="11900" w:h="16838" w:orient="portrait"/>
          <w:cols w:equalWidth="0" w:num="1">
            <w:col w:w="10225"/>
          </w:cols>
          <w:pgMar w:left="234" w:top="470"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gridSpan w:val="11"/>
          </w:tcPr>
          <w:p>
            <w:pPr>
              <w:ind w:left="820"/>
              <w:spacing w:after="0"/>
              <w:rPr>
                <w:sz w:val="20"/>
                <w:szCs w:val="20"/>
                <w:color w:val="auto"/>
              </w:rPr>
            </w:pPr>
            <w:r>
              <w:rPr>
                <w:rFonts w:ascii="Courier New" w:cs="Courier New" w:eastAsia="Courier New" w:hAnsi="Courier New"/>
                <w:sz w:val="15"/>
                <w:szCs w:val="15"/>
                <w:color w:val="auto"/>
              </w:rPr>
              <w:t>Changes in options outstanding and exercisable were as follows: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52"/>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NUMBER OF SHARES</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3420" w:type="dxa"/>
            <w:vAlign w:val="bottom"/>
            <w:gridSpan w:val="4"/>
          </w:tcPr>
          <w:p>
            <w:pPr>
              <w:ind w:left="820"/>
              <w:spacing w:after="0"/>
              <w:rPr>
                <w:sz w:val="20"/>
                <w:szCs w:val="20"/>
                <w:color w:val="auto"/>
              </w:rPr>
            </w:pPr>
            <w:r>
              <w:rPr>
                <w:rFonts w:ascii="Courier New" w:cs="Courier New" w:eastAsia="Courier New" w:hAnsi="Courier New"/>
                <w:sz w:val="15"/>
                <w:szCs w:val="15"/>
                <w:color w:val="auto"/>
              </w:rPr>
              <w:t>YEAR ENDED DECEMBER 31</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1996</w:t>
            </w:r>
          </w:p>
        </w:tc>
        <w:tc>
          <w:tcPr>
            <w:tcW w:w="13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3420" w:type="dxa"/>
            <w:vAlign w:val="bottom"/>
            <w:gridSpan w:val="4"/>
          </w:tcPr>
          <w:p>
            <w:pPr>
              <w:ind w:left="8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w:t>
            </w:r>
          </w:p>
        </w:tc>
        <w:tc>
          <w:tcPr>
            <w:tcW w:w="13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r>
      <w:tr>
        <w:trPr>
          <w:trHeight w:val="529"/>
        </w:trPr>
        <w:tc>
          <w:tcPr>
            <w:tcW w:w="4160" w:type="dxa"/>
            <w:vAlign w:val="bottom"/>
            <w:gridSpan w:val="5"/>
          </w:tcPr>
          <w:p>
            <w:pPr>
              <w:ind w:left="820"/>
              <w:spacing w:after="0"/>
              <w:rPr>
                <w:sz w:val="20"/>
                <w:szCs w:val="20"/>
                <w:color w:val="auto"/>
              </w:rPr>
            </w:pPr>
            <w:r>
              <w:rPr>
                <w:rFonts w:ascii="Courier New" w:cs="Courier New" w:eastAsia="Courier New" w:hAnsi="Courier New"/>
                <w:sz w:val="15"/>
                <w:szCs w:val="15"/>
                <w:color w:val="auto"/>
              </w:rPr>
              <w:t>Options outstanding at January 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1,647,530</w:t>
            </w: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1,370,410</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2,611,123</w:t>
            </w:r>
          </w:p>
        </w:tc>
      </w:tr>
      <w:tr>
        <w:trPr>
          <w:trHeight w:val="176"/>
        </w:trPr>
        <w:tc>
          <w:tcPr>
            <w:tcW w:w="260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Options granted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789,505</w:t>
            </w:r>
          </w:p>
        </w:tc>
        <w:tc>
          <w:tcPr>
            <w:tcW w:w="460" w:type="dxa"/>
            <w:vAlign w:val="bottom"/>
          </w:tcPr>
          <w:p>
            <w:pPr>
              <w:spacing w:after="0"/>
              <w:rPr>
                <w:sz w:val="15"/>
                <w:szCs w:val="15"/>
                <w:color w:val="auto"/>
              </w:rPr>
            </w:pPr>
          </w:p>
        </w:tc>
        <w:tc>
          <w:tcPr>
            <w:tcW w:w="10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605,000</w:t>
            </w:r>
          </w:p>
        </w:tc>
        <w:tc>
          <w:tcPr>
            <w:tcW w:w="6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114,000</w:t>
            </w:r>
          </w:p>
        </w:tc>
      </w:tr>
      <w:tr>
        <w:trPr>
          <w:trHeight w:val="176"/>
        </w:trPr>
        <w:tc>
          <w:tcPr>
            <w:tcW w:w="260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Options exercised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(154,880)</w:t>
            </w:r>
          </w:p>
        </w:tc>
        <w:tc>
          <w:tcPr>
            <w:tcW w:w="14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(196,530)</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(1,046,412)</w:t>
            </w:r>
          </w:p>
        </w:tc>
      </w:tr>
      <w:tr>
        <w:trPr>
          <w:trHeight w:val="176"/>
        </w:trPr>
        <w:tc>
          <w:tcPr>
            <w:tcW w:w="260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Options canceled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(78,300)</w:t>
            </w:r>
          </w:p>
        </w:tc>
        <w:tc>
          <w:tcPr>
            <w:tcW w:w="14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(131,350)</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(308,301)</w:t>
            </w:r>
          </w:p>
        </w:tc>
      </w:tr>
      <w:tr>
        <w:trPr>
          <w:trHeight w:val="176"/>
        </w:trPr>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5"/>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160" w:type="dxa"/>
            <w:vAlign w:val="bottom"/>
            <w:gridSpan w:val="5"/>
          </w:tcPr>
          <w:p>
            <w:pPr>
              <w:ind w:left="820"/>
              <w:spacing w:after="0"/>
              <w:rPr>
                <w:sz w:val="20"/>
                <w:szCs w:val="20"/>
                <w:color w:val="auto"/>
              </w:rPr>
            </w:pPr>
            <w:r>
              <w:rPr>
                <w:rFonts w:ascii="Courier New" w:cs="Courier New" w:eastAsia="Courier New" w:hAnsi="Courier New"/>
                <w:sz w:val="15"/>
                <w:szCs w:val="15"/>
                <w:color w:val="auto"/>
              </w:rPr>
              <w:t>Options outstanding at December 31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2,203,855</w:t>
            </w: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1,647,530</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1,370,410</w:t>
            </w:r>
          </w:p>
        </w:tc>
      </w:tr>
      <w:tr>
        <w:trPr>
          <w:trHeight w:val="176"/>
        </w:trPr>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5"/>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160" w:type="dxa"/>
            <w:vAlign w:val="bottom"/>
            <w:gridSpan w:val="5"/>
          </w:tcPr>
          <w:p>
            <w:pPr>
              <w:ind w:left="820"/>
              <w:spacing w:after="0"/>
              <w:rPr>
                <w:sz w:val="20"/>
                <w:szCs w:val="20"/>
                <w:color w:val="auto"/>
              </w:rPr>
            </w:pPr>
            <w:r>
              <w:rPr>
                <w:rFonts w:ascii="Courier New" w:cs="Courier New" w:eastAsia="Courier New" w:hAnsi="Courier New"/>
                <w:sz w:val="15"/>
                <w:szCs w:val="15"/>
                <w:color w:val="auto"/>
              </w:rPr>
              <w:t>Options exercisable at December 31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912,144</w:t>
            </w:r>
          </w:p>
        </w:tc>
        <w:tc>
          <w:tcPr>
            <w:tcW w:w="460" w:type="dxa"/>
            <w:vAlign w:val="bottom"/>
          </w:tcPr>
          <w:p>
            <w:pPr>
              <w:spacing w:after="0"/>
              <w:rPr>
                <w:sz w:val="24"/>
                <w:szCs w:val="24"/>
                <w:color w:val="auto"/>
              </w:rPr>
            </w:pPr>
          </w:p>
        </w:tc>
        <w:tc>
          <w:tcPr>
            <w:tcW w:w="10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762,850</w:t>
            </w:r>
          </w:p>
        </w:tc>
        <w:tc>
          <w:tcPr>
            <w:tcW w:w="66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668,900</w:t>
            </w:r>
          </w:p>
        </w:tc>
      </w:tr>
      <w:tr>
        <w:trPr>
          <w:trHeight w:val="176"/>
        </w:trPr>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5"/>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5"/>
          </w:tcPr>
          <w:p>
            <w:pPr>
              <w:spacing w:after="0"/>
              <w:rPr>
                <w:sz w:val="20"/>
                <w:szCs w:val="20"/>
                <w:color w:val="auto"/>
              </w:rPr>
            </w:pPr>
            <w:r>
              <w:rPr>
                <w:rFonts w:ascii="Courier New" w:cs="Courier New" w:eastAsia="Courier New" w:hAnsi="Courier New"/>
                <w:sz w:val="15"/>
                <w:szCs w:val="15"/>
                <w:color w:val="auto"/>
              </w:rPr>
              <w:t>WEIGHTED AVERAGE PRICE PER SHARE</w:t>
            </w:r>
          </w:p>
        </w:tc>
        <w:tc>
          <w:tcPr>
            <w:tcW w:w="720" w:type="dxa"/>
            <w:vAlign w:val="bottom"/>
          </w:tcPr>
          <w:p>
            <w:pPr>
              <w:spacing w:after="0"/>
              <w:rPr>
                <w:sz w:val="24"/>
                <w:szCs w:val="24"/>
                <w:color w:val="auto"/>
              </w:rPr>
            </w:pPr>
          </w:p>
        </w:tc>
      </w:tr>
      <w:tr>
        <w:trPr>
          <w:trHeight w:val="176"/>
        </w:trPr>
        <w:tc>
          <w:tcPr>
            <w:tcW w:w="3420" w:type="dxa"/>
            <w:vAlign w:val="bottom"/>
            <w:gridSpan w:val="4"/>
          </w:tcPr>
          <w:p>
            <w:pPr>
              <w:ind w:left="820"/>
              <w:spacing w:after="0"/>
              <w:rPr>
                <w:sz w:val="20"/>
                <w:szCs w:val="20"/>
                <w:color w:val="auto"/>
              </w:rPr>
            </w:pPr>
            <w:r>
              <w:rPr>
                <w:rFonts w:ascii="Courier New" w:cs="Courier New" w:eastAsia="Courier New" w:hAnsi="Courier New"/>
                <w:sz w:val="15"/>
                <w:szCs w:val="15"/>
                <w:color w:val="auto"/>
              </w:rPr>
              <w:t>YEAR ENDED DECEMBER 31</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1996</w:t>
            </w:r>
          </w:p>
        </w:tc>
        <w:tc>
          <w:tcPr>
            <w:tcW w:w="66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3420" w:type="dxa"/>
            <w:vAlign w:val="bottom"/>
            <w:gridSpan w:val="4"/>
          </w:tcPr>
          <w:p>
            <w:pPr>
              <w:ind w:left="8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260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EXERCISE PRICE</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10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rPr>
              <w:t>Options granted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22.18</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21.57</w:t>
            </w:r>
          </w:p>
        </w:tc>
      </w:tr>
      <w:tr>
        <w:trPr>
          <w:trHeight w:val="176"/>
        </w:trPr>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0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13.91</w:t>
            </w:r>
          </w:p>
        </w:tc>
        <w:tc>
          <w:tcPr>
            <w:tcW w:w="540" w:type="dxa"/>
            <w:vAlign w:val="bottom"/>
          </w:tcPr>
          <w:p>
            <w:pPr>
              <w:spacing w:after="0"/>
              <w:rPr>
                <w:sz w:val="15"/>
                <w:szCs w:val="15"/>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12.13</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11.55</w:t>
            </w:r>
          </w:p>
        </w:tc>
      </w:tr>
      <w:tr>
        <w:trPr>
          <w:trHeight w:val="176"/>
        </w:trPr>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0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rPr>
              <w:t>Options canceled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24.21</w:t>
            </w:r>
          </w:p>
        </w:tc>
        <w:tc>
          <w:tcPr>
            <w:tcW w:w="540" w:type="dxa"/>
            <w:vAlign w:val="bottom"/>
          </w:tcPr>
          <w:p>
            <w:pPr>
              <w:spacing w:after="0"/>
              <w:rPr>
                <w:sz w:val="15"/>
                <w:szCs w:val="15"/>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21.39</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12.73</w:t>
            </w:r>
          </w:p>
        </w:tc>
      </w:tr>
      <w:tr>
        <w:trPr>
          <w:trHeight w:val="176"/>
        </w:trPr>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000" w:type="dxa"/>
            <w:vAlign w:val="bottom"/>
          </w:tcPr>
          <w:p>
            <w:pPr>
              <w:spacing w:after="0"/>
              <w:rPr>
                <w:sz w:val="15"/>
                <w:szCs w:val="15"/>
                <w:color w:val="auto"/>
              </w:rPr>
            </w:pPr>
          </w:p>
        </w:tc>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Options outstanding</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21.09</w:t>
            </w:r>
          </w:p>
        </w:tc>
        <w:tc>
          <w:tcPr>
            <w:tcW w:w="540" w:type="dxa"/>
            <w:vAlign w:val="bottom"/>
          </w:tcPr>
          <w:p>
            <w:pPr>
              <w:spacing w:after="0"/>
              <w:rPr>
                <w:sz w:val="15"/>
                <w:szCs w:val="15"/>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21.14</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19.40</w:t>
            </w:r>
          </w:p>
        </w:tc>
      </w:tr>
      <w:tr>
        <w:trPr>
          <w:trHeight w:val="176"/>
        </w:trPr>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000" w:type="dxa"/>
            <w:vAlign w:val="bottom"/>
          </w:tcPr>
          <w:p>
            <w:pPr>
              <w:spacing w:after="0"/>
              <w:rPr>
                <w:sz w:val="15"/>
                <w:szCs w:val="15"/>
                <w:color w:val="auto"/>
              </w:rPr>
            </w:pPr>
          </w:p>
        </w:tc>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Options exercisable</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21.09</w:t>
            </w:r>
          </w:p>
        </w:tc>
        <w:tc>
          <w:tcPr>
            <w:tcW w:w="540" w:type="dxa"/>
            <w:vAlign w:val="bottom"/>
          </w:tcPr>
          <w:p>
            <w:pPr>
              <w:spacing w:after="0"/>
              <w:rPr>
                <w:sz w:val="15"/>
                <w:szCs w:val="15"/>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19.05</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17.05</w:t>
            </w:r>
          </w:p>
        </w:tc>
      </w:tr>
      <w:tr>
        <w:trPr>
          <w:trHeight w:val="176"/>
        </w:trPr>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gridSpan w:val="4"/>
          </w:tcPr>
          <w:p>
            <w:pPr>
              <w:ind w:left="820"/>
              <w:spacing w:after="0"/>
              <w:rPr>
                <w:sz w:val="20"/>
                <w:szCs w:val="20"/>
                <w:color w:val="auto"/>
              </w:rPr>
            </w:pPr>
            <w:r>
              <w:rPr>
                <w:rFonts w:ascii="Courier New" w:cs="Courier New" w:eastAsia="Courier New" w:hAnsi="Courier New"/>
                <w:sz w:val="15"/>
                <w:szCs w:val="15"/>
                <w:color w:val="auto"/>
              </w:rPr>
              <w:t>FAIR VALUE AT DATE OF GRANT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rPr>
              <w:t>Options granted</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6.05</w:t>
            </w:r>
          </w:p>
        </w:tc>
        <w:tc>
          <w:tcPr>
            <w:tcW w:w="540" w:type="dxa"/>
            <w:vAlign w:val="bottom"/>
          </w:tcPr>
          <w:p>
            <w:pPr>
              <w:spacing w:after="0"/>
              <w:rPr>
                <w:sz w:val="15"/>
                <w:szCs w:val="15"/>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8.38</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8.98</w:t>
            </w:r>
          </w:p>
        </w:tc>
      </w:tr>
      <w:tr>
        <w:trPr>
          <w:trHeight w:val="176"/>
        </w:trPr>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3420" w:type="dxa"/>
            <w:vAlign w:val="bottom"/>
            <w:gridSpan w:val="4"/>
          </w:tcPr>
          <w:p>
            <w:pPr>
              <w:spacing w:after="0"/>
              <w:rPr>
                <w:sz w:val="20"/>
                <w:szCs w:val="20"/>
                <w:color w:val="auto"/>
              </w:rPr>
            </w:pPr>
            <w:r>
              <w:rPr>
                <w:rFonts w:ascii="Courier New" w:cs="Courier New" w:eastAsia="Courier New" w:hAnsi="Courier New"/>
                <w:sz w:val="15"/>
                <w:szCs w:val="15"/>
                <w:color w:val="auto"/>
              </w:rPr>
              <w:t>Performance-Contingent Stock Awards</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342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52"/>
        </w:trPr>
        <w:tc>
          <w:tcPr>
            <w:tcW w:w="16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L-P  has</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granted</w:t>
            </w:r>
          </w:p>
        </w:tc>
        <w:tc>
          <w:tcPr>
            <w:tcW w:w="20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performance-contingent</w:t>
            </w:r>
          </w:p>
        </w:tc>
        <w:tc>
          <w:tcPr>
            <w:tcW w:w="240" w:type="dxa"/>
            <w:vAlign w:val="bottom"/>
          </w:tcPr>
          <w:p>
            <w:pPr>
              <w:spacing w:after="0"/>
              <w:rPr>
                <w:sz w:val="24"/>
                <w:szCs w:val="24"/>
                <w:color w:val="auto"/>
              </w:rPr>
            </w:pPr>
          </w:p>
        </w:tc>
        <w:tc>
          <w:tcPr>
            <w:tcW w:w="7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stock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awards</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to</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senior</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4660" w:type="dxa"/>
            <w:vAlign w:val="bottom"/>
            <w:gridSpan w:val="6"/>
          </w:tcPr>
          <w:p>
            <w:pPr>
              <w:spacing w:after="0"/>
              <w:rPr>
                <w:sz w:val="20"/>
                <w:szCs w:val="20"/>
                <w:color w:val="auto"/>
              </w:rPr>
            </w:pPr>
            <w:r>
              <w:rPr>
                <w:rFonts w:ascii="Courier New" w:cs="Courier New" w:eastAsia="Courier New" w:hAnsi="Courier New"/>
                <w:sz w:val="15"/>
                <w:szCs w:val="15"/>
                <w:color w:val="auto"/>
              </w:rPr>
              <w:t>executives as allowed under the current stock award</w:t>
            </w:r>
          </w:p>
        </w:tc>
        <w:tc>
          <w:tcPr>
            <w:tcW w:w="3020" w:type="dxa"/>
            <w:vAlign w:val="bottom"/>
            <w:gridSpan w:val="6"/>
          </w:tcPr>
          <w:p>
            <w:pPr>
              <w:jc w:val="right"/>
              <w:ind w:right="284"/>
              <w:spacing w:after="0"/>
              <w:rPr>
                <w:sz w:val="20"/>
                <w:szCs w:val="20"/>
                <w:color w:val="auto"/>
              </w:rPr>
            </w:pPr>
            <w:r>
              <w:rPr>
                <w:rFonts w:ascii="Courier New" w:cs="Courier New" w:eastAsia="Courier New" w:hAnsi="Courier New"/>
                <w:sz w:val="15"/>
                <w:szCs w:val="15"/>
                <w:color w:val="auto"/>
              </w:rPr>
              <w:t>plan. The awards entitle the</w:t>
            </w: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participant</w:t>
            </w:r>
          </w:p>
        </w:tc>
        <w:tc>
          <w:tcPr>
            <w:tcW w:w="366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to receive a number of shares of L-P</w:t>
            </w:r>
          </w:p>
        </w:tc>
        <w:tc>
          <w:tcPr>
            <w:tcW w:w="6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common</w:t>
            </w:r>
          </w:p>
        </w:tc>
        <w:tc>
          <w:tcPr>
            <w:tcW w:w="238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stock  determined  by</w:t>
            </w: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1000" w:type="dxa"/>
            <w:vAlign w:val="bottom"/>
          </w:tcPr>
          <w:p>
            <w:pPr>
              <w:spacing w:after="0"/>
              <w:rPr>
                <w:sz w:val="20"/>
                <w:szCs w:val="20"/>
                <w:color w:val="auto"/>
              </w:rPr>
            </w:pPr>
            <w:r>
              <w:rPr>
                <w:rFonts w:ascii="Courier New" w:cs="Courier New" w:eastAsia="Courier New" w:hAnsi="Courier New"/>
                <w:sz w:val="15"/>
                <w:szCs w:val="15"/>
                <w:color w:val="auto"/>
              </w:rPr>
              <w:t>comparing</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L-P's</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total</w:t>
            </w:r>
          </w:p>
        </w:tc>
        <w:tc>
          <w:tcPr>
            <w:tcW w:w="1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stockholder</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return</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mean</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stockholder</w:t>
            </w:r>
          </w:p>
        </w:tc>
        <w:tc>
          <w:tcPr>
            <w:tcW w:w="366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return of five other forest  products</w:t>
            </w:r>
          </w:p>
        </w:tc>
        <w:tc>
          <w:tcPr>
            <w:tcW w:w="102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companies</w:t>
            </w:r>
          </w:p>
        </w:tc>
        <w:tc>
          <w:tcPr>
            <w:tcW w:w="200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for the four-year</w:t>
            </w: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rPr>
              <w:t>period  beginning</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 the year of the</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grant.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During</w:t>
            </w:r>
          </w:p>
        </w:tc>
        <w:tc>
          <w:tcPr>
            <w:tcW w:w="7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200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w w:val="99"/>
              </w:rPr>
              <w:t>a target of 54,569</w:t>
            </w: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4160" w:type="dxa"/>
            <w:vAlign w:val="bottom"/>
            <w:gridSpan w:val="5"/>
          </w:tcPr>
          <w:p>
            <w:pPr>
              <w:spacing w:after="0"/>
              <w:rPr>
                <w:sz w:val="20"/>
                <w:szCs w:val="20"/>
                <w:color w:val="auto"/>
              </w:rPr>
            </w:pPr>
            <w:r>
              <w:rPr>
                <w:rFonts w:ascii="Courier New" w:cs="Courier New" w:eastAsia="Courier New" w:hAnsi="Courier New"/>
                <w:sz w:val="15"/>
                <w:szCs w:val="15"/>
                <w:color w:val="auto"/>
              </w:rPr>
              <w:t>performance-contingent  awards were granted.</w:t>
            </w:r>
          </w:p>
        </w:tc>
        <w:tc>
          <w:tcPr>
            <w:tcW w:w="3520" w:type="dxa"/>
            <w:vAlign w:val="bottom"/>
            <w:gridSpan w:val="7"/>
          </w:tcPr>
          <w:p>
            <w:pPr>
              <w:jc w:val="right"/>
              <w:ind w:right="284"/>
              <w:spacing w:after="0"/>
              <w:rPr>
                <w:sz w:val="20"/>
                <w:szCs w:val="20"/>
                <w:color w:val="auto"/>
              </w:rPr>
            </w:pPr>
            <w:r>
              <w:rPr>
                <w:rFonts w:ascii="Courier New" w:cs="Courier New" w:eastAsia="Courier New" w:hAnsi="Courier New"/>
                <w:sz w:val="15"/>
                <w:szCs w:val="15"/>
                <w:color w:val="auto"/>
              </w:rPr>
              <w:t>Depending on L-P's four-year total</w:t>
            </w: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stockholder</w:t>
            </w:r>
          </w:p>
        </w:tc>
        <w:tc>
          <w:tcPr>
            <w:tcW w:w="31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return,  the  actual  number  of</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w:t>
            </w: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issued</w:t>
            </w:r>
          </w:p>
        </w:tc>
        <w:tc>
          <w:tcPr>
            <w:tcW w:w="200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at the end of the</w:t>
            </w: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6680" w:type="dxa"/>
            <w:vAlign w:val="bottom"/>
            <w:gridSpan w:val="11"/>
          </w:tcPr>
          <w:p>
            <w:pPr>
              <w:spacing w:after="0"/>
              <w:rPr>
                <w:sz w:val="20"/>
                <w:szCs w:val="20"/>
                <w:color w:val="auto"/>
              </w:rPr>
            </w:pPr>
            <w:r>
              <w:rPr>
                <w:rFonts w:ascii="Courier New" w:cs="Courier New" w:eastAsia="Courier New" w:hAnsi="Courier New"/>
                <w:sz w:val="15"/>
                <w:szCs w:val="15"/>
                <w:color w:val="auto"/>
              </w:rPr>
              <w:t>four-year period could range from zero to 200 percent of this target.</w:t>
            </w: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Plans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L-P has also granted awards under the Louisiana-Pacific Corporation Key Employee Restricted Stock Plan. Shares are issued, at no cost to the employee, only after certain annual performance criteria are met. The expense is recorded in the year to which the performance criteria relate. L-P did not meet the performance criteria in 1997, 1996 or 1995 and therefore recognized no compensation expense for restricted stock awards.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Changes in the Restricted Stock Awards outstanding were as follows:</w:t>
      </w:r>
    </w:p>
    <w:p>
      <w:pPr>
        <w:spacing w:after="0" w:line="359"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NUMBER OF SHARES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spacing w:after="0"/>
              <w:rPr>
                <w:sz w:val="15"/>
                <w:szCs w:val="15"/>
                <w:color w:val="auto"/>
              </w:rPr>
            </w:pP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5"/>
                <w:szCs w:val="15"/>
                <w:color w:val="auto"/>
              </w:rPr>
            </w:pP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416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Restricted awards outstanding</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2"/>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at January 1</w:t>
            </w:r>
          </w:p>
        </w:tc>
        <w:tc>
          <w:tcPr>
            <w:tcW w:w="102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109,458</w:t>
            </w:r>
          </w:p>
        </w:tc>
        <w:tc>
          <w:tcPr>
            <w:tcW w:w="640" w:type="dxa"/>
            <w:vAlign w:val="bottom"/>
          </w:tcPr>
          <w:p>
            <w:pPr>
              <w:spacing w:after="0"/>
              <w:rPr>
                <w:sz w:val="24"/>
                <w:szCs w:val="24"/>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251,208</w:t>
            </w:r>
          </w:p>
        </w:tc>
        <w:tc>
          <w:tcPr>
            <w:tcW w:w="42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664,500</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Restricted awards granted</w:t>
            </w:r>
          </w:p>
        </w:tc>
        <w:tc>
          <w:tcPr>
            <w:tcW w:w="10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73,000</w:t>
            </w:r>
          </w:p>
        </w:tc>
        <w:tc>
          <w:tcPr>
            <w:tcW w:w="64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145,000</w:t>
            </w:r>
          </w:p>
        </w:tc>
      </w:tr>
      <w:tr>
        <w:trPr>
          <w:trHeight w:val="352"/>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Restricted awards exercised</w:t>
            </w:r>
          </w:p>
        </w:tc>
        <w:tc>
          <w:tcPr>
            <w:tcW w:w="102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(42,875)</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Restricted awards canceled</w:t>
            </w:r>
          </w:p>
        </w:tc>
        <w:tc>
          <w:tcPr>
            <w:tcW w:w="10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(110,334)</w:t>
            </w:r>
          </w:p>
        </w:tc>
        <w:tc>
          <w:tcPr>
            <w:tcW w:w="64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(141,750)</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(515,417)</w:t>
            </w:r>
          </w:p>
        </w:tc>
      </w:tr>
      <w:tr>
        <w:trPr>
          <w:trHeight w:val="176"/>
        </w:trPr>
        <w:tc>
          <w:tcPr>
            <w:tcW w:w="3980" w:type="dxa"/>
            <w:vAlign w:val="bottom"/>
          </w:tcPr>
          <w:p>
            <w:pPr>
              <w:spacing w:after="0"/>
              <w:rPr>
                <w:sz w:val="15"/>
                <w:szCs w:val="15"/>
                <w:color w:val="auto"/>
              </w:rPr>
            </w:pPr>
          </w:p>
        </w:tc>
        <w:tc>
          <w:tcPr>
            <w:tcW w:w="2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Restricted awards outstanding</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at December 31</w:t>
            </w:r>
          </w:p>
        </w:tc>
        <w:tc>
          <w:tcPr>
            <w:tcW w:w="10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72,124</w:t>
            </w:r>
          </w:p>
        </w:tc>
        <w:tc>
          <w:tcPr>
            <w:tcW w:w="64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109,458</w:t>
            </w:r>
          </w:p>
        </w:tc>
        <w:tc>
          <w:tcPr>
            <w:tcW w:w="4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251,208</w:t>
            </w:r>
          </w:p>
        </w:tc>
      </w:tr>
      <w:tr>
        <w:trPr>
          <w:trHeight w:val="176"/>
        </w:trPr>
        <w:tc>
          <w:tcPr>
            <w:tcW w:w="3980" w:type="dxa"/>
            <w:vAlign w:val="bottom"/>
          </w:tcPr>
          <w:p>
            <w:pPr>
              <w:spacing w:after="0"/>
              <w:rPr>
                <w:sz w:val="15"/>
                <w:szCs w:val="15"/>
                <w:color w:val="auto"/>
              </w:rPr>
            </w:pPr>
          </w:p>
        </w:tc>
        <w:tc>
          <w:tcPr>
            <w:tcW w:w="2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980" w:type="dxa"/>
            <w:vAlign w:val="bottom"/>
          </w:tcPr>
          <w:p>
            <w:pPr>
              <w:spacing w:after="0"/>
              <w:rPr>
                <w:sz w:val="20"/>
                <w:szCs w:val="20"/>
                <w:color w:val="auto"/>
              </w:rPr>
            </w:pPr>
            <w:r>
              <w:rPr>
                <w:rFonts w:ascii="Courier New" w:cs="Courier New" w:eastAsia="Courier New" w:hAnsi="Courier New"/>
                <w:sz w:val="15"/>
                <w:szCs w:val="15"/>
                <w:color w:val="auto"/>
              </w:rPr>
              <w:t>Fair value at date of grant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21.13</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N/A</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27.00</w:t>
            </w:r>
          </w:p>
        </w:tc>
      </w:tr>
      <w:tr>
        <w:trPr>
          <w:trHeight w:val="176"/>
        </w:trPr>
        <w:tc>
          <w:tcPr>
            <w:tcW w:w="3980" w:type="dxa"/>
            <w:vAlign w:val="bottom"/>
          </w:tcPr>
          <w:p>
            <w:pPr>
              <w:spacing w:after="0"/>
              <w:rPr>
                <w:sz w:val="15"/>
                <w:szCs w:val="15"/>
                <w:color w:val="auto"/>
              </w:rPr>
            </w:pPr>
          </w:p>
        </w:tc>
        <w:tc>
          <w:tcPr>
            <w:tcW w:w="2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980" w:type="dxa"/>
            <w:vAlign w:val="bottom"/>
          </w:tcPr>
          <w:p>
            <w:pPr>
              <w:ind w:left="2560"/>
              <w:spacing w:after="0"/>
              <w:rPr>
                <w:sz w:val="20"/>
                <w:szCs w:val="20"/>
                <w:color w:val="auto"/>
              </w:rPr>
            </w:pPr>
            <w:r>
              <w:rPr>
                <w:rFonts w:ascii="Courier New" w:cs="Courier New" w:eastAsia="Courier New" w:hAnsi="Courier New"/>
                <w:sz w:val="15"/>
                <w:szCs w:val="15"/>
                <w:color w:val="auto"/>
              </w:rPr>
              <w:t>- 35 -</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470" w:right="1440" w:bottom="480" w:gutter="0" w:footer="0" w:header="0"/>
        </w:sectPr>
      </w:pPr>
    </w:p>
    <w:bookmarkStart w:id="36" w:name="page37"/>
    <w:bookmarkEnd w:id="36"/>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left="6" w:firstLine="824"/>
        <w:spacing w:after="0" w:line="249" w:lineRule="auto"/>
        <w:rPr>
          <w:sz w:val="20"/>
          <w:szCs w:val="20"/>
          <w:color w:val="auto"/>
        </w:rPr>
      </w:pPr>
      <w:r>
        <w:rPr>
          <w:rFonts w:ascii="Courier New" w:cs="Courier New" w:eastAsia="Courier New" w:hAnsi="Courier New"/>
          <w:sz w:val="15"/>
          <w:szCs w:val="15"/>
          <w:color w:val="auto"/>
        </w:rPr>
        <w:t>L-P has also granted restricted stock in which the shares are issued at the date of grant. The shares are non-transferable until the time period specified lapses. There are no other performance criteria. 150,000 of such shares were granted and issued in 1996. In 1997, 30,000 shares vested and became transferable. The remaining shares vest 30,000 shares in 1998, 30,000 shares in 1999 and 60,000 shares in 2006. Deferred compensation was recorded in the other equity line in the balance sheet in the amount of $3.8 million based on the market value of the stock at the date of issuance. The deferred compensation balance is amortized to expense over the years during which the certificates vest. The amount of expense recorded in 1997 and 1996 related to these restricted shares was $.8 million.</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 Purchase Plans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firstLine="824"/>
        <w:spacing w:after="0" w:line="249" w:lineRule="auto"/>
        <w:rPr>
          <w:sz w:val="20"/>
          <w:szCs w:val="20"/>
          <w:color w:val="auto"/>
        </w:rPr>
      </w:pPr>
      <w:r>
        <w:rPr>
          <w:rFonts w:ascii="Courier New" w:cs="Courier New" w:eastAsia="Courier New" w:hAnsi="Courier New"/>
          <w:sz w:val="15"/>
          <w:szCs w:val="15"/>
          <w:color w:val="auto"/>
        </w:rPr>
        <w:t>L-P offers employee stock purchase plans to most employees. Under each plan, employees may subscribe to purchase shares of L-P stock over 24 months at 85 percent of the market price. At December 31, 1997, 671,196 shares and 498,185 shares were subscribed at $18.89 and $18.59 per share under the 1997 and 1996 Employee Stock Purchase Plans. During 1997, L-P issued 259,141 shares to employees at an average price of $22.36 under all Employee Stock Purchase Plans, including the completion of the purchase period for the 1995 Plan.</w:t>
      </w:r>
    </w:p>
    <w:p>
      <w:pPr>
        <w:spacing w:after="0" w:line="175" w:lineRule="exact"/>
        <w:rPr>
          <w:sz w:val="20"/>
          <w:szCs w:val="20"/>
          <w:color w:val="auto"/>
        </w:rPr>
      </w:pPr>
    </w:p>
    <w:p>
      <w:pPr>
        <w:ind w:left="826" w:hanging="826"/>
        <w:spacing w:after="0"/>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SETTLEMENTS, CHARGES AND OTHER UNUSUAL ITEMS, NET</w:t>
      </w:r>
    </w:p>
    <w:p>
      <w:pPr>
        <w:spacing w:after="0" w:line="182" w:lineRule="exact"/>
        <w:rPr>
          <w:sz w:val="20"/>
          <w:szCs w:val="20"/>
          <w:color w:val="auto"/>
        </w:rPr>
      </w:pPr>
    </w:p>
    <w:p>
      <w:pPr>
        <w:jc w:val="both"/>
        <w:ind w:left="6" w:firstLine="824"/>
        <w:spacing w:after="0" w:line="249" w:lineRule="auto"/>
        <w:rPr>
          <w:sz w:val="20"/>
          <w:szCs w:val="20"/>
          <w:color w:val="auto"/>
        </w:rPr>
      </w:pPr>
      <w:r>
        <w:rPr>
          <w:rFonts w:ascii="Courier New" w:cs="Courier New" w:eastAsia="Courier New" w:hAnsi="Courier New"/>
          <w:sz w:val="15"/>
          <w:szCs w:val="15"/>
          <w:color w:val="auto"/>
        </w:rPr>
        <w:t>The major components of "Settlements, Charges and Other Unusual Items, Net" in the statements of income for the years ended December 31, were as follows:</w:t>
      </w:r>
    </w:p>
    <w:p>
      <w:pPr>
        <w:spacing w:after="0" w:line="352"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4"/>
                <w:szCs w:val="14"/>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3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529"/>
        </w:trPr>
        <w:tc>
          <w:tcPr>
            <w:tcW w:w="3260" w:type="dxa"/>
            <w:vAlign w:val="bottom"/>
          </w:tcPr>
          <w:p>
            <w:pPr>
              <w:spacing w:after="0"/>
              <w:rPr>
                <w:sz w:val="20"/>
                <w:szCs w:val="20"/>
                <w:color w:val="auto"/>
              </w:rPr>
            </w:pPr>
            <w:r>
              <w:rPr>
                <w:rFonts w:ascii="Courier New" w:cs="Courier New" w:eastAsia="Courier New" w:hAnsi="Courier New"/>
                <w:sz w:val="15"/>
                <w:szCs w:val="15"/>
                <w:color w:val="auto"/>
              </w:rPr>
              <w:t>KPC settlement</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135.0</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260" w:type="dxa"/>
            <w:vAlign w:val="bottom"/>
          </w:tcPr>
          <w:p>
            <w:pPr>
              <w:spacing w:after="0"/>
              <w:rPr>
                <w:sz w:val="20"/>
                <w:szCs w:val="20"/>
                <w:color w:val="auto"/>
              </w:rPr>
            </w:pPr>
            <w:r>
              <w:rPr>
                <w:rFonts w:ascii="Courier New" w:cs="Courier New" w:eastAsia="Courier New" w:hAnsi="Courier New"/>
                <w:sz w:val="15"/>
                <w:szCs w:val="15"/>
                <w:color w:val="auto"/>
              </w:rPr>
              <w:t>Charges for litigation, property</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impairments and other</w:t>
            </w:r>
          </w:p>
        </w:tc>
        <w:tc>
          <w:tcPr>
            <w:tcW w:w="50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(223.1)</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352"/>
        </w:trPr>
        <w:tc>
          <w:tcPr>
            <w:tcW w:w="3260" w:type="dxa"/>
            <w:vAlign w:val="bottom"/>
          </w:tcPr>
          <w:p>
            <w:pPr>
              <w:spacing w:after="0"/>
              <w:rPr>
                <w:sz w:val="20"/>
                <w:szCs w:val="20"/>
                <w:color w:val="auto"/>
              </w:rPr>
            </w:pPr>
            <w:r>
              <w:rPr>
                <w:rFonts w:ascii="Courier New" w:cs="Courier New" w:eastAsia="Courier New" w:hAnsi="Courier New"/>
                <w:sz w:val="15"/>
                <w:szCs w:val="15"/>
                <w:color w:val="auto"/>
              </w:rPr>
              <w:t>Gains on asset sales</w:t>
            </w:r>
          </w:p>
        </w:tc>
        <w:tc>
          <w:tcPr>
            <w:tcW w:w="500" w:type="dxa"/>
            <w:vAlign w:val="bottom"/>
          </w:tcPr>
          <w:p>
            <w:pPr>
              <w:spacing w:after="0"/>
              <w:rPr>
                <w:sz w:val="24"/>
                <w:szCs w:val="24"/>
                <w:color w:val="auto"/>
              </w:rPr>
            </w:pP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55.6</w:t>
            </w:r>
          </w:p>
        </w:tc>
        <w:tc>
          <w:tcPr>
            <w:tcW w:w="50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60" w:type="dxa"/>
            <w:vAlign w:val="bottom"/>
          </w:tcPr>
          <w:p>
            <w:pPr>
              <w:spacing w:after="0"/>
              <w:rPr>
                <w:sz w:val="15"/>
                <w:szCs w:val="15"/>
                <w:color w:val="auto"/>
              </w:rPr>
            </w:pPr>
          </w:p>
        </w:tc>
        <w:tc>
          <w:tcPr>
            <w:tcW w:w="17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260" w:type="dxa"/>
            <w:vAlign w:val="bottom"/>
          </w:tcPr>
          <w:p>
            <w:pPr>
              <w:spacing w:after="0"/>
              <w:rPr>
                <w:sz w:val="24"/>
                <w:szCs w:val="24"/>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(32.5)</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6"/>
        </w:trPr>
        <w:tc>
          <w:tcPr>
            <w:tcW w:w="3260" w:type="dxa"/>
            <w:vAlign w:val="bottom"/>
          </w:tcPr>
          <w:p>
            <w:pPr>
              <w:spacing w:after="0"/>
              <w:rPr>
                <w:sz w:val="15"/>
                <w:szCs w:val="15"/>
                <w:color w:val="auto"/>
              </w:rPr>
            </w:pPr>
          </w:p>
        </w:tc>
        <w:tc>
          <w:tcPr>
            <w:tcW w:w="17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1997</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firstLine="824"/>
        <w:spacing w:after="0" w:line="249" w:lineRule="auto"/>
        <w:rPr>
          <w:sz w:val="20"/>
          <w:szCs w:val="20"/>
          <w:color w:val="auto"/>
        </w:rPr>
      </w:pPr>
      <w:r>
        <w:rPr>
          <w:rFonts w:ascii="Courier New" w:cs="Courier New" w:eastAsia="Courier New" w:hAnsi="Courier New"/>
          <w:sz w:val="15"/>
          <w:szCs w:val="15"/>
          <w:color w:val="auto"/>
        </w:rPr>
        <w:t>In the first quarter of 1997, L-P's Ketchikan Pulp Company subsidiary recorded a net gain of $121.9 million ($73.7 million after taxes, or $.68 per share) to reflect the initial proceeds of $135 million received under a settlement agreement with the U.S. Government over KPC's claims related to the long-term timber supply contract in Alaska. Adjustments to pulp mill closure-related accruals were netted against this gain. The agreement also provides KPC with sufficient timber volumes to run its two sawmills through the end of 1999.</w:t>
      </w:r>
    </w:p>
    <w:p>
      <w:pPr>
        <w:spacing w:after="0" w:line="175" w:lineRule="exact"/>
        <w:rPr>
          <w:sz w:val="20"/>
          <w:szCs w:val="20"/>
          <w:color w:val="auto"/>
        </w:rPr>
      </w:pPr>
    </w:p>
    <w:p>
      <w:pPr>
        <w:jc w:val="both"/>
        <w:ind w:left="6" w:firstLine="824"/>
        <w:spacing w:after="0" w:line="249" w:lineRule="auto"/>
        <w:rPr>
          <w:sz w:val="20"/>
          <w:szCs w:val="20"/>
          <w:color w:val="auto"/>
        </w:rPr>
      </w:pPr>
      <w:r>
        <w:rPr>
          <w:rFonts w:ascii="Courier New" w:cs="Courier New" w:eastAsia="Courier New" w:hAnsi="Courier New"/>
          <w:sz w:val="15"/>
          <w:szCs w:val="15"/>
          <w:color w:val="auto"/>
        </w:rPr>
        <w:t>In the third quarter of 1997, L-P recorded a $210.0 million charge ($128.3 million after taxes, or $1.18 per share) to reflect the write-down of certain properties which L-P intends to sell, to adjust reserves for litigation settlements and to accrue for certain other costs. Gains from the sale of 79,000 acres of timber and timberland in California during the third quarter of 1997 in the amount of $55.6 million ($34.0 million after taxes, or $.31 per share) were netted against the charges.</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- 36 -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820" w:hanging="819"/>
        <w:spacing w:after="0"/>
        <w:tabs>
          <w:tab w:leader="none" w:pos="8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(374.6)</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60" w:hanging="559"/>
        <w:spacing w:after="0"/>
        <w:tabs>
          <w:tab w:leader="none" w:pos="5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(366.6)</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326" w:space="460"/>
            <w:col w:w="2439"/>
          </w:cols>
          <w:pgMar w:left="234" w:top="470"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October 1997, L-P announced that it intends to sell assets that management considers non-strategic to L-P's business. These assets include, among others, the remaining California redwood timberlands, related lumber and certain distribution businesses, the Samoa, California, pulp mill, the Weather-Seal window and door manufacturing business, the Creative Point, Inc., subsidiary, the Red Bluff, California, cement fiber roof shake plant and the fiber gypsum plant in Nova Scotia. As of year-end, L-P was actively marketing all of these assets and had sold the fiber gypsum plant. The total third quarter charge related to property and equipment write-downs, was $35.0 million. The facilities covered by this charge incurred operating losses of approximately $17 million in 1997, all of which was related to the building products related assets.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third quarter of 1996, L-P recorded pre-tax charges of $350.0 million ($215.0 million after tax, or $2.00 per share) to reflect expected costs to be incurred in the shut-down of the pulp mill owned and operated by L-P's Ketchikan Pulp Company (KPC) subsidiary as well as the settlement of all outstanding shareholder securities class action claims, a reserve for other litigation and a reserve for the planned shut-down and other costs related to certain other non-strategic facilities.</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charge for the shut-down of the Ketchikan pulp mill included the Company's best estimates of all costs related to the closing of operations including the write-down of property, plant and equipment to estimated salvage value, severance costs, inventory write-downs, environmental and general property clean-up and other costs.</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1996, as part of the implementation of management's strategic plan, L-P evaluated the viability of all its current operations and made plans for the closure or sale of certain other manufacturing facilities including several sawmills, structural panel products plants and other operations. The facilities were written down to their estimated salvage or sales value. The total charge related to property and equipment write-downs, including the KPC facilities, was $191.1 million. The facilities covered by this charge incurred operating losses of approximately $64 million in 1996, of which approximately $40 million related to pulp segment assets and $24 million related to building products related assets.</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L-P reached an agreement on behalf of all defendants to settle all outstanding shareholder securities class action claims brought in 1995 against the Company and four former and current officers. The settlement required a payment of approximately $65 million, of which approximately $20 million was covered by insurance. L-P also reserved additional amounts related to other outstanding litigation, including plaintiffs who opted out of the siding class action settlements.</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Detail regarding the industry segments to which this $350.0 million charge relates is presented in Note Ten entitled "Segment Information." Broken down by type of expense, $191.1 million related to property and equipment write-downs, $19.3 million related to inventory write-downs and $139.6 million related to reserves taken for severance and other shut-down charges as well as litigation costs.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third quarter of 1995, L-P recorded a pre-tax charge of $366.6 million ($221.8 million after tax, or $2.07 per share). This charge included $345.0 million for class action settlements related to the Company's siding</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- 37 -</w:t>
      </w:r>
    </w:p>
    <w:p>
      <w:pPr>
        <w:sectPr>
          <w:pgSz w:w="11900" w:h="16838" w:orient="portrait"/>
          <w:cols w:equalWidth="0" w:num="1">
            <w:col w:w="10219"/>
          </w:cols>
          <w:pgMar w:left="240" w:top="470" w:right="1440" w:bottom="1440" w:gutter="0" w:footer="0" w:header="0"/>
        </w:sectPr>
      </w:pPr>
    </w:p>
    <w:bookmarkStart w:id="38" w:name="page39"/>
    <w:bookmarkEnd w:id="38"/>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product, as well as write-downs on planned disposals by mid-1996 of certain facilities, principally sawmills. The historical results of these operations were not significant. A gain on the sale of a non-strategic asset was netted against this charge.</w:t>
      </w:r>
    </w:p>
    <w:p>
      <w:pPr>
        <w:spacing w:after="0" w:line="176" w:lineRule="exact"/>
        <w:rPr>
          <w:sz w:val="20"/>
          <w:szCs w:val="20"/>
          <w:color w:val="auto"/>
        </w:rPr>
      </w:pPr>
    </w:p>
    <w:p>
      <w:pPr>
        <w:ind w:left="826" w:hanging="826"/>
        <w:spacing w:after="0"/>
        <w:tabs>
          <w:tab w:leader="none" w:pos="82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Environmental Proceedings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824"/>
        <w:spacing w:after="0" w:line="248" w:lineRule="auto"/>
        <w:rPr>
          <w:sz w:val="20"/>
          <w:szCs w:val="20"/>
          <w:color w:val="auto"/>
        </w:rPr>
      </w:pPr>
      <w:r>
        <w:rPr>
          <w:rFonts w:ascii="Courier New" w:cs="Courier New" w:eastAsia="Courier New" w:hAnsi="Courier New"/>
          <w:sz w:val="15"/>
          <w:szCs w:val="15"/>
          <w:color w:val="auto"/>
        </w:rPr>
        <w:t>In March 1995, L-P's subsidiary Ketchikan Pulp Company (KPC) entered into agreements with the federal government to resolve the issues related to water and air compliance problems experienced at KPC's pulp mill during the late 1980s and early 1990s. In addition to civil and criminal penalties that have been paid, KPC also agreed to undertake further expenditures, which are primarily capital in nature, including certain remedial and pollution control related measures, with an estimated cost of up to approximately $20 million. With the closure of the pulp mill, KPC is currently seeking the EPA's and court's guidance regarding the necessity of these expenditures. KPC has also agreed to undertake a study of whether a clean-up of Ward Cove, the body of water adjacent to the pulp mill, is needed. It is anticipated that KPC will be required to spend up to $6 million on the clean-up, including the cost of the study, as part of the overall $20 million of expenditures. KPC negotiated an administrative order with the state and EPA to conduct investigative and clean-up activities at the pulp mill. Total costs for these activities are unknown at this time, but KPC has recorded its initial estimated amount.</w:t>
      </w:r>
    </w:p>
    <w:p>
      <w:pPr>
        <w:spacing w:after="0" w:line="186"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The United States Forest Service (USFS) has named KPC as a potentially responsible party for costs related to the capping of a landfill near Thorne Bay, Alaska. Total costs may range up to $8 million.</w:t>
      </w:r>
    </w:p>
    <w:p>
      <w:pPr>
        <w:spacing w:after="0" w:line="176"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EPA and the Department of Justice have indicated their intent to seek penalties for alleged civil violations of the Clean Water Act. The maximum penalty associated with such an action could total up to $625,000.</w:t>
      </w:r>
    </w:p>
    <w:p>
      <w:pPr>
        <w:spacing w:after="0" w:line="176"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Certain of L-P's plant sites have or are suspected of having substances in the ground or in the groundwater that are considered pollutants. Appropriate corrective action or plans for corrective action are underway. Where the pollutants were caused by previous owners of the property, L-P is vigorously pursuing those parties through legal channels and is vigorously pursuing insurance coverage under all applicable policies.</w:t>
      </w:r>
    </w:p>
    <w:p>
      <w:pPr>
        <w:spacing w:after="0" w:line="176" w:lineRule="exact"/>
        <w:rPr>
          <w:sz w:val="20"/>
          <w:szCs w:val="20"/>
          <w:color w:val="auto"/>
        </w:rPr>
      </w:pPr>
    </w:p>
    <w:p>
      <w:pPr>
        <w:jc w:val="both"/>
        <w:ind w:left="6" w:right="2899" w:firstLine="824"/>
        <w:spacing w:after="0" w:line="248" w:lineRule="auto"/>
        <w:rPr>
          <w:sz w:val="20"/>
          <w:szCs w:val="20"/>
          <w:color w:val="auto"/>
        </w:rPr>
      </w:pPr>
      <w:r>
        <w:rPr>
          <w:rFonts w:ascii="Courier New" w:cs="Courier New" w:eastAsia="Courier New" w:hAnsi="Courier New"/>
          <w:sz w:val="15"/>
          <w:szCs w:val="15"/>
          <w:color w:val="auto"/>
        </w:rPr>
        <w:t>L-P maintains a reserve for estimated environmental loss contingencies. The balance of the reserve was $29.3 million and $49.9 million at December 31, 1997 and 1996. The decrease during 1997 was primarily the result of expenditures related to the closure of operations at the KPC pulp mill. As with all accounting estimates, significant uncertainty exists in the reliability and precision of the estimates because the facts and circumstances surrounding each contingency vary from case to case. L-P continually monitors its estimated exposure for environmental liabilities and adjusts its accrual accordingly. As additional information about the environmental contingencies becomes known, L-P's estimate of its liability for environmental loss contingencies may change significantly, although no estimate of the range of any potential adjustment of the liability can be made at this time. L-P cannot estimate the time frame over which these accrued amounts are likely to be paid out. A portion of L-P's environmental reserve is related to liabilities for clean-up of properties which are currently owned or have been owned in the past by L-P. Certain of these sites are subject to cost-sharing arrangements with other parties who were also involved with the site. L-P does not believe that any of these cost-sharing arrangements will result in additional material liability to L-P due to non-performance by the other</w:t>
      </w:r>
    </w:p>
    <w:p>
      <w:pPr>
        <w:spacing w:after="0" w:line="188"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- 38 -</w:t>
      </w:r>
    </w:p>
    <w:p>
      <w:pPr>
        <w:sectPr>
          <w:pgSz w:w="11900" w:h="16838" w:orient="portrait"/>
          <w:cols w:equalWidth="0" w:num="1">
            <w:col w:w="10225"/>
          </w:cols>
          <w:pgMar w:left="234" w:top="470"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party. L-P has not reduced its liability for any anticipated insurance recoveries.</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Although L-P's policy is to comply with all applicable environmental laws and regulations, the company has in the past been required to pay fines for non-compliance and sometimes litigation has resulted from contested environmental actions. Also, L-P is involved in other environmental actions and proceedings which could result in fines or penalties. Management believes that any fines, penalties or other losses resulting from the matters discussed above in excess of the reserve for environmental loss contingencies will not have a material adverse effect on the business, financial position, results of operations or liquidity of L-P. See "Colorado Criminal Proceedings" for further discussion of an environmental action against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 Criminal Proceedings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L-P began an internal investigation at L-P's Montrose (Olathe), Colorado, oriented strand board (OSB) plant of various matters, including certain environmental matters, in the summer of 1992 and reported its initial finding of irregularities to governmental authorities in September 1992. Shortly thereafter, a federal grand jury commenced an investigation of L-P concerning alleged environmental violations at that plant, which was subsequently expanded to include the taking of evidence and testimony relating to alleged fraud in connection with the submission of unrepresentative OSB product samples to the APA - The Engineered Wood Association (APA), an industry product certification agency, by L-P's Montrose plant and certain of its other OSB plants. L-P then commenced an independent investigation, which was concluded in 1995, under the direction of former federal judge Charles B. Renfrew concerning irregularities in sampling and quality assurance in its OSB operations. In June 1995, the grand jury returned an indictment in the U.S. District Court in Denver, Colorado, against L-P, a former manager of the Montrose mill, and a former superintendent at the mill. L-P is now facing 23 felony counts related to environmental matters at the Montrose mill, including alleged conspiracy, tampering with opacity monitoring equipment, and making false statements under the Clean Air Act. The indictment also charges L-P with 25 felony counts of fraud relating to alleged use of the APA trademark on OSB structural panel products produced by the Montrose mill as a result of L-P's allegedly improper sampling practices in connection with the APA quality assurance program.</w:t>
      </w:r>
    </w:p>
    <w:p>
      <w:pPr>
        <w:spacing w:after="0" w:line="189"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November 1995, the Court bifurcated the environmental and fraud felony counts. A trial date of April 13, 1998, had been set in the environmental case. However, a Notice of Disposition and Joint Motion to Vacate Trial Date was filed with the Court.</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After pleading guilty to one environmental count, on February 18, 1998, the former superintendent of the mill was sentenced to six months of home detention, five years probation and a fine of $10,000. The former plant manager pled guilty to one environmental count and is scheduled to be sentenced in April 1998.</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December 1995, L-P received a notice of suspension from the EPA stating that, because of criminal proceedings pending against L-P in Colorado, agencies of the federal government would be prohibited from purchasing from L-P's Northern Division. L-P is negotiating to have the EPA suspension lifted or modified based on positive environmental programs actively underway. While negotiations are continuing, the EPA has approved a preliminary agreement limiting the prohibition to L-P's Montrose, Colorado, facility for an interim period in recognition of L-P's environmental compliance efforts. Under recently revised regulations of the United States Department of Agriculture,</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- 39 -</w:t>
      </w:r>
    </w:p>
    <w:p>
      <w:pPr>
        <w:sectPr>
          <w:pgSz w:w="11900" w:h="16838" w:orient="portrait"/>
          <w:cols w:equalWidth="0" w:num="1">
            <w:col w:w="10219"/>
          </w:cols>
          <w:pgMar w:left="240" w:top="64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the EPA suspension will also have the effect of prohibiting L-P's Montrose facility from purchasing timber directly, but not indirectly, from the USFS.</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L-P maintains a reserve for its estimate of the cost of the Montrose criminal proceedings, although as with any estimate, there is uncertainty concerning the actual costs to be incurred. At the present time, L-P cannot predict whether or to what extent the circumstances described above will result in further civil litigation or investigation by government authorities, or the potential financial impact of any such current or future proceedings, in which case the resolution of the above matters could have a materially adverse impact on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OSB Siding Matters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L-P has been named as a defendant in numerous class action and non-class action proceedings, brought on behalf of various persons or purported classes of persons (including nationwide classes in the United States and Canada) who own or have purchased or used OSB siding manufactured by L-P, because of alleged unfair business practices, breach of warranty, misrepresentation, conspiracy to defraud, and other theories related to alleged defects, deterioration, or failure of OSB siding products.</w:t>
      </w:r>
    </w:p>
    <w:p>
      <w:pPr>
        <w:spacing w:after="0" w:line="175"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The United States District Court for the District of Oregon has given final approval to a settlement between L-P and a nationwide class composed of all persons who own, have owned, or subsequently acquire property on which L-P's OSB siding was installed prior to January 1, 1996, excluding persons who timely opted out of the settlement and persons who are members of the settlement class in the Florida litigation described below. Under the settlement agreement, an eligible claimant whose claim is filed prior to January 1, 2003 (or earlier in certain cases), and is approved by an independent claims administrator will be entitled to receive from the settlement fund established under the agreement a payment equal to the replacement cost (to be determined by a third-party construction cost estimator and currently estimated to be in the range of $2.20 to $6.40 per square foot depending on the type of product and geographic location) of damaged siding, reduced by a specific adjustment (of up to 65 percent) based on the age of the siding. Class members who have previously submitted or resolved claims under any other warranty or claims program of L-P may be entitled to receive the difference between the amount which would be payable under the settlement agreement and the amount previously paid. Independent adjusters will determine the extent of damage to OSB siding at each claimant's property in accordance with a specified protocol. There will be no adjustment to settlement payments for improper maintenance or installation.</w:t>
      </w:r>
    </w:p>
    <w:p>
      <w:pPr>
        <w:spacing w:after="0" w:line="188" w:lineRule="exact"/>
        <w:rPr>
          <w:sz w:val="20"/>
          <w:szCs w:val="20"/>
          <w:color w:val="auto"/>
        </w:rPr>
      </w:pPr>
    </w:p>
    <w:p>
      <w:pPr>
        <w:jc w:val="both"/>
        <w:ind w:right="2899" w:firstLine="818"/>
        <w:spacing w:after="0" w:line="249" w:lineRule="auto"/>
        <w:tabs>
          <w:tab w:leader="none" w:pos="109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claimant who is dissatisfied with the amount to be paid under the settlement may elect to pursue claims against L-P in a binding arbitration seeking compensatory damages without regard to the amount of payment calculated under the settlement protocol. A claimant who elects to pursue an arbitration claim must prove his entitlement to damages under any available legal theory, and L-P may assert any available defense, including defenses that otherwise had been waived under the settlement agreement. If the arbitrator reduces the damage award otherwise payable to the claimant because of a finding of improper installation, the claimant will be entitled to pursue a claim against the contractor/builder to the extent the award was reduced.</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L-P is required to pay $275 million into the settlement fund in seven annual installments beginning in mid-1996: $100 million, $55 million, $40 million, $30 million, $20 million, $15 million, and $15 million. As of December 31, 1997, L-P had funded the first three installments. If at any time after the fourth year of the settlement period the amount of approved</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- 40 -</w:t>
      </w:r>
    </w:p>
    <w:p>
      <w:pPr>
        <w:sectPr>
          <w:pgSz w:w="11900" w:h="16838" w:orient="portrait"/>
          <w:cols w:equalWidth="0" w:num="1">
            <w:col w:w="10219"/>
          </w:cols>
          <w:pgMar w:left="240" w:top="647" w:right="1440" w:bottom="1440" w:gutter="0" w:footer="0" w:header="0"/>
        </w:sectPr>
      </w:pPr>
    </w:p>
    <w:bookmarkStart w:id="41" w:name="page42"/>
    <w:bookmarkEnd w:id="41"/>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left="6" w:right="2899"/>
        <w:spacing w:after="0" w:line="248" w:lineRule="auto"/>
        <w:rPr>
          <w:sz w:val="20"/>
          <w:szCs w:val="20"/>
          <w:color w:val="auto"/>
        </w:rPr>
      </w:pPr>
      <w:r>
        <w:rPr>
          <w:rFonts w:ascii="Courier New" w:cs="Courier New" w:eastAsia="Courier New" w:hAnsi="Courier New"/>
          <w:sz w:val="15"/>
          <w:szCs w:val="15"/>
          <w:color w:val="auto"/>
        </w:rPr>
        <w:t>claims (paid and pending) equals or exceeds $275 million, then the settlement agreement will terminate as to all claims in excess of $275 million unless L-P timely elects to provide additional funding within 12 months equal to the lesser of (i) the excess of unfunded claims over $275 million or (ii) $50 million and, if necessary to satisfy unfunded claims, a second payment within 24 months equal to the lesser of (i) the remaining unfunded amount or (ii) $50 million. If the total payments to the settlement fund are insufficient to satisfy in full all approved claims filed prior to January 1, 2003, then L-P may elect to satisfy the unfunded claims by making additional payments into the settlement fund at the end of each of the next two 12-month periods or until all claims are paid in full, with each additional payment being in an amount equal to the greater of</w:t>
      </w:r>
    </w:p>
    <w:p>
      <w:pPr>
        <w:spacing w:after="0" w:line="7" w:lineRule="exact"/>
        <w:rPr>
          <w:sz w:val="20"/>
          <w:szCs w:val="20"/>
          <w:color w:val="auto"/>
        </w:rPr>
      </w:pPr>
    </w:p>
    <w:p>
      <w:pPr>
        <w:ind w:left="366" w:hanging="366"/>
        <w:spacing w:after="0"/>
        <w:tabs>
          <w:tab w:leader="none" w:pos="36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percent of the aggregate sum of all remaining unfunded approved claims or</w:t>
      </w:r>
    </w:p>
    <w:p>
      <w:pPr>
        <w:spacing w:after="0" w:line="6" w:lineRule="exact"/>
        <w:rPr>
          <w:rFonts w:ascii="Courier New" w:cs="Courier New" w:eastAsia="Courier New" w:hAnsi="Courier New"/>
          <w:sz w:val="15"/>
          <w:szCs w:val="15"/>
          <w:color w:val="auto"/>
        </w:rPr>
      </w:pPr>
    </w:p>
    <w:p>
      <w:pPr>
        <w:jc w:val="both"/>
        <w:ind w:left="6" w:right="2899" w:hanging="6"/>
        <w:spacing w:after="0" w:line="249" w:lineRule="auto"/>
        <w:tabs>
          <w:tab w:leader="none" w:pos="46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percent of the aggregate amount of unfunded approved claims, up to a maximum of $50 million. If L-P fails to make any such additional payment, all class members whose claims remain unsatisfied from the settlement fund may pursue any available legal remedies against L-P without regard to the release of claims provided in the settlement agreement.</w:t>
      </w:r>
    </w:p>
    <w:p>
      <w:pPr>
        <w:spacing w:after="0" w:line="176" w:lineRule="exact"/>
        <w:rPr>
          <w:sz w:val="20"/>
          <w:szCs w:val="20"/>
          <w:color w:val="auto"/>
        </w:rPr>
      </w:pPr>
    </w:p>
    <w:p>
      <w:pPr>
        <w:jc w:val="both"/>
        <w:ind w:left="6" w:right="2899" w:firstLine="824"/>
        <w:spacing w:after="0" w:line="248" w:lineRule="auto"/>
        <w:rPr>
          <w:sz w:val="20"/>
          <w:szCs w:val="20"/>
          <w:color w:val="auto"/>
        </w:rPr>
      </w:pPr>
      <w:r>
        <w:rPr>
          <w:rFonts w:ascii="Courier New" w:cs="Courier New" w:eastAsia="Courier New" w:hAnsi="Courier New"/>
          <w:sz w:val="15"/>
          <w:szCs w:val="15"/>
          <w:color w:val="auto"/>
        </w:rPr>
        <w:t>If L-P makes all payments required under the settlement agreement, including all additional payments as specified above, class members will be deemed to have released L-P from all claims for damaged OSB Inner-Seal siding, except for claims arising under their existing 25-year limited warranty after termination of the settlement agreement. The settlement agreement does not cover consequential damages resulting from damage to OSB Inner-Seal siding or damage to utility grade OSB siding (sold without any express warranty), either of which could create additional claims. In the event all claims filed prior to January 1, 2003, that are approved have been paid without exhausting the settlement fund, any amounts remaining in the settlement fund revert to L-P. In addition to payments to the settlement fund, L-P was required to pay fees of class counsel in the amount of $26.25 million, as well as expenses of administering the settlement fund and inspecting properties for damage and certain other costs. As of December 31, 1997, approximately $40 million remained of the $195 million paid into the fund to date, after accruing interest on undisbursed funds and deducting class notification costs, prior claims costs (including payments advanced to homeowners in urgent circumstances) and payment of claims under the settlement.</w:t>
      </w:r>
    </w:p>
    <w:p>
      <w:pPr>
        <w:spacing w:after="0" w:line="363"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The claims submitted to the claims administrator substantially exceed the $275 million of payments that L-P is required to make under the settlement agreement. As calculated under the terms of the settlement, claims submitted and inspected exceed $325 million. There are insufficient data to project the future volume of claims or the total dollar value of additional claims that may be made against the settlement fund. L-P has not decided whether it will provide the optional funding discussed above in excess of the required $275 million after the fourth year of the settlement. Alternatively, L-P could elect to pursue other options, including allowing the settlement agreement to terminate, thereby entitling claimants with unsatisfied claims to pursue available legal remedies against L-P.</w:t>
      </w:r>
    </w:p>
    <w:p>
      <w:pPr>
        <w:spacing w:after="0" w:line="175" w:lineRule="exact"/>
        <w:rPr>
          <w:sz w:val="20"/>
          <w:szCs w:val="20"/>
          <w:color w:val="auto"/>
        </w:rPr>
      </w:pPr>
    </w:p>
    <w:p>
      <w:pPr>
        <w:jc w:val="both"/>
        <w:ind w:left="6" w:right="2899" w:firstLine="818"/>
        <w:spacing w:after="0" w:line="249" w:lineRule="auto"/>
        <w:tabs>
          <w:tab w:leader="none" w:pos="110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of a Florida class action was approved by the Circuit Court for Lake County, Florida. Under the settlement, L-P has established a claims procedure pursuant to which members of the settlement class may report problems with L-P's OSB Inner-Seal siding and have their properties inspected by an independent adjuster, who will measure the amount of damage and also determine the extent to which improper design, construction, installation, finishing, painting, and maintenance may have contributed to any damage. The maximum payment for damaged siding is $3.40 per square foot for lap siding and $2.82 per square foot for panel siding, subject to reduction of up to 75 percent for damage resulting from improper design, construction, installation,</w:t>
      </w:r>
    </w:p>
    <w:p>
      <w:pPr>
        <w:spacing w:after="0" w:line="175" w:lineRule="exact"/>
        <w:rPr>
          <w:rFonts w:ascii="Courier New" w:cs="Courier New" w:eastAsia="Courier New" w:hAnsi="Courier New"/>
          <w:sz w:val="15"/>
          <w:szCs w:val="15"/>
          <w:color w:val="auto"/>
        </w:rPr>
      </w:pPr>
    </w:p>
    <w:p>
      <w:pPr>
        <w:ind w:left="3566" w:hanging="176"/>
        <w:spacing w:after="0"/>
        <w:tabs>
          <w:tab w:leader="none" w:pos="356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41 -</w:t>
      </w:r>
    </w:p>
    <w:p>
      <w:pPr>
        <w:sectPr>
          <w:pgSz w:w="11900" w:h="16838" w:orient="portrait"/>
          <w:cols w:equalWidth="0" w:num="1">
            <w:col w:w="10225"/>
          </w:cols>
          <w:pgMar w:left="234" w:top="470"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finishing, painting, or lack of maintenance, and also subject to reduction for age of siding more than three years old. L-P has agreed that the deduction from the payment to a member of the Florida class will be not greater than the deduction computed for a similar claimant under the national settlement agreement described above. Class members will be entitled to make claims for up to five years after October 4, 1995.</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L-P maintains reserves for the estimated costs of these siding settlements, although, as with any estimate, there is uncertainty concerning the actual costs to be incurred. The discussion herein notes some of the factors, in addition to the inherent uncertainty of predicting the outcome of claims and litigation, that could cause actual costs to vary materially from current estimates. Due to the various uncertainties, L-P cannot predict to what degree actual payments under the settlement agreements will exceed the recorded liability related to these matters, although it is possible that in the near term, total estimated payments will exceed the recorded liabilities.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OSB Matters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Three separate purported class actions on behalf of owners and purchasers of properties in which L-P's OSB panels are used for flooring, sheathing, or underlayment have been consolidated in the United States District Court for the Northern District of California under the caption Agius v. Louisiana-Pacific Corporation. The actions seek damages and equitable relief for alleged fraud, misrepresentation, breach of warranty, negligence, and improper trade practices related to alleged improprieties in testing, APA certification, and marketing of OSB structural panels, and alleged premature deterioration of such panels. A separate state court action entitled Carney v. Louisiana-Pacific Corporation is pending in the Superior Court of the State of California for the City and County of San Francisco, seeking relief under California consumer protection statutes based on similar allegations.</w:t>
      </w:r>
    </w:p>
    <w:p>
      <w:pPr>
        <w:spacing w:after="0" w:line="175"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On February 27, 1998, the United States District Court for the Northern District of California entered an order approving a settlement that would resolve the above actions. The settlement class is composed of all persons who purchased L-P OSB sheathing or acquired real property or structures in the United States containing L-P OSB sheathing between January 1, 1984, and October 22, 1997. However, persons who purchased L-P sheathing during the class period, but who do not retain ownership of the product, are not included in the class. Under the settlement agreement, an eligible claimant whose claim is filed prior to October 22, 2017, and is reviewed by the claims administrator will be entitled to recover the reasonable cost of repair or replacement of any L-P OSB sheathing determined to have failed to perform its essential function as warranted and not occasioned by misuse, negligent or intentional misconduct of a third party or an event over which L-P had no control.</w:t>
      </w:r>
    </w:p>
    <w:p>
      <w:pPr>
        <w:spacing w:after="0" w:line="184"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Independent adjusters will determine the extent of damage to the OSB sheathing at each claimant's property. There will be an adjustment to the settlement payments for improper installation and maintenance. If a class member is dissatisfied with the result, he or she may reject the award and request a second inspection, or elect arbitration or initiate a civil suit for compensatory damages (but not for multiple or punitive damages). If a class member rejects the award, elects arbitration and recovers a greater sum than was found to be owing by the independent adjuster, L-P will pay for the administrative cost of the arbitration.</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 independent, professional ombudsperson will oversee the implementation of the settlement and receive and consider complaints from class members with respect to L-P's performance of the settlement.</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- 42 -</w:t>
      </w:r>
    </w:p>
    <w:p>
      <w:pPr>
        <w:sectPr>
          <w:pgSz w:w="11900" w:h="16838" w:orient="portrait"/>
          <w:cols w:equalWidth="0" w:num="1">
            <w:col w:w="10219"/>
          </w:cols>
          <w:pgMar w:left="240" w:top="470" w:right="1440" w:bottom="1440" w:gutter="0" w:footer="0" w:header="0"/>
        </w:sectPr>
      </w:pPr>
    </w:p>
    <w:bookmarkStart w:id="43" w:name="page44"/>
    <w:bookmarkEnd w:id="43"/>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Additionally, the settlement agreement provides that L-P will pay a $1.5 million grant to the University of California Forest Products Laboratory, will pay reasonable attorneys' fees of class counsel, and will consent to an injunction prohibiting it from failing to comply with product testing protocols or falsely representing that its products comply with certain testing requirements.</w:t>
      </w:r>
    </w:p>
    <w:p>
      <w:pPr>
        <w:spacing w:after="0" w:line="176"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As with most class action settlements, a number of opt out notices were received. Those who opted out retain all rights which were available to them prior to the settlement.</w:t>
      </w:r>
    </w:p>
    <w:p>
      <w:pPr>
        <w:spacing w:after="0" w:line="176"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L-P maintains a reserve for its estimate of the cost of these other OSB matters, including the sheathing settlement, although as with any estimate, there is uncertainty concerning the actual costs to be incurred. Based on a review of its claims records to date, L-P believes that known reports of damage to installed L-P OSB sheathing have been immaterial in number and amount.</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Employment Matter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On June 19, 1997, the United States District Court for the Southern District of New York entered a judgment in favor of Mark Suwyn and L-P in the action entitled International Paper Company v. Mark A. Suwyn and Louisiana-Pacific Corporation. The complaint had alleged that Mr. Suwyn's employment as chief executive officer of L-P violated the terms of a previous employment agreement with the plaintiff and sought an injunction prohibiting Mr. Suwyn from continuing his employment with L-P for 18 months and other relief.</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Other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L-P and its subsidiaries are parties to other legal proceedings. Management believes that the outcome of such proceedings will not have a material adverse effect on the business, financial position, results of operations or liquidity of L-P.</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Contingency Reserves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The balance of contingency reserves, exclusive of the environmental reserves discussed above, was $194.7 million and $209.9 million at December 31, 1997 and 1996. As L-P receives additional information regarding actual claim rates and average claim amounts, L-P will monitor its estimated exposure and adjust its accrual accordingly. The amounts ultimately paid for these contingencies could differ materially from the amount currently recorded, although no estimate of the timing or range of any potential adjustment can be made at this time.</w:t>
      </w:r>
    </w:p>
    <w:p>
      <w:pPr>
        <w:spacing w:after="0" w:line="175" w:lineRule="exact"/>
        <w:rPr>
          <w:sz w:val="20"/>
          <w:szCs w:val="20"/>
          <w:color w:val="auto"/>
        </w:rPr>
      </w:pPr>
    </w:p>
    <w:p>
      <w:pPr>
        <w:ind w:left="826" w:hanging="826"/>
        <w:spacing w:after="0"/>
        <w:tabs>
          <w:tab w:leader="none" w:pos="82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L-P is obligated to purchase timber under certain cutting contracts which extend to 2002. L-P's best estimate of its commitment at current contract rates under these contracts is approximately $20.2 million for approximately 113 million board feet of timber.</w:t>
      </w:r>
    </w:p>
    <w:p>
      <w:pPr>
        <w:spacing w:after="0" w:line="176"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Payments under all operating leases that were charged to expense during 1997, 1996, and 1995 were $17.5 million, $17.0 million and $10.7 million. Future minimum rental payments under non-cancelable operating leases are not significant.</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- 43 -</w:t>
      </w:r>
    </w:p>
    <w:p>
      <w:pPr>
        <w:sectPr>
          <w:pgSz w:w="11900" w:h="16838" w:orient="portrait"/>
          <w:cols w:equalWidth="0" w:num="1">
            <w:col w:w="10225"/>
          </w:cols>
          <w:pgMar w:left="234" w:top="470" w:right="1440" w:bottom="1440" w:gutter="0" w:footer="0" w:header="0"/>
        </w:sectPr>
      </w:pPr>
    </w:p>
    <w:bookmarkStart w:id="44" w:name="page45"/>
    <w:bookmarkEnd w:id="44"/>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ind w:left="826" w:hanging="826"/>
        <w:spacing w:after="0"/>
        <w:tabs>
          <w:tab w:leader="none" w:pos="82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L-P operates in two major industry segments. The major products included in each segment are detailed further in the "Product Information Summary" in Item 1. Intersegment sales are chips transferred from company-owned building products plants to company-owned pulp mills. All transfers are made at prevailing market prices. Timber and related assets and capital expenditures for such assets have not been allocated to the industry segments as these are a prime source of raw materials for both segments. The cost of logs delivered to the plants and residual fibers are included in the operating results of the segments.</w:t>
      </w:r>
    </w:p>
    <w:p>
      <w:pPr>
        <w:spacing w:after="0" w:line="352" w:lineRule="exact"/>
        <w:rPr>
          <w:sz w:val="20"/>
          <w:szCs w:val="20"/>
          <w:color w:val="auto"/>
        </w:rPr>
      </w:pPr>
    </w:p>
    <w:p>
      <w:pPr>
        <w:jc w:val="both"/>
        <w:ind w:left="6" w:right="2899" w:firstLine="824"/>
        <w:spacing w:after="0" w:line="250" w:lineRule="auto"/>
        <w:rPr>
          <w:sz w:val="20"/>
          <w:szCs w:val="20"/>
          <w:color w:val="auto"/>
        </w:rPr>
      </w:pPr>
      <w:r>
        <w:rPr>
          <w:rFonts w:ascii="Courier New" w:cs="Courier New" w:eastAsia="Courier New" w:hAnsi="Courier New"/>
          <w:sz w:val="15"/>
          <w:szCs w:val="15"/>
          <w:color w:val="auto"/>
        </w:rPr>
        <w:t>Export sales are primarily to customers in Asia and Europe. Information about L-P's geographic segments is as follows:</w:t>
      </w:r>
    </w:p>
    <w:p>
      <w:pPr>
        <w:spacing w:after="0" w:line="200" w:lineRule="exact"/>
        <w:rPr>
          <w:sz w:val="20"/>
          <w:szCs w:val="20"/>
          <w:color w:val="auto"/>
        </w:rPr>
      </w:pPr>
    </w:p>
    <w:p>
      <w:pPr>
        <w:spacing w:after="0" w:line="327"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YEAR ENDED DECEMBER 31 (IN MILLIONS)</w:t>
            </w:r>
          </w:p>
        </w:tc>
        <w:tc>
          <w:tcPr>
            <w:tcW w:w="600" w:type="dxa"/>
            <w:vAlign w:val="bottom"/>
          </w:tcPr>
          <w:p>
            <w:pPr>
              <w:spacing w:after="0"/>
              <w:rPr>
                <w:sz w:val="14"/>
                <w:szCs w:val="14"/>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4"/>
                <w:szCs w:val="14"/>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1996</w:t>
            </w:r>
          </w:p>
        </w:tc>
        <w:tc>
          <w:tcPr>
            <w:tcW w:w="500" w:type="dxa"/>
            <w:vAlign w:val="bottom"/>
          </w:tcPr>
          <w:p>
            <w:pPr>
              <w:spacing w:after="0"/>
              <w:rPr>
                <w:sz w:val="14"/>
                <w:szCs w:val="14"/>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3700" w:type="dxa"/>
            <w:vAlign w:val="bottom"/>
          </w:tcPr>
          <w:p>
            <w:pPr>
              <w:spacing w:after="0"/>
              <w:rPr>
                <w:sz w:val="20"/>
                <w:szCs w:val="20"/>
                <w:color w:val="auto"/>
              </w:rPr>
            </w:pPr>
            <w:r>
              <w:rPr>
                <w:rFonts w:ascii="Courier New" w:cs="Courier New" w:eastAsia="Courier New" w:hAnsi="Courier New"/>
                <w:sz w:val="15"/>
                <w:szCs w:val="15"/>
                <w:color w:val="auto"/>
              </w:rPr>
              <w:t>Total sales -- point of origin</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U.S.</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2,330</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2,389</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2,703</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Canada and other</w:t>
            </w:r>
          </w:p>
        </w:tc>
        <w:tc>
          <w:tcPr>
            <w:tcW w:w="6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128</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162</w:t>
            </w:r>
          </w:p>
        </w:tc>
        <w:tc>
          <w:tcPr>
            <w:tcW w:w="5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191</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Intersegment sales to U.S.</w:t>
            </w:r>
          </w:p>
        </w:tc>
        <w:tc>
          <w:tcPr>
            <w:tcW w:w="6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6"/>
        </w:trPr>
        <w:tc>
          <w:tcPr>
            <w:tcW w:w="3700" w:type="dxa"/>
            <w:vAlign w:val="bottom"/>
          </w:tcPr>
          <w:p>
            <w:pPr>
              <w:spacing w:after="0"/>
              <w:rPr>
                <w:sz w:val="15"/>
                <w:szCs w:val="15"/>
                <w:color w:val="auto"/>
              </w:rPr>
            </w:pPr>
          </w:p>
        </w:tc>
        <w:tc>
          <w:tcPr>
            <w:tcW w:w="16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700" w:type="dxa"/>
            <w:vAlign w:val="bottom"/>
          </w:tcPr>
          <w:p>
            <w:pPr>
              <w:ind w:left="360"/>
              <w:spacing w:after="0"/>
              <w:rPr>
                <w:sz w:val="20"/>
                <w:szCs w:val="20"/>
                <w:color w:val="auto"/>
              </w:rPr>
            </w:pPr>
            <w:r>
              <w:rPr>
                <w:rFonts w:ascii="Courier New" w:cs="Courier New" w:eastAsia="Courier New" w:hAnsi="Courier New"/>
                <w:sz w:val="15"/>
                <w:szCs w:val="15"/>
                <w:color w:val="auto"/>
              </w:rPr>
              <w:t>Total sales</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2,403</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2,486</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2,843</w:t>
            </w:r>
          </w:p>
        </w:tc>
      </w:tr>
      <w:tr>
        <w:trPr>
          <w:trHeight w:val="176"/>
        </w:trPr>
        <w:tc>
          <w:tcPr>
            <w:tcW w:w="3700" w:type="dxa"/>
            <w:vAlign w:val="bottom"/>
          </w:tcPr>
          <w:p>
            <w:pPr>
              <w:spacing w:after="0"/>
              <w:rPr>
                <w:sz w:val="15"/>
                <w:szCs w:val="15"/>
                <w:color w:val="auto"/>
              </w:rPr>
            </w:pPr>
          </w:p>
        </w:tc>
        <w:tc>
          <w:tcPr>
            <w:tcW w:w="16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Export sales (included above)</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240</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268</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457</w:t>
            </w:r>
          </w:p>
        </w:tc>
      </w:tr>
      <w:tr>
        <w:trPr>
          <w:trHeight w:val="176"/>
        </w:trPr>
        <w:tc>
          <w:tcPr>
            <w:tcW w:w="3700" w:type="dxa"/>
            <w:vAlign w:val="bottom"/>
          </w:tcPr>
          <w:p>
            <w:pPr>
              <w:spacing w:after="0"/>
              <w:rPr>
                <w:sz w:val="15"/>
                <w:szCs w:val="15"/>
                <w:color w:val="auto"/>
              </w:rPr>
            </w:pPr>
          </w:p>
        </w:tc>
        <w:tc>
          <w:tcPr>
            <w:tcW w:w="16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700" w:type="dxa"/>
            <w:vAlign w:val="bottom"/>
          </w:tcPr>
          <w:p>
            <w:pPr>
              <w:spacing w:after="0"/>
              <w:rPr>
                <w:sz w:val="20"/>
                <w:szCs w:val="20"/>
                <w:color w:val="auto"/>
              </w:rPr>
            </w:pPr>
            <w:r>
              <w:rPr>
                <w:rFonts w:ascii="Courier New" w:cs="Courier New" w:eastAsia="Courier New" w:hAnsi="Courier New"/>
                <w:sz w:val="15"/>
                <w:szCs w:val="15"/>
                <w:color w:val="auto"/>
              </w:rPr>
              <w:t>Profit (loss)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U.S.</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107</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353</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Canada and other</w:t>
            </w:r>
          </w:p>
        </w:tc>
        <w:tc>
          <w:tcPr>
            <w:tcW w:w="6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5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Settlements, charges and other</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700" w:type="dxa"/>
            <w:vAlign w:val="bottom"/>
          </w:tcPr>
          <w:p>
            <w:pPr>
              <w:ind w:left="360"/>
              <w:spacing w:after="0"/>
              <w:rPr>
                <w:sz w:val="20"/>
                <w:szCs w:val="20"/>
                <w:color w:val="auto"/>
              </w:rPr>
            </w:pPr>
            <w:r>
              <w:rPr>
                <w:rFonts w:ascii="Courier New" w:cs="Courier New" w:eastAsia="Courier New" w:hAnsi="Courier New"/>
                <w:sz w:val="15"/>
                <w:szCs w:val="15"/>
                <w:color w:val="auto"/>
              </w:rPr>
              <w:t>unusual items, net</w:t>
            </w:r>
          </w:p>
        </w:tc>
        <w:tc>
          <w:tcPr>
            <w:tcW w:w="6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(350)</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General corporate expense and</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700" w:type="dxa"/>
            <w:vAlign w:val="bottom"/>
          </w:tcPr>
          <w:p>
            <w:pPr>
              <w:ind w:left="360"/>
              <w:spacing w:after="0"/>
              <w:rPr>
                <w:sz w:val="20"/>
                <w:szCs w:val="20"/>
                <w:color w:val="auto"/>
              </w:rPr>
            </w:pPr>
            <w:r>
              <w:rPr>
                <w:rFonts w:ascii="Courier New" w:cs="Courier New" w:eastAsia="Courier New" w:hAnsi="Courier New"/>
                <w:sz w:val="15"/>
                <w:szCs w:val="15"/>
                <w:color w:val="auto"/>
              </w:rPr>
              <w:t>interest, net</w:t>
            </w:r>
          </w:p>
        </w:tc>
        <w:tc>
          <w:tcPr>
            <w:tcW w:w="6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6"/>
        </w:trPr>
        <w:tc>
          <w:tcPr>
            <w:tcW w:w="3700" w:type="dxa"/>
            <w:vAlign w:val="bottom"/>
          </w:tcPr>
          <w:p>
            <w:pPr>
              <w:spacing w:after="0"/>
              <w:rPr>
                <w:sz w:val="15"/>
                <w:szCs w:val="15"/>
                <w:color w:val="auto"/>
              </w:rPr>
            </w:pPr>
          </w:p>
        </w:tc>
        <w:tc>
          <w:tcPr>
            <w:tcW w:w="16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700" w:type="dxa"/>
            <w:vAlign w:val="bottom"/>
          </w:tcPr>
          <w:p>
            <w:pPr>
              <w:ind w:left="360"/>
              <w:spacing w:after="0"/>
              <w:rPr>
                <w:sz w:val="20"/>
                <w:szCs w:val="20"/>
                <w:color w:val="auto"/>
              </w:rPr>
            </w:pPr>
            <w:r>
              <w:rPr>
                <w:rFonts w:ascii="Courier New" w:cs="Courier New" w:eastAsia="Courier New" w:hAnsi="Courier New"/>
                <w:sz w:val="15"/>
                <w:szCs w:val="15"/>
                <w:color w:val="auto"/>
              </w:rPr>
              <w:t>Income (loss) before taxes and</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70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6"/>
        </w:trPr>
        <w:tc>
          <w:tcPr>
            <w:tcW w:w="3700" w:type="dxa"/>
            <w:vAlign w:val="bottom"/>
          </w:tcPr>
          <w:p>
            <w:pPr>
              <w:spacing w:after="0"/>
              <w:rPr>
                <w:sz w:val="15"/>
                <w:szCs w:val="15"/>
                <w:color w:val="auto"/>
              </w:rPr>
            </w:pPr>
          </w:p>
        </w:tc>
        <w:tc>
          <w:tcPr>
            <w:tcW w:w="16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7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U.S.</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2,220</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2,195</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2,305</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Canada</w:t>
            </w:r>
          </w:p>
        </w:tc>
        <w:tc>
          <w:tcPr>
            <w:tcW w:w="6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285</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308</w:t>
            </w:r>
          </w:p>
        </w:tc>
        <w:tc>
          <w:tcPr>
            <w:tcW w:w="5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434</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All other</w:t>
            </w:r>
          </w:p>
        </w:tc>
        <w:tc>
          <w:tcPr>
            <w:tcW w:w="6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73</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86</w:t>
            </w:r>
          </w:p>
        </w:tc>
        <w:tc>
          <w:tcPr>
            <w:tcW w:w="5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w:t>
            </w:r>
          </w:p>
        </w:tc>
      </w:tr>
      <w:tr>
        <w:trPr>
          <w:trHeight w:val="176"/>
        </w:trPr>
        <w:tc>
          <w:tcPr>
            <w:tcW w:w="3700" w:type="dxa"/>
            <w:vAlign w:val="bottom"/>
          </w:tcPr>
          <w:p>
            <w:pPr>
              <w:spacing w:after="0"/>
              <w:rPr>
                <w:sz w:val="15"/>
                <w:szCs w:val="15"/>
                <w:color w:val="auto"/>
              </w:rPr>
            </w:pPr>
          </w:p>
        </w:tc>
        <w:tc>
          <w:tcPr>
            <w:tcW w:w="16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70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2,578</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2,589</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2,805</w:t>
            </w:r>
          </w:p>
        </w:tc>
      </w:tr>
      <w:tr>
        <w:trPr>
          <w:trHeight w:val="176"/>
        </w:trPr>
        <w:tc>
          <w:tcPr>
            <w:tcW w:w="3700" w:type="dxa"/>
            <w:vAlign w:val="bottom"/>
          </w:tcPr>
          <w:p>
            <w:pPr>
              <w:spacing w:after="0"/>
              <w:rPr>
                <w:sz w:val="15"/>
                <w:szCs w:val="15"/>
                <w:color w:val="auto"/>
              </w:rPr>
            </w:pPr>
          </w:p>
        </w:tc>
        <w:tc>
          <w:tcPr>
            <w:tcW w:w="16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700" w:type="dxa"/>
            <w:vAlign w:val="bottom"/>
          </w:tcPr>
          <w:p>
            <w:pPr>
              <w:ind w:left="2560"/>
              <w:spacing w:after="0"/>
              <w:rPr>
                <w:sz w:val="20"/>
                <w:szCs w:val="20"/>
                <w:color w:val="auto"/>
              </w:rPr>
            </w:pPr>
            <w:r>
              <w:rPr>
                <w:rFonts w:ascii="Courier New" w:cs="Courier New" w:eastAsia="Courier New" w:hAnsi="Courier New"/>
                <w:sz w:val="15"/>
                <w:szCs w:val="15"/>
                <w:color w:val="auto"/>
              </w:rPr>
              <w:t>- 44 -</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25"/>
          </w:cols>
          <w:pgMar w:left="234" w:top="470" w:right="1440" w:bottom="1440" w:gutter="0" w:footer="0" w:header="0"/>
        </w:sectPr>
      </w:pPr>
    </w:p>
    <w:bookmarkStart w:id="45" w:name="page46"/>
    <w:bookmarkEnd w:id="45"/>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200" w:lineRule="exact"/>
        <w:rPr>
          <w:sz w:val="20"/>
          <w:szCs w:val="20"/>
          <w:color w:val="auto"/>
        </w:rPr>
      </w:pPr>
    </w:p>
    <w:p>
      <w:pPr>
        <w:spacing w:after="0" w:line="33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Information about L-P's industry segments is as follows:</w:t>
      </w:r>
    </w:p>
    <w:p>
      <w:pPr>
        <w:spacing w:after="0" w:line="182"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YEAR ENDED DECEMBER 31 (IN MILLIONS)</w:t>
            </w:r>
          </w:p>
        </w:tc>
        <w:tc>
          <w:tcPr>
            <w:tcW w:w="500" w:type="dxa"/>
            <w:vAlign w:val="bottom"/>
          </w:tcPr>
          <w:p>
            <w:pPr>
              <w:spacing w:after="0"/>
              <w:rPr>
                <w:sz w:val="14"/>
                <w:szCs w:val="14"/>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4"/>
                <w:szCs w:val="14"/>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1996</w:t>
            </w:r>
          </w:p>
        </w:tc>
        <w:tc>
          <w:tcPr>
            <w:tcW w:w="500" w:type="dxa"/>
            <w:vAlign w:val="bottom"/>
          </w:tcPr>
          <w:p>
            <w:pPr>
              <w:spacing w:after="0"/>
              <w:rPr>
                <w:sz w:val="14"/>
                <w:szCs w:val="14"/>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Total sales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Building products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2,280</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2,328</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2,535</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Pulp</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130</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177</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334</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Intersegment sales to pulp</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6"/>
        </w:trPr>
        <w:tc>
          <w:tcPr>
            <w:tcW w:w="3620" w:type="dxa"/>
            <w:vAlign w:val="bottom"/>
          </w:tcPr>
          <w:p>
            <w:pPr>
              <w:spacing w:after="0"/>
              <w:rPr>
                <w:sz w:val="15"/>
                <w:szCs w:val="15"/>
                <w:color w:val="auto"/>
              </w:rPr>
            </w:pP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Total sales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2,403</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2,486</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2,843</w:t>
            </w:r>
          </w:p>
        </w:tc>
      </w:tr>
      <w:tr>
        <w:trPr>
          <w:trHeight w:val="176"/>
        </w:trPr>
        <w:tc>
          <w:tcPr>
            <w:tcW w:w="3620" w:type="dxa"/>
            <w:vAlign w:val="bottom"/>
          </w:tcPr>
          <w:p>
            <w:pPr>
              <w:spacing w:after="0"/>
              <w:rPr>
                <w:sz w:val="15"/>
                <w:szCs w:val="15"/>
                <w:color w:val="auto"/>
              </w:rPr>
            </w:pP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Profit (loss)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Building products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174</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Pulp</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Settlements, charges and</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other unusual items, net (1)</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(350)</w:t>
            </w: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General corporate expense, net</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w:t>
            </w: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Interest, net</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r>
      <w:tr>
        <w:trPr>
          <w:trHeight w:val="176"/>
        </w:trPr>
        <w:tc>
          <w:tcPr>
            <w:tcW w:w="3620" w:type="dxa"/>
            <w:vAlign w:val="bottom"/>
          </w:tcPr>
          <w:p>
            <w:pPr>
              <w:spacing w:after="0"/>
              <w:rPr>
                <w:sz w:val="15"/>
                <w:szCs w:val="15"/>
                <w:color w:val="auto"/>
              </w:rPr>
            </w:pP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Income (loss) before taxes and</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362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6"/>
        </w:trPr>
        <w:tc>
          <w:tcPr>
            <w:tcW w:w="3620" w:type="dxa"/>
            <w:vAlign w:val="bottom"/>
          </w:tcPr>
          <w:p>
            <w:pPr>
              <w:spacing w:after="0"/>
              <w:rPr>
                <w:sz w:val="15"/>
                <w:szCs w:val="15"/>
                <w:color w:val="auto"/>
              </w:rPr>
            </w:pP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Building products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1,420</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1,346</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1,389</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Pulp</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294</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341</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457</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Timber, timberlands, logging</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equipment and roads</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671</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682</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727</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General corporate assets</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193</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220</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232</w:t>
            </w:r>
          </w:p>
        </w:tc>
      </w:tr>
      <w:tr>
        <w:trPr>
          <w:trHeight w:val="176"/>
        </w:trPr>
        <w:tc>
          <w:tcPr>
            <w:tcW w:w="3620" w:type="dxa"/>
            <w:vAlign w:val="bottom"/>
          </w:tcPr>
          <w:p>
            <w:pPr>
              <w:spacing w:after="0"/>
              <w:rPr>
                <w:sz w:val="15"/>
                <w:szCs w:val="15"/>
                <w:color w:val="auto"/>
              </w:rPr>
            </w:pP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2,578</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2,589</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2,805</w:t>
            </w:r>
          </w:p>
        </w:tc>
      </w:tr>
      <w:tr>
        <w:trPr>
          <w:trHeight w:val="176"/>
        </w:trPr>
        <w:tc>
          <w:tcPr>
            <w:tcW w:w="3620" w:type="dxa"/>
            <w:vAlign w:val="bottom"/>
          </w:tcPr>
          <w:p>
            <w:pPr>
              <w:spacing w:after="0"/>
              <w:rPr>
                <w:sz w:val="15"/>
                <w:szCs w:val="15"/>
                <w:color w:val="auto"/>
              </w:rPr>
            </w:pP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Depreciation, amortization and</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cost of timber harvested</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Building products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164</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164</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Pulp</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Building products</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145</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203</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286</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Pulp</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Timber, timberlands, logging</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equipment and roads</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63</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jc w:val="both"/>
        <w:ind w:left="826" w:right="2899" w:hanging="826"/>
        <w:spacing w:after="0" w:line="249" w:lineRule="auto"/>
        <w:tabs>
          <w:tab w:leader="none" w:pos="82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1997, of the net $32 million charge, a $122 million gain relates to a gain from a settlement received by a subsidiary from the U.S. Government and is not allocable to a segment, a $56 million gain relates to timber and timberland sold and a $210 million charge relates to building products.</w:t>
      </w:r>
    </w:p>
    <w:p>
      <w:pPr>
        <w:spacing w:after="0" w:line="175" w:lineRule="exact"/>
        <w:rPr>
          <w:rFonts w:ascii="Courier New" w:cs="Courier New" w:eastAsia="Courier New" w:hAnsi="Courier New"/>
          <w:sz w:val="15"/>
          <w:szCs w:val="15"/>
          <w:color w:val="auto"/>
        </w:rPr>
      </w:pPr>
    </w:p>
    <w:p>
      <w:pPr>
        <w:jc w:val="both"/>
        <w:ind w:left="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1996, of the total $350 million charge, $171 million related to the pulp segment, $134 million related to the building products segment (including litigation costs related to building products) and $45 million was not allocable to either industry segment.</w:t>
      </w:r>
    </w:p>
    <w:p>
      <w:pPr>
        <w:spacing w:after="0" w:line="175" w:lineRule="exact"/>
        <w:rPr>
          <w:rFonts w:ascii="Courier New" w:cs="Courier New" w:eastAsia="Courier New" w:hAnsi="Courier New"/>
          <w:sz w:val="15"/>
          <w:szCs w:val="15"/>
          <w:color w:val="auto"/>
        </w:rPr>
      </w:pPr>
    </w:p>
    <w:p>
      <w:pPr>
        <w:jc w:val="both"/>
        <w:ind w:left="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1995, the substantial majority of the $367 million charge related to class action settlements concerning the Company's siding product and therefore would be primarily allocated to building products.</w:t>
      </w:r>
    </w:p>
    <w:p>
      <w:pPr>
        <w:spacing w:after="0" w:line="175" w:lineRule="exact"/>
        <w:rPr>
          <w:rFonts w:ascii="Courier New" w:cs="Courier New" w:eastAsia="Courier New" w:hAnsi="Courier New"/>
          <w:sz w:val="15"/>
          <w:szCs w:val="15"/>
          <w:color w:val="auto"/>
        </w:rPr>
      </w:pPr>
    </w:p>
    <w:p>
      <w:pPr>
        <w:ind w:left="3566" w:hanging="176"/>
        <w:spacing w:after="0"/>
        <w:tabs>
          <w:tab w:leader="none" w:pos="3566"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w:t>
      </w:r>
    </w:p>
    <w:p>
      <w:pPr>
        <w:sectPr>
          <w:pgSz w:w="11900" w:h="16838" w:orient="portrait"/>
          <w:cols w:equalWidth="0" w:num="1">
            <w:col w:w="10225"/>
          </w:cols>
          <w:pgMar w:left="234" w:top="470" w:right="1440" w:bottom="1440" w:gutter="0" w:footer="0" w:header="0"/>
        </w:sectPr>
      </w:pPr>
    </w:p>
    <w:bookmarkStart w:id="46" w:name="page47"/>
    <w:bookmarkEnd w:id="46"/>
    <w:p>
      <w:pPr>
        <w:ind w:left="1100"/>
        <w:spacing w:after="0"/>
        <w:rPr>
          <w:sz w:val="20"/>
          <w:szCs w:val="20"/>
          <w:color w:val="auto"/>
        </w:rPr>
      </w:pPr>
      <w:r>
        <w:rPr>
          <w:rFonts w:ascii="Courier New" w:cs="Courier New" w:eastAsia="Courier New" w:hAnsi="Courier New"/>
          <w:sz w:val="15"/>
          <w:szCs w:val="15"/>
          <w:color w:val="auto"/>
        </w:rPr>
        <w:t>REPORTS OF INDEPENDENT PUBLIC ACCOUNTANTS AND MANAGEMENT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 of Louisiana-Pacific Corporation: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 of Louisiana-Pacific Corporation and subsidiaries as of December 31, 1997, and the related consolidated statements of income, stockholders' equity and cash flows for the year then ended. These financial statements are the responsibility of the Company's management. Our responsibility is to express an opinion on these financial statements based on our audit.</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financial position of Louisiana-Pacific Corporation and subsidiaries as of December 31, 1997, and the results of their operations and their cash flows for the year then ended, in conformity with generally accepted accounting principles.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1998</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19"/>
          </w:cols>
          <w:pgMar w:left="240" w:top="470" w:right="1440" w:bottom="1440" w:gutter="0" w:footer="0" w:header="0"/>
        </w:sectPr>
      </w:pPr>
    </w:p>
    <w:bookmarkStart w:id="47" w:name="page48"/>
    <w:bookmarkEnd w:id="47"/>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 Louisiana-Pacific Corporation: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sheets of Louisiana-Pacific Corporation (a Delaware corporation) and subsidiaries as of December 31, 1996, and the related consolidated statements of income, stockholders' equity and cash flows for each of the two years in the period ended December 31, 1996.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Louisiana-Pacific Corporation and subsidiaries as of December 31, 1996, and the results of their operations and their cash flows for each of the two years in the period ended December 31, 1996 in conformity with generally accepted accounting principles.</w:t>
      </w:r>
    </w:p>
    <w:p>
      <w:pPr>
        <w:spacing w:after="0" w:line="176"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/s/ ARTHUR ANDERSEN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1997</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- 47 -</w:t>
      </w:r>
    </w:p>
    <w:p>
      <w:pPr>
        <w:sectPr>
          <w:pgSz w:w="11900" w:h="16838" w:orient="portrait"/>
          <w:cols w:equalWidth="0" w:num="1">
            <w:col w:w="10219"/>
          </w:cols>
          <w:pgMar w:left="240" w:top="470"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Report of Management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The management of Louisiana-Pacific Corporation has prepared the consolidated financial statements and related financial data contained in this Annual Financial Report. The financial statements were prepared in accordance with generally accepted accounting principles appropriate in the circumstances and by necessity include some amounts determined using management's best judgments and estimates with appropriate consideration to materiality. Management is responsible for the integrity and objectivity of the financial statements and other financial data included in the report. To meet this responsibility management maintains a system of internal accounting controls to provide reasonable assurance that assets are safeguarded and that accounting records are reliable. Management supports a program of internal audits and internal accounting control reviews to provide assurance that the system is operating effectively.</w:t>
      </w:r>
    </w:p>
    <w:p>
      <w:pPr>
        <w:spacing w:after="0" w:line="184"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Board of Directors pursues its responsibility for reported financial information through its Audit Committee, composed of five outside directors. The Audit Committee meets periodically with management, the internal auditors and the independent public accountants to review the activities of each.</w:t>
      </w:r>
    </w:p>
    <w:p>
      <w:pPr>
        <w:sectPr>
          <w:pgSz w:w="11900" w:h="16838" w:orient="portrait"/>
          <w:cols w:equalWidth="0" w:num="1">
            <w:col w:w="10219"/>
          </w:cols>
          <w:pgMar w:left="240" w:top="470" w:right="1440" w:bottom="1440" w:gutter="0" w:footer="0" w:header="0"/>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A. SUWYN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CURTIS M. STEVENS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Treasurer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82" w:lineRule="exact"/>
        <w:rPr>
          <w:sz w:val="20"/>
          <w:szCs w:val="20"/>
          <w:color w:val="auto"/>
        </w:rPr>
      </w:pPr>
    </w:p>
    <w:p>
      <w:pPr>
        <w:sectPr>
          <w:pgSz w:w="11900" w:h="16838" w:orient="portrait"/>
          <w:cols w:equalWidth="0" w:num="2">
            <w:col w:w="3300" w:space="460"/>
            <w:col w:w="6459"/>
          </w:cols>
          <w:pgMar w:left="240" w:top="4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February 6, 1998</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- 48 -</w:t>
      </w:r>
    </w:p>
    <w:p>
      <w:pPr>
        <w:sectPr>
          <w:pgSz w:w="11900" w:h="16838" w:orient="portrait"/>
          <w:cols w:equalWidth="0" w:num="1">
            <w:col w:w="10219"/>
          </w:cols>
          <w:pgMar w:left="240" w:top="470" w:right="1440" w:bottom="1440" w:gutter="0" w:footer="0" w:header="0"/>
          <w:type w:val="continuous"/>
        </w:sectPr>
      </w:pPr>
    </w:p>
    <w:bookmarkStart w:id="49" w:name="page50"/>
    <w:bookmarkEnd w:id="49"/>
    <w:p>
      <w:pPr>
        <w:ind w:left="820" w:right="3619" w:hanging="823"/>
        <w:spacing w:after="0" w:line="248" w:lineRule="auto"/>
        <w:tabs>
          <w:tab w:leader="none" w:pos="80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A change in auditors was reported in the registrant's current report on Form 8-K dated October 26, 1997.</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III</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Information regarding the directors of the registrant is incorporated herein by reference to the material included under the caption "Item 1--Election of Directors" and "General" in the definitive proxy statement filed by the registrant for its 1998 annual meeting of stockholders (the "1998 Proxy Statement"). Information regarding the executive officers of the registrant is located in Part I of this report under the caption "Executive Officers of the Registrant." Information regarding compliance with Section 16(a) of the Securities Exchange Act of 1934 is incorporated herein by reference to the material included under the caption "Section 16(a) Beneficial Ownership Reporting Compliance" in the 1998 Proxy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Information regarding executive compensation is incorporated herein by reference to the material under the captions "Compensation Committee--Interlocks</w:t>
      </w:r>
    </w:p>
    <w:p>
      <w:pPr>
        <w:spacing w:after="0" w:line="1"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and Insider Participation," "Compensation of Executive Officers," "Retirement Benefits," "Directors' Compensation," and "Agreements with Executive Officers" in the 1998 Proxy Statement.</w:t>
      </w:r>
    </w:p>
    <w:p>
      <w:pPr>
        <w:spacing w:after="0" w:line="352" w:lineRule="exact"/>
        <w:rPr>
          <w:sz w:val="20"/>
          <w:szCs w:val="20"/>
          <w:color w:val="auto"/>
        </w:rPr>
      </w:pPr>
    </w:p>
    <w:p>
      <w:pPr>
        <w:spacing w:after="0"/>
        <w:tabs>
          <w:tab w:leader="none" w:pos="1800" w:val="left"/>
          <w:tab w:leader="none" w:pos="2820" w:val="left"/>
          <w:tab w:leader="none" w:pos="3180" w:val="left"/>
        </w:tabs>
        <w:rPr>
          <w:sz w:val="20"/>
          <w:szCs w:val="20"/>
          <w:color w:val="auto"/>
        </w:rPr>
      </w:pPr>
      <w:r>
        <w:rPr>
          <w:rFonts w:ascii="Courier New" w:cs="Courier New" w:eastAsia="Courier New" w:hAnsi="Courier New"/>
          <w:sz w:val="15"/>
          <w:szCs w:val="15"/>
          <w:color w:val="auto"/>
        </w:rPr>
        <w:t>ITEM 12. Security</w:t>
        <w:tab/>
        <w:t>Ownership</w:t>
        <w:tab/>
        <w:t>of</w:t>
        <w:tab/>
        <w:t>Certain Beneficial Owners and Management</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Information regarding security ownership of certain beneficial owners and management is incorporated herein by reference to the material under the caption "Holders of Common Stock" in the 1998 Proxy Statement.</w:t>
      </w:r>
    </w:p>
    <w:p>
      <w:pPr>
        <w:spacing w:after="0" w:line="17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13.</w:t>
        <w:tab/>
        <w:t>Certain Relationships and Related Transactions</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Information regarding management transactions is incorporated herein by reference to the material under the captions "Compensation Committee--Interlocks and Insider Participation" and "Management Transactions" in the 1998 Proxy Statement.</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- 49 -</w:t>
      </w:r>
    </w:p>
    <w:p>
      <w:pPr>
        <w:sectPr>
          <w:pgSz w:w="11900" w:h="16838" w:orient="portrait"/>
          <w:cols w:equalWidth="0" w:num="1">
            <w:col w:w="10219"/>
          </w:cols>
          <w:pgMar w:left="240" w:top="470" w:right="1440" w:bottom="1440" w:gutter="0" w:footer="0" w:header="0"/>
        </w:sectPr>
      </w:pPr>
    </w:p>
    <w:bookmarkStart w:id="50" w:name="page51"/>
    <w:bookmarkEnd w:id="50"/>
    <w:p>
      <w:pPr>
        <w:ind w:left="3386"/>
        <w:spacing w:after="0"/>
        <w:rPr>
          <w:sz w:val="20"/>
          <w:szCs w:val="20"/>
          <w:color w:val="auto"/>
        </w:rPr>
      </w:pPr>
      <w:r>
        <w:rPr>
          <w:rFonts w:ascii="Courier New" w:cs="Courier New" w:eastAsia="Courier New" w:hAnsi="Courier New"/>
          <w:sz w:val="15"/>
          <w:szCs w:val="15"/>
          <w:color w:val="auto"/>
        </w:rPr>
        <w:t>PART IV</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826" w:hanging="826"/>
        <w:spacing w:after="0"/>
        <w:tabs>
          <w:tab w:leader="none" w:pos="82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FINANCIAL STATEMENT SCHEDULES</w:t>
      </w:r>
    </w:p>
    <w:p>
      <w:pPr>
        <w:spacing w:after="0" w:line="182"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financial statements are included in this report: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Consolidated Balance Sheets--December 31, 1997, and 1996.</w:t>
      </w:r>
    </w:p>
    <w:p>
      <w:pPr>
        <w:spacing w:after="0" w:line="182" w:lineRule="exact"/>
        <w:rPr>
          <w:sz w:val="20"/>
          <w:szCs w:val="20"/>
          <w:color w:val="auto"/>
        </w:rPr>
      </w:pPr>
    </w:p>
    <w:p>
      <w:pPr>
        <w:ind w:left="6" w:right="2899"/>
        <w:spacing w:after="0" w:line="245" w:lineRule="auto"/>
        <w:rPr>
          <w:sz w:val="20"/>
          <w:szCs w:val="20"/>
          <w:color w:val="auto"/>
        </w:rPr>
      </w:pPr>
      <w:r>
        <w:rPr>
          <w:rFonts w:ascii="Courier New" w:cs="Courier New" w:eastAsia="Courier New" w:hAnsi="Courier New"/>
          <w:sz w:val="15"/>
          <w:szCs w:val="15"/>
          <w:color w:val="auto"/>
        </w:rPr>
        <w:t>Consolidated Statements of Income--years ended December 31, 1997, 1996, and 1995.</w:t>
      </w:r>
    </w:p>
    <w:p>
      <w:pPr>
        <w:spacing w:after="0" w:line="355" w:lineRule="exact"/>
        <w:rPr>
          <w:sz w:val="20"/>
          <w:szCs w:val="20"/>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Consolidated Statements of Cash Flows--years ended December 31, 1997, 1996, and 1995.</w:t>
      </w:r>
    </w:p>
    <w:p>
      <w:pPr>
        <w:spacing w:after="0" w:line="175" w:lineRule="exact"/>
        <w:rPr>
          <w:sz w:val="20"/>
          <w:szCs w:val="20"/>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Consolidated Statements of Stockholders' Equity--years ended December 31, 1997, 1996, and 1995.</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Financial Statements.</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Reports of Independent Public Accountants.</w:t>
      </w:r>
    </w:p>
    <w:p>
      <w:pPr>
        <w:spacing w:after="0" w:line="182" w:lineRule="exact"/>
        <w:rPr>
          <w:sz w:val="20"/>
          <w:szCs w:val="20"/>
          <w:color w:val="auto"/>
        </w:rPr>
      </w:pPr>
    </w:p>
    <w:p>
      <w:pPr>
        <w:ind w:left="6"/>
        <w:spacing w:after="0"/>
        <w:tabs>
          <w:tab w:leader="none" w:pos="346" w:val="left"/>
          <w:tab w:leader="none" w:pos="1346" w:val="left"/>
          <w:tab w:leader="none" w:pos="2366" w:val="left"/>
        </w:tabs>
        <w:rPr>
          <w:sz w:val="20"/>
          <w:szCs w:val="20"/>
          <w:color w:val="auto"/>
        </w:rPr>
      </w:pPr>
      <w:r>
        <w:rPr>
          <w:rFonts w:ascii="Courier New" w:cs="Courier New" w:eastAsia="Courier New" w:hAnsi="Courier New"/>
          <w:sz w:val="15"/>
          <w:szCs w:val="15"/>
          <w:color w:val="auto"/>
        </w:rPr>
        <w:t>No</w:t>
        <w:tab/>
        <w:t>financial</w:t>
        <w:tab/>
        <w:t>statement</w:t>
        <w:tab/>
        <w:t>schedules are required to be filed.</w:t>
      </w:r>
    </w:p>
    <w:p>
      <w:pPr>
        <w:spacing w:after="0" w:line="182" w:lineRule="exact"/>
        <w:rPr>
          <w:sz w:val="20"/>
          <w:szCs w:val="20"/>
          <w:color w:val="auto"/>
        </w:rPr>
      </w:pPr>
    </w:p>
    <w:p>
      <w:pPr>
        <w:ind w:left="826" w:hanging="826"/>
        <w:spacing w:after="0"/>
        <w:tabs>
          <w:tab w:leader="none" w:pos="82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2" w:lineRule="exact"/>
        <w:rPr>
          <w:sz w:val="20"/>
          <w:szCs w:val="20"/>
          <w:color w:val="auto"/>
        </w:rPr>
      </w:pPr>
    </w:p>
    <w:p>
      <w:pPr>
        <w:ind w:left="6" w:right="2899" w:firstLine="824"/>
        <w:spacing w:after="0" w:line="250" w:lineRule="auto"/>
        <w:rPr>
          <w:sz w:val="20"/>
          <w:szCs w:val="20"/>
          <w:color w:val="auto"/>
        </w:rPr>
      </w:pPr>
      <w:r>
        <w:rPr>
          <w:rFonts w:ascii="Courier New" w:cs="Courier New" w:eastAsia="Courier New" w:hAnsi="Courier New"/>
          <w:sz w:val="15"/>
          <w:szCs w:val="15"/>
          <w:color w:val="auto"/>
        </w:rPr>
        <w:t>The registrant filed a Form 8-K dated October 26, 1997, reporting a change in auditors.</w:t>
      </w:r>
    </w:p>
    <w:p>
      <w:pPr>
        <w:spacing w:after="0" w:line="175" w:lineRule="exact"/>
        <w:rPr>
          <w:sz w:val="20"/>
          <w:szCs w:val="20"/>
          <w:color w:val="auto"/>
        </w:rPr>
      </w:pPr>
    </w:p>
    <w:p>
      <w:pPr>
        <w:ind w:left="826" w:hanging="826"/>
        <w:spacing w:after="0"/>
        <w:tabs>
          <w:tab w:leader="none" w:pos="82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The exhibits filed as part of this report or incorporated by reference herein are listed in the accompanying exhibit index. Each management contract or compensatory plan or arrangement is identified in the index.</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- 50 -</w:t>
      </w:r>
    </w:p>
    <w:p>
      <w:pPr>
        <w:sectPr>
          <w:pgSz w:w="11900" w:h="16838" w:orient="portrait"/>
          <w:cols w:equalWidth="0" w:num="1">
            <w:col w:w="10225"/>
          </w:cols>
          <w:pgMar w:left="234" w:top="470" w:right="1440" w:bottom="1440" w:gutter="0" w:footer="0" w:header="0"/>
        </w:sectPr>
      </w:pPr>
    </w:p>
    <w:bookmarkStart w:id="51" w:name="page52"/>
    <w:bookmarkEnd w:id="51"/>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359"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Louisiana-Pacific Corporation, a Delaware corporation (the "registrant"), has duly caused this report to be signed on its behalf by the undersigned, thereunto duly authorized.</w:t>
      </w:r>
    </w:p>
    <w:p>
      <w:pPr>
        <w:spacing w:after="0" w:line="35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Date:</w:t>
        <w:tab/>
        <w:t>March 27, 1998</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LOUISIANA-PACIFIC CORPORATION</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35"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/s/ CURTIS M. STEVENS</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Curtis M. Stevens</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Vice President, Chief Financial</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Officer and Treasurer</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647" w:right="1440" w:bottom="1440" w:gutter="0" w:footer="0" w:header="0"/>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and Title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400" w:space="720"/>
            <w:col w:w="6099"/>
          </w:cols>
          <w:pgMar w:left="240" w:top="647"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MARK A. SUWYN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A. Suwyn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Chief 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2">
            <w:col w:w="3400" w:space="720"/>
            <w:col w:w="6099"/>
          </w:cols>
          <w:pgMar w:left="240" w:top="647"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CURTIS M. STEVENS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Curtis M. Stevens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Chief Financial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Treasurer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2">
            <w:col w:w="3400" w:space="720"/>
            <w:col w:w="6099"/>
          </w:cols>
          <w:pgMar w:left="240" w:top="647"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RUSSELL S. PATTEE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Russell S. Pattee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182" w:lineRule="exact"/>
        <w:rPr>
          <w:sz w:val="20"/>
          <w:szCs w:val="20"/>
          <w:color w:val="auto"/>
        </w:rPr>
      </w:pPr>
    </w:p>
    <w:p>
      <w:pPr>
        <w:sectPr>
          <w:pgSz w:w="11900" w:h="16838" w:orient="portrait"/>
          <w:cols w:equalWidth="0" w:num="2">
            <w:col w:w="3400" w:space="720"/>
            <w:col w:w="6099"/>
          </w:cols>
          <w:pgMar w:left="240" w:top="647"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5"/>
          <w:szCs w:val="15"/>
          <w:color w:val="auto"/>
        </w:rPr>
        <w:t>- 51 -</w:t>
      </w:r>
    </w:p>
    <w:p>
      <w:pPr>
        <w:sectPr>
          <w:pgSz w:w="11900" w:h="16838" w:orient="portrait"/>
          <w:cols w:equalWidth="0" w:num="1">
            <w:col w:w="10219"/>
          </w:cols>
          <w:pgMar w:left="240" w:top="647" w:right="1440" w:bottom="1440" w:gutter="0" w:footer="0" w:header="0"/>
          <w:type w:val="continuous"/>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Date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Signature and Title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400" w:space="720"/>
            <w:col w:w="6099"/>
          </w:cols>
          <w:pgMar w:left="240" w:top="470"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C. BROOKS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C. Brooks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ARCHIE W. DUNHAM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Archie W. Dunham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PIERRE S. DU PONT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Pierre S. du Pont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E. FLAHERTY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E. Flaherty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BONNIE G. HILL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Bonnie G. Hill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R. KAYSER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R. Kayser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LEE C. SIMPSON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Lee C. Simpson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E. YEAGER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E. Yeager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2" w:lineRule="exact"/>
        <w:rPr>
          <w:sz w:val="20"/>
          <w:szCs w:val="20"/>
          <w:color w:val="auto"/>
        </w:rPr>
      </w:pPr>
    </w:p>
    <w:p>
      <w:pPr>
        <w:sectPr>
          <w:pgSz w:w="11900" w:h="16838" w:orient="portrait"/>
          <w:cols w:equalWidth="0" w:num="2">
            <w:col w:w="3400" w:space="720"/>
            <w:col w:w="6099"/>
          </w:cols>
          <w:pgMar w:left="240" w:top="470"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5"/>
          <w:szCs w:val="15"/>
          <w:color w:val="auto"/>
        </w:rPr>
        <w:t>- 52 -</w:t>
      </w:r>
    </w:p>
    <w:p>
      <w:pPr>
        <w:sectPr>
          <w:pgSz w:w="11900" w:h="16838" w:orient="portrait"/>
          <w:cols w:equalWidth="0" w:num="1">
            <w:col w:w="10219"/>
          </w:cols>
          <w:pgMar w:left="240" w:top="470" w:right="1440" w:bottom="1440" w:gutter="0" w:footer="0" w:header="0"/>
          <w:type w:val="continuous"/>
        </w:sectPr>
      </w:pPr>
    </w:p>
    <w:bookmarkStart w:id="53" w:name="page54"/>
    <w:bookmarkEnd w:id="53"/>
    <w:p>
      <w:pPr>
        <w:ind w:left="3100"/>
        <w:spacing w:after="0"/>
        <w:rPr>
          <w:sz w:val="20"/>
          <w:szCs w:val="20"/>
          <w:color w:val="auto"/>
        </w:rPr>
      </w:pPr>
      <w:r>
        <w:rPr>
          <w:rFonts w:ascii="Courier New" w:cs="Courier New" w:eastAsia="Courier New" w:hAnsi="Courier New"/>
          <w:sz w:val="15"/>
          <w:szCs w:val="15"/>
          <w:color w:val="auto"/>
        </w:rPr>
        <w:t>EXHIBIT INDEX</w:t>
      </w:r>
    </w:p>
    <w:p>
      <w:pPr>
        <w:spacing w:after="0" w:line="359"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On written request, the registrant will furnish to any record holder or beneficial holder of the registrant's common stock any exhibit to this report upon the payment of a fee equal to the registrant's costs of copying such exhibit plus postage. Any such request should be sent to: Ward Hubbell, Director of Corporate Affairs, Louisiana-Pacific Corporation, 111 S.W. Fifth Avenue, Portland, Oregon 97204.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ind w:left="820"/>
              <w:spacing w:after="0"/>
              <w:rPr>
                <w:sz w:val="20"/>
                <w:szCs w:val="20"/>
                <w:color w:val="auto"/>
              </w:rPr>
            </w:pPr>
            <w:r>
              <w:rPr>
                <w:rFonts w:ascii="Courier New" w:cs="Courier New" w:eastAsia="Courier New" w:hAnsi="Courier New"/>
                <w:sz w:val="15"/>
                <w:szCs w:val="15"/>
                <w:color w:val="auto"/>
              </w:rPr>
              <w:t>Items</w:t>
            </w:r>
          </w:p>
        </w:tc>
        <w:tc>
          <w:tcPr>
            <w:tcW w:w="280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rPr>
              <w:t>identified  with an asterisk</w:t>
            </w: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are</w:t>
            </w: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management  contracts  or</w:t>
            </w:r>
          </w:p>
        </w:tc>
      </w:tr>
      <w:tr>
        <w:trPr>
          <w:trHeight w:val="176"/>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rPr>
              <w:t>compensatory plans or arrangements.</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800" w:type="dxa"/>
            <w:vAlign w:val="bottom"/>
            <w:gridSpan w:val="4"/>
          </w:tcPr>
          <w:p>
            <w:pPr>
              <w:ind w:left="560"/>
              <w:spacing w:after="0"/>
              <w:rPr>
                <w:sz w:val="20"/>
                <w:szCs w:val="20"/>
                <w:color w:val="auto"/>
              </w:rPr>
            </w:pPr>
            <w:r>
              <w:rPr>
                <w:rFonts w:ascii="Courier New" w:cs="Courier New" w:eastAsia="Courier New" w:hAnsi="Courier New"/>
                <w:sz w:val="15"/>
                <w:szCs w:val="15"/>
                <w:color w:val="auto"/>
              </w:rPr>
              <w:t>Description of Exhibit</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gridSpan w:val="4"/>
          </w:tcPr>
          <w:p>
            <w:pPr>
              <w:ind w:left="7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1300" w:type="dxa"/>
            <w:vAlign w:val="bottom"/>
          </w:tcPr>
          <w:p>
            <w:pPr>
              <w:ind w:left="560"/>
              <w:spacing w:after="0"/>
              <w:rPr>
                <w:sz w:val="20"/>
                <w:szCs w:val="20"/>
                <w:color w:val="auto"/>
              </w:rPr>
            </w:pPr>
            <w:r>
              <w:rPr>
                <w:rFonts w:ascii="Courier New" w:cs="Courier New" w:eastAsia="Courier New" w:hAnsi="Courier New"/>
                <w:sz w:val="15"/>
                <w:szCs w:val="15"/>
                <w:color w:val="auto"/>
                <w:w w:val="99"/>
              </w:rPr>
              <w:t>Restated</w:t>
            </w:r>
          </w:p>
        </w:tc>
        <w:tc>
          <w:tcPr>
            <w:tcW w:w="466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Certificate of Incorporation of the registrant as</w:t>
            </w:r>
          </w:p>
        </w:tc>
      </w:tr>
      <w:tr>
        <w:trPr>
          <w:trHeight w:val="176"/>
        </w:trPr>
        <w:tc>
          <w:tcPr>
            <w:tcW w:w="1360" w:type="dxa"/>
            <w:vAlign w:val="bottom"/>
          </w:tcPr>
          <w:p>
            <w:pPr>
              <w:spacing w:after="0"/>
              <w:rPr>
                <w:sz w:val="15"/>
                <w:szCs w:val="15"/>
                <w:color w:val="auto"/>
              </w:rPr>
            </w:pPr>
          </w:p>
        </w:tc>
        <w:tc>
          <w:tcPr>
            <w:tcW w:w="5960" w:type="dxa"/>
            <w:vAlign w:val="bottom"/>
            <w:gridSpan w:val="10"/>
          </w:tcPr>
          <w:p>
            <w:pPr>
              <w:ind w:left="560"/>
              <w:spacing w:after="0"/>
              <w:rPr>
                <w:sz w:val="20"/>
                <w:szCs w:val="20"/>
                <w:color w:val="auto"/>
              </w:rPr>
            </w:pPr>
            <w:r>
              <w:rPr>
                <w:rFonts w:ascii="Courier New" w:cs="Courier New" w:eastAsia="Courier New" w:hAnsi="Courier New"/>
                <w:sz w:val="15"/>
                <w:szCs w:val="15"/>
                <w:color w:val="auto"/>
              </w:rPr>
              <w:t>amended to date.  Incorporated by reference to Exhibit 3(a)</w:t>
            </w:r>
          </w:p>
        </w:tc>
      </w:tr>
      <w:tr>
        <w:trPr>
          <w:trHeight w:val="176"/>
        </w:trPr>
        <w:tc>
          <w:tcPr>
            <w:tcW w:w="1360" w:type="dxa"/>
            <w:vAlign w:val="bottom"/>
          </w:tcPr>
          <w:p>
            <w:pPr>
              <w:spacing w:after="0"/>
              <w:rPr>
                <w:sz w:val="15"/>
                <w:szCs w:val="15"/>
                <w:color w:val="auto"/>
              </w:rPr>
            </w:pPr>
          </w:p>
        </w:tc>
        <w:tc>
          <w:tcPr>
            <w:tcW w:w="5960" w:type="dxa"/>
            <w:vAlign w:val="bottom"/>
            <w:gridSpan w:val="10"/>
          </w:tcPr>
          <w:p>
            <w:pPr>
              <w:ind w:left="560"/>
              <w:spacing w:after="0"/>
              <w:rPr>
                <w:sz w:val="20"/>
                <w:szCs w:val="20"/>
                <w:color w:val="auto"/>
              </w:rPr>
            </w:pPr>
            <w:r>
              <w:rPr>
                <w:rFonts w:ascii="Courier New" w:cs="Courier New" w:eastAsia="Courier New" w:hAnsi="Courier New"/>
                <w:sz w:val="15"/>
                <w:szCs w:val="15"/>
                <w:color w:val="auto"/>
              </w:rPr>
              <w:t>to the registrant's  Form 10-Q report for the quarter ended</w:t>
            </w:r>
          </w:p>
        </w:tc>
      </w:tr>
      <w:tr>
        <w:trPr>
          <w:trHeight w:val="176"/>
        </w:trPr>
        <w:tc>
          <w:tcPr>
            <w:tcW w:w="1360" w:type="dxa"/>
            <w:vAlign w:val="bottom"/>
          </w:tcPr>
          <w:p>
            <w:pPr>
              <w:spacing w:after="0"/>
              <w:rPr>
                <w:sz w:val="15"/>
                <w:szCs w:val="15"/>
                <w:color w:val="auto"/>
              </w:rPr>
            </w:pPr>
          </w:p>
        </w:tc>
        <w:tc>
          <w:tcPr>
            <w:tcW w:w="220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June 30, 1993.</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1300" w:type="dxa"/>
            <w:vAlign w:val="bottom"/>
          </w:tcPr>
          <w:p>
            <w:pPr>
              <w:ind w:left="560"/>
              <w:spacing w:after="0"/>
              <w:rPr>
                <w:sz w:val="20"/>
                <w:szCs w:val="20"/>
                <w:color w:val="auto"/>
              </w:rPr>
            </w:pPr>
            <w:r>
              <w:rPr>
                <w:rFonts w:ascii="Courier New" w:cs="Courier New" w:eastAsia="Courier New" w:hAnsi="Courier New"/>
                <w:sz w:val="15"/>
                <w:szCs w:val="15"/>
                <w:color w:val="auto"/>
              </w:rPr>
              <w:t>Bylaws</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the</w:t>
            </w:r>
          </w:p>
        </w:tc>
        <w:tc>
          <w:tcPr>
            <w:tcW w:w="9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registrant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amended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July</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1360" w:type="dxa"/>
            <w:vAlign w:val="bottom"/>
          </w:tcPr>
          <w:p>
            <w:pPr>
              <w:spacing w:after="0"/>
              <w:rPr>
                <w:sz w:val="15"/>
                <w:szCs w:val="15"/>
                <w:color w:val="auto"/>
              </w:rPr>
            </w:pPr>
          </w:p>
        </w:tc>
        <w:tc>
          <w:tcPr>
            <w:tcW w:w="4860" w:type="dxa"/>
            <w:vAlign w:val="bottom"/>
            <w:gridSpan w:val="8"/>
          </w:tcPr>
          <w:p>
            <w:pPr>
              <w:ind w:left="560"/>
              <w:spacing w:after="0"/>
              <w:rPr>
                <w:sz w:val="20"/>
                <w:szCs w:val="20"/>
                <w:color w:val="auto"/>
              </w:rPr>
            </w:pPr>
            <w:r>
              <w:rPr>
                <w:rFonts w:ascii="Courier New" w:cs="Courier New" w:eastAsia="Courier New" w:hAnsi="Courier New"/>
                <w:sz w:val="15"/>
                <w:szCs w:val="15"/>
                <w:color w:val="auto"/>
              </w:rPr>
              <w:t>Incorporated by reference to Exhibit 3 to the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registrant's</w:t>
            </w:r>
          </w:p>
        </w:tc>
      </w:tr>
      <w:tr>
        <w:trPr>
          <w:trHeight w:val="176"/>
        </w:trPr>
        <w:tc>
          <w:tcPr>
            <w:tcW w:w="1360" w:type="dxa"/>
            <w:vAlign w:val="bottom"/>
          </w:tcPr>
          <w:p>
            <w:pPr>
              <w:spacing w:after="0"/>
              <w:rPr>
                <w:sz w:val="15"/>
                <w:szCs w:val="15"/>
                <w:color w:val="auto"/>
              </w:rPr>
            </w:pPr>
          </w:p>
        </w:tc>
        <w:tc>
          <w:tcPr>
            <w:tcW w:w="5460" w:type="dxa"/>
            <w:vAlign w:val="bottom"/>
            <w:gridSpan w:val="9"/>
          </w:tcPr>
          <w:p>
            <w:pPr>
              <w:ind w:left="560"/>
              <w:spacing w:after="0"/>
              <w:rPr>
                <w:sz w:val="20"/>
                <w:szCs w:val="20"/>
                <w:color w:val="auto"/>
              </w:rPr>
            </w:pPr>
            <w:r>
              <w:rPr>
                <w:rFonts w:ascii="Courier New" w:cs="Courier New" w:eastAsia="Courier New" w:hAnsi="Courier New"/>
                <w:sz w:val="15"/>
                <w:szCs w:val="15"/>
                <w:color w:val="auto"/>
              </w:rPr>
              <w:t>Form 10-Q report for the quarter ended June 30, 1997.</w:t>
            </w:r>
          </w:p>
        </w:tc>
        <w:tc>
          <w:tcPr>
            <w:tcW w:w="500" w:type="dxa"/>
            <w:vAlign w:val="bottom"/>
          </w:tcPr>
          <w:p>
            <w:pPr>
              <w:spacing w:after="0"/>
              <w:rPr>
                <w:sz w:val="15"/>
                <w:szCs w:val="15"/>
                <w:color w:val="auto"/>
              </w:rPr>
            </w:pP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4.A.1</w:t>
            </w:r>
          </w:p>
        </w:tc>
        <w:tc>
          <w:tcPr>
            <w:tcW w:w="5960" w:type="dxa"/>
            <w:vAlign w:val="bottom"/>
            <w:gridSpan w:val="10"/>
          </w:tcPr>
          <w:p>
            <w:pPr>
              <w:ind w:left="560"/>
              <w:spacing w:after="0"/>
              <w:rPr>
                <w:sz w:val="20"/>
                <w:szCs w:val="20"/>
                <w:color w:val="auto"/>
              </w:rPr>
            </w:pPr>
            <w:r>
              <w:rPr>
                <w:rFonts w:ascii="Courier New" w:cs="Courier New" w:eastAsia="Courier New" w:hAnsi="Courier New"/>
                <w:sz w:val="15"/>
                <w:szCs w:val="15"/>
                <w:color w:val="auto"/>
              </w:rPr>
              <w:t>Rights  Agreement  as  Restated  as of  February  3,  1991,</w:t>
            </w:r>
          </w:p>
        </w:tc>
      </w:tr>
      <w:tr>
        <w:trPr>
          <w:trHeight w:val="176"/>
        </w:trPr>
        <w:tc>
          <w:tcPr>
            <w:tcW w:w="1360" w:type="dxa"/>
            <w:vAlign w:val="bottom"/>
          </w:tcPr>
          <w:p>
            <w:pPr>
              <w:spacing w:after="0"/>
              <w:rPr>
                <w:sz w:val="15"/>
                <w:szCs w:val="15"/>
                <w:color w:val="auto"/>
              </w:rPr>
            </w:pPr>
          </w:p>
        </w:tc>
        <w:tc>
          <w:tcPr>
            <w:tcW w:w="16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between the</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registrant</w:t>
            </w:r>
          </w:p>
        </w:tc>
        <w:tc>
          <w:tcPr>
            <w:tcW w:w="31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and First Chicago Trust Company of</w:t>
            </w:r>
          </w:p>
        </w:tc>
      </w:tr>
      <w:tr>
        <w:trPr>
          <w:trHeight w:val="176"/>
        </w:trPr>
        <w:tc>
          <w:tcPr>
            <w:tcW w:w="1360" w:type="dxa"/>
            <w:vAlign w:val="bottom"/>
          </w:tcPr>
          <w:p>
            <w:pPr>
              <w:spacing w:after="0"/>
              <w:rPr>
                <w:sz w:val="15"/>
                <w:szCs w:val="15"/>
                <w:color w:val="auto"/>
              </w:rPr>
            </w:pPr>
          </w:p>
        </w:tc>
        <w:tc>
          <w:tcPr>
            <w:tcW w:w="2200" w:type="dxa"/>
            <w:vAlign w:val="bottom"/>
            <w:gridSpan w:val="3"/>
          </w:tcPr>
          <w:p>
            <w:pPr>
              <w:ind w:left="560"/>
              <w:spacing w:after="0"/>
              <w:rPr>
                <w:sz w:val="20"/>
                <w:szCs w:val="20"/>
                <w:color w:val="auto"/>
              </w:rPr>
            </w:pPr>
            <w:r>
              <w:rPr>
                <w:rFonts w:ascii="Courier New" w:cs="Courier New" w:eastAsia="Courier New" w:hAnsi="Courier New"/>
                <w:sz w:val="15"/>
                <w:szCs w:val="15"/>
                <w:color w:val="auto"/>
                <w:w w:val="99"/>
              </w:rPr>
              <w:t>New York as Rights</w:t>
            </w:r>
          </w:p>
        </w:tc>
        <w:tc>
          <w:tcPr>
            <w:tcW w:w="9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Agent,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as amended by</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Amendment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No. 1</w:t>
            </w:r>
          </w:p>
        </w:tc>
      </w:tr>
      <w:tr>
        <w:trPr>
          <w:trHeight w:val="176"/>
        </w:trPr>
        <w:tc>
          <w:tcPr>
            <w:tcW w:w="1360" w:type="dxa"/>
            <w:vAlign w:val="bottom"/>
          </w:tcPr>
          <w:p>
            <w:pPr>
              <w:spacing w:after="0"/>
              <w:rPr>
                <w:sz w:val="15"/>
                <w:szCs w:val="15"/>
                <w:color w:val="auto"/>
              </w:rPr>
            </w:pPr>
          </w:p>
        </w:tc>
        <w:tc>
          <w:tcPr>
            <w:tcW w:w="3120" w:type="dxa"/>
            <w:vAlign w:val="bottom"/>
            <w:gridSpan w:val="5"/>
          </w:tcPr>
          <w:p>
            <w:pPr>
              <w:ind w:left="560"/>
              <w:spacing w:after="0"/>
              <w:rPr>
                <w:sz w:val="20"/>
                <w:szCs w:val="20"/>
                <w:color w:val="auto"/>
              </w:rPr>
            </w:pPr>
            <w:r>
              <w:rPr>
                <w:rFonts w:ascii="Courier New" w:cs="Courier New" w:eastAsia="Courier New" w:hAnsi="Courier New"/>
                <w:sz w:val="15"/>
                <w:szCs w:val="15"/>
                <w:color w:val="auto"/>
              </w:rPr>
              <w:t>dated as of July 28, 1995,</w:t>
            </w:r>
          </w:p>
        </w:tc>
        <w:tc>
          <w:tcPr>
            <w:tcW w:w="28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and Amendment No. 2 dated as of</w:t>
            </w:r>
          </w:p>
        </w:tc>
      </w:tr>
      <w:tr>
        <w:trPr>
          <w:trHeight w:val="176"/>
        </w:trPr>
        <w:tc>
          <w:tcPr>
            <w:tcW w:w="1360" w:type="dxa"/>
            <w:vAlign w:val="bottom"/>
          </w:tcPr>
          <w:p>
            <w:pPr>
              <w:spacing w:after="0"/>
              <w:rPr>
                <w:sz w:val="15"/>
                <w:szCs w:val="15"/>
                <w:color w:val="auto"/>
              </w:rPr>
            </w:pPr>
          </w:p>
        </w:tc>
        <w:tc>
          <w:tcPr>
            <w:tcW w:w="16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October 30,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3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Incorporated</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by  reference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Exhibit</w:t>
            </w:r>
          </w:p>
        </w:tc>
      </w:tr>
      <w:tr>
        <w:trPr>
          <w:trHeight w:val="176"/>
        </w:trPr>
        <w:tc>
          <w:tcPr>
            <w:tcW w:w="1360" w:type="dxa"/>
            <w:vAlign w:val="bottom"/>
          </w:tcPr>
          <w:p>
            <w:pPr>
              <w:spacing w:after="0"/>
              <w:rPr>
                <w:sz w:val="15"/>
                <w:szCs w:val="15"/>
                <w:color w:val="auto"/>
              </w:rPr>
            </w:pPr>
          </w:p>
        </w:tc>
        <w:tc>
          <w:tcPr>
            <w:tcW w:w="5460" w:type="dxa"/>
            <w:vAlign w:val="bottom"/>
            <w:gridSpan w:val="9"/>
          </w:tcPr>
          <w:p>
            <w:pPr>
              <w:ind w:left="560"/>
              <w:spacing w:after="0"/>
              <w:rPr>
                <w:sz w:val="20"/>
                <w:szCs w:val="20"/>
                <w:color w:val="auto"/>
              </w:rPr>
            </w:pPr>
            <w:r>
              <w:rPr>
                <w:rFonts w:ascii="Courier New" w:cs="Courier New" w:eastAsia="Courier New" w:hAnsi="Courier New"/>
                <w:sz w:val="15"/>
                <w:szCs w:val="15"/>
                <w:color w:val="auto"/>
              </w:rPr>
              <w:t>4.A.1 to the registrant's Form 10-K report for 1996.</w:t>
            </w:r>
          </w:p>
        </w:tc>
        <w:tc>
          <w:tcPr>
            <w:tcW w:w="500" w:type="dxa"/>
            <w:vAlign w:val="bottom"/>
          </w:tcPr>
          <w:p>
            <w:pPr>
              <w:spacing w:after="0"/>
              <w:rPr>
                <w:sz w:val="15"/>
                <w:szCs w:val="15"/>
                <w:color w:val="auto"/>
              </w:rPr>
            </w:pPr>
          </w:p>
        </w:tc>
      </w:tr>
    </w:tbl>
    <w:p>
      <w:pPr>
        <w:spacing w:after="0" w:line="181" w:lineRule="exact"/>
        <w:rPr>
          <w:sz w:val="20"/>
          <w:szCs w:val="20"/>
          <w:color w:val="auto"/>
        </w:rPr>
      </w:pPr>
    </w:p>
    <w:p>
      <w:pPr>
        <w:jc w:val="both"/>
        <w:ind w:left="1920" w:right="2899"/>
        <w:spacing w:after="0" w:line="249" w:lineRule="auto"/>
        <w:rPr>
          <w:sz w:val="20"/>
          <w:szCs w:val="20"/>
          <w:color w:val="auto"/>
        </w:rPr>
      </w:pPr>
      <w:r>
        <w:rPr>
          <w:rFonts w:ascii="Courier New" w:cs="Courier New" w:eastAsia="Courier New" w:hAnsi="Courier New"/>
          <w:sz w:val="15"/>
          <w:szCs w:val="15"/>
          <w:color w:val="auto"/>
        </w:rPr>
        <w:t>Pursuant to Item 601 (b)(4)(iii) of Regulation S-K, the registrant is not filing certain instruments with respect to its long-term debt because the amount authorized under any such instrument does not exceed 10 percent of the total consolidated assets of the registrant at December 31, 1997. The registrant agrees to furnish a copy of any such instrument to the Securities and Exchange Commission upon request.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4.A.2</w:t>
            </w:r>
          </w:p>
        </w:tc>
        <w:tc>
          <w:tcPr>
            <w:tcW w:w="22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Credit  Agreement</w:t>
            </w:r>
          </w:p>
        </w:tc>
        <w:tc>
          <w:tcPr>
            <w:tcW w:w="28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dated as of January 31, 1997,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among the</w:t>
            </w:r>
          </w:p>
        </w:tc>
      </w:tr>
      <w:tr>
        <w:trPr>
          <w:trHeight w:val="176"/>
        </w:trPr>
        <w:tc>
          <w:tcPr>
            <w:tcW w:w="1280" w:type="dxa"/>
            <w:vAlign w:val="bottom"/>
          </w:tcPr>
          <w:p>
            <w:pPr>
              <w:spacing w:after="0"/>
              <w:rPr>
                <w:sz w:val="15"/>
                <w:szCs w:val="15"/>
                <w:color w:val="auto"/>
              </w:rPr>
            </w:pPr>
          </w:p>
        </w:tc>
        <w:tc>
          <w:tcPr>
            <w:tcW w:w="174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registrant,</w:t>
            </w:r>
          </w:p>
        </w:tc>
        <w:tc>
          <w:tcPr>
            <w:tcW w:w="43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Louisiana-Pacific Canada Ltd., Bank of America</w:t>
            </w:r>
          </w:p>
        </w:tc>
      </w:tr>
      <w:tr>
        <w:trPr>
          <w:trHeight w:val="176"/>
        </w:trPr>
        <w:tc>
          <w:tcPr>
            <w:tcW w:w="1280" w:type="dxa"/>
            <w:vAlign w:val="bottom"/>
          </w:tcPr>
          <w:p>
            <w:pPr>
              <w:spacing w:after="0"/>
              <w:rPr>
                <w:sz w:val="15"/>
                <w:szCs w:val="15"/>
                <w:color w:val="auto"/>
              </w:rPr>
            </w:pPr>
          </w:p>
        </w:tc>
        <w:tc>
          <w:tcPr>
            <w:tcW w:w="6040" w:type="dxa"/>
            <w:vAlign w:val="bottom"/>
            <w:gridSpan w:val="9"/>
          </w:tcPr>
          <w:p>
            <w:pPr>
              <w:ind w:left="640"/>
              <w:spacing w:after="0"/>
              <w:rPr>
                <w:sz w:val="20"/>
                <w:szCs w:val="20"/>
                <w:color w:val="auto"/>
              </w:rPr>
            </w:pPr>
            <w:r>
              <w:rPr>
                <w:rFonts w:ascii="Courier New" w:cs="Courier New" w:eastAsia="Courier New" w:hAnsi="Courier New"/>
                <w:sz w:val="15"/>
                <w:szCs w:val="15"/>
                <w:color w:val="auto"/>
              </w:rPr>
              <w:t>National  Trust  and  Savings  Association  and  the  other</w:t>
            </w:r>
          </w:p>
        </w:tc>
      </w:tr>
      <w:tr>
        <w:trPr>
          <w:trHeight w:val="176"/>
        </w:trPr>
        <w:tc>
          <w:tcPr>
            <w:tcW w:w="1280" w:type="dxa"/>
            <w:vAlign w:val="bottom"/>
          </w:tcPr>
          <w:p>
            <w:pPr>
              <w:spacing w:after="0"/>
              <w:rPr>
                <w:sz w:val="15"/>
                <w:szCs w:val="15"/>
                <w:color w:val="auto"/>
              </w:rPr>
            </w:pPr>
          </w:p>
        </w:tc>
        <w:tc>
          <w:tcPr>
            <w:tcW w:w="6040" w:type="dxa"/>
            <w:vAlign w:val="bottom"/>
            <w:gridSpan w:val="9"/>
          </w:tcPr>
          <w:p>
            <w:pPr>
              <w:ind w:left="640"/>
              <w:spacing w:after="0"/>
              <w:rPr>
                <w:sz w:val="20"/>
                <w:szCs w:val="20"/>
                <w:color w:val="auto"/>
              </w:rPr>
            </w:pPr>
            <w:r>
              <w:rPr>
                <w:rFonts w:ascii="Courier New" w:cs="Courier New" w:eastAsia="Courier New" w:hAnsi="Courier New"/>
                <w:sz w:val="15"/>
                <w:szCs w:val="15"/>
                <w:color w:val="auto"/>
              </w:rPr>
              <w:t>financial  institutions  party  thereto.   Incorporated  by</w:t>
            </w:r>
          </w:p>
        </w:tc>
      </w:tr>
      <w:tr>
        <w:trPr>
          <w:trHeight w:val="176"/>
        </w:trPr>
        <w:tc>
          <w:tcPr>
            <w:tcW w:w="1280" w:type="dxa"/>
            <w:vAlign w:val="bottom"/>
          </w:tcPr>
          <w:p>
            <w:pPr>
              <w:spacing w:after="0"/>
              <w:rPr>
                <w:sz w:val="15"/>
                <w:szCs w:val="15"/>
                <w:color w:val="auto"/>
              </w:rPr>
            </w:pPr>
          </w:p>
        </w:tc>
        <w:tc>
          <w:tcPr>
            <w:tcW w:w="2660" w:type="dxa"/>
            <w:vAlign w:val="bottom"/>
            <w:gridSpan w:val="4"/>
          </w:tcPr>
          <w:p>
            <w:pPr>
              <w:ind w:left="640"/>
              <w:spacing w:after="0"/>
              <w:rPr>
                <w:sz w:val="20"/>
                <w:szCs w:val="20"/>
                <w:color w:val="auto"/>
              </w:rPr>
            </w:pPr>
            <w:r>
              <w:rPr>
                <w:rFonts w:ascii="Courier New" w:cs="Courier New" w:eastAsia="Courier New" w:hAnsi="Courier New"/>
                <w:sz w:val="15"/>
                <w:szCs w:val="15"/>
                <w:color w:val="auto"/>
              </w:rPr>
              <w:t>reference to Exhibit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4.A.2 to the</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registrant's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Form 10-K</w:t>
            </w:r>
          </w:p>
        </w:tc>
      </w:tr>
      <w:tr>
        <w:trPr>
          <w:trHeight w:val="176"/>
        </w:trPr>
        <w:tc>
          <w:tcPr>
            <w:tcW w:w="1280" w:type="dxa"/>
            <w:vAlign w:val="bottom"/>
          </w:tcPr>
          <w:p>
            <w:pPr>
              <w:spacing w:after="0"/>
              <w:rPr>
                <w:sz w:val="15"/>
                <w:szCs w:val="15"/>
                <w:color w:val="auto"/>
              </w:rPr>
            </w:pPr>
          </w:p>
        </w:tc>
        <w:tc>
          <w:tcPr>
            <w:tcW w:w="22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report for 1996.</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6040" w:type="dxa"/>
            <w:vAlign w:val="bottom"/>
            <w:gridSpan w:val="9"/>
          </w:tcPr>
          <w:p>
            <w:pPr>
              <w:ind w:left="640"/>
              <w:spacing w:after="0"/>
              <w:rPr>
                <w:sz w:val="20"/>
                <w:szCs w:val="20"/>
                <w:color w:val="auto"/>
              </w:rPr>
            </w:pPr>
            <w:r>
              <w:rPr>
                <w:rFonts w:ascii="Courier New" w:cs="Courier New" w:eastAsia="Courier New" w:hAnsi="Courier New"/>
                <w:sz w:val="15"/>
                <w:szCs w:val="15"/>
                <w:color w:val="auto"/>
              </w:rPr>
              <w:t>1984 Employee Stock Option Plan as amended. Incorporated by</w:t>
            </w:r>
          </w:p>
        </w:tc>
      </w:tr>
      <w:tr>
        <w:trPr>
          <w:trHeight w:val="176"/>
        </w:trPr>
        <w:tc>
          <w:tcPr>
            <w:tcW w:w="1280" w:type="dxa"/>
            <w:vAlign w:val="bottom"/>
          </w:tcPr>
          <w:p>
            <w:pPr>
              <w:spacing w:after="0"/>
              <w:rPr>
                <w:sz w:val="15"/>
                <w:szCs w:val="15"/>
                <w:color w:val="auto"/>
              </w:rPr>
            </w:pPr>
          </w:p>
        </w:tc>
        <w:tc>
          <w:tcPr>
            <w:tcW w:w="1560" w:type="dxa"/>
            <w:vAlign w:val="bottom"/>
          </w:tcPr>
          <w:p>
            <w:pPr>
              <w:ind w:left="640"/>
              <w:spacing w:after="0"/>
              <w:rPr>
                <w:sz w:val="20"/>
                <w:szCs w:val="20"/>
                <w:color w:val="auto"/>
              </w:rPr>
            </w:pPr>
            <w:r>
              <w:rPr>
                <w:rFonts w:ascii="Courier New" w:cs="Courier New" w:eastAsia="Courier New" w:hAnsi="Courier New"/>
                <w:sz w:val="15"/>
                <w:szCs w:val="15"/>
                <w:color w:val="auto"/>
              </w:rPr>
              <w:t>reference</w:t>
            </w:r>
          </w:p>
        </w:tc>
        <w:tc>
          <w:tcPr>
            <w:tcW w:w="11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to Exhibit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10.A to the</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registrant's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Form 10-K</w:t>
            </w:r>
          </w:p>
        </w:tc>
      </w:tr>
      <w:tr>
        <w:trPr>
          <w:trHeight w:val="176"/>
        </w:trPr>
        <w:tc>
          <w:tcPr>
            <w:tcW w:w="1280" w:type="dxa"/>
            <w:vAlign w:val="bottom"/>
          </w:tcPr>
          <w:p>
            <w:pPr>
              <w:spacing w:after="0"/>
              <w:rPr>
                <w:sz w:val="15"/>
                <w:szCs w:val="15"/>
                <w:color w:val="auto"/>
              </w:rPr>
            </w:pPr>
          </w:p>
        </w:tc>
        <w:tc>
          <w:tcPr>
            <w:tcW w:w="22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report for 1996.*</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3760" w:type="dxa"/>
            <w:vAlign w:val="bottom"/>
            <w:gridSpan w:val="6"/>
          </w:tcPr>
          <w:p>
            <w:pPr>
              <w:ind w:left="640"/>
              <w:spacing w:after="0"/>
              <w:rPr>
                <w:sz w:val="20"/>
                <w:szCs w:val="20"/>
                <w:color w:val="auto"/>
              </w:rPr>
            </w:pPr>
            <w:r>
              <w:rPr>
                <w:rFonts w:ascii="Courier New" w:cs="Courier New" w:eastAsia="Courier New" w:hAnsi="Courier New"/>
                <w:sz w:val="15"/>
                <w:szCs w:val="15"/>
                <w:color w:val="auto"/>
              </w:rPr>
              <w:t>1991 Employee Stock Option Plan.</w:t>
            </w: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Incorporated by reference</w:t>
            </w:r>
          </w:p>
        </w:tc>
      </w:tr>
      <w:tr>
        <w:trPr>
          <w:trHeight w:val="176"/>
        </w:trPr>
        <w:tc>
          <w:tcPr>
            <w:tcW w:w="1280" w:type="dxa"/>
            <w:vAlign w:val="bottom"/>
          </w:tcPr>
          <w:p>
            <w:pPr>
              <w:spacing w:after="0"/>
              <w:rPr>
                <w:sz w:val="15"/>
                <w:szCs w:val="15"/>
                <w:color w:val="auto"/>
              </w:rPr>
            </w:pPr>
          </w:p>
        </w:tc>
        <w:tc>
          <w:tcPr>
            <w:tcW w:w="1560" w:type="dxa"/>
            <w:vAlign w:val="bottom"/>
          </w:tcPr>
          <w:p>
            <w:pPr>
              <w:ind w:left="640"/>
              <w:spacing w:after="0"/>
              <w:rPr>
                <w:sz w:val="20"/>
                <w:szCs w:val="20"/>
                <w:color w:val="auto"/>
              </w:rPr>
            </w:pPr>
            <w:r>
              <w:rPr>
                <w:rFonts w:ascii="Courier New" w:cs="Courier New" w:eastAsia="Courier New" w:hAnsi="Courier New"/>
                <w:sz w:val="15"/>
                <w:szCs w:val="15"/>
                <w:color w:val="auto"/>
                <w:w w:val="99"/>
              </w:rPr>
              <w:t>to Exhibit</w:t>
            </w:r>
          </w:p>
        </w:tc>
        <w:tc>
          <w:tcPr>
            <w:tcW w:w="180" w:type="dxa"/>
            <w:vAlign w:val="bottom"/>
          </w:tcPr>
          <w:p>
            <w:pPr>
              <w:spacing w:after="0"/>
              <w:rPr>
                <w:sz w:val="15"/>
                <w:szCs w:val="15"/>
                <w:color w:val="auto"/>
              </w:rPr>
            </w:pPr>
          </w:p>
        </w:tc>
        <w:tc>
          <w:tcPr>
            <w:tcW w:w="238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10.B to the  registrant's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Form 10-K report for</w:t>
            </w:r>
          </w:p>
        </w:tc>
      </w:tr>
      <w:tr>
        <w:trPr>
          <w:trHeight w:val="176"/>
        </w:trPr>
        <w:tc>
          <w:tcPr>
            <w:tcW w:w="1280" w:type="dxa"/>
            <w:vAlign w:val="bottom"/>
          </w:tcPr>
          <w:p>
            <w:pPr>
              <w:spacing w:after="0"/>
              <w:rPr>
                <w:sz w:val="15"/>
                <w:szCs w:val="15"/>
                <w:color w:val="auto"/>
              </w:rPr>
            </w:pPr>
          </w:p>
        </w:tc>
        <w:tc>
          <w:tcPr>
            <w:tcW w:w="1560" w:type="dxa"/>
            <w:vAlign w:val="bottom"/>
          </w:tcPr>
          <w:p>
            <w:pPr>
              <w:ind w:left="640"/>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3240" w:type="dxa"/>
            <w:vAlign w:val="bottom"/>
            <w:gridSpan w:val="5"/>
          </w:tcPr>
          <w:p>
            <w:pPr>
              <w:ind w:left="640"/>
              <w:spacing w:after="0"/>
              <w:rPr>
                <w:sz w:val="20"/>
                <w:szCs w:val="20"/>
                <w:color w:val="auto"/>
              </w:rPr>
            </w:pPr>
            <w:r>
              <w:rPr>
                <w:rFonts w:ascii="Courier New" w:cs="Courier New" w:eastAsia="Courier New" w:hAnsi="Courier New"/>
                <w:sz w:val="15"/>
                <w:szCs w:val="15"/>
                <w:color w:val="auto"/>
              </w:rPr>
              <w:t>1992  Non-Employee  Director</w:t>
            </w:r>
          </w:p>
        </w:tc>
        <w:tc>
          <w:tcPr>
            <w:tcW w:w="2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Stock Option Plan and Related</w:t>
            </w:r>
          </w:p>
        </w:tc>
      </w:tr>
      <w:tr>
        <w:trPr>
          <w:trHeight w:val="176"/>
        </w:trPr>
        <w:tc>
          <w:tcPr>
            <w:tcW w:w="1280" w:type="dxa"/>
            <w:vAlign w:val="bottom"/>
          </w:tcPr>
          <w:p>
            <w:pPr>
              <w:spacing w:after="0"/>
              <w:rPr>
                <w:sz w:val="15"/>
                <w:szCs w:val="15"/>
                <w:color w:val="auto"/>
              </w:rPr>
            </w:pPr>
          </w:p>
        </w:tc>
        <w:tc>
          <w:tcPr>
            <w:tcW w:w="6040" w:type="dxa"/>
            <w:vAlign w:val="bottom"/>
            <w:gridSpan w:val="9"/>
          </w:tcPr>
          <w:p>
            <w:pPr>
              <w:ind w:left="640"/>
              <w:spacing w:after="0"/>
              <w:rPr>
                <w:sz w:val="20"/>
                <w:szCs w:val="20"/>
                <w:color w:val="auto"/>
              </w:rPr>
            </w:pPr>
            <w:r>
              <w:rPr>
                <w:rFonts w:ascii="Courier New" w:cs="Courier New" w:eastAsia="Courier New" w:hAnsi="Courier New"/>
                <w:sz w:val="15"/>
                <w:szCs w:val="15"/>
                <w:color w:val="auto"/>
              </w:rPr>
              <w:t>Form of Option Agreement as amended February 1, 1997.*</w:t>
            </w: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1740" w:type="dxa"/>
            <w:vAlign w:val="bottom"/>
            <w:gridSpan w:val="2"/>
          </w:tcPr>
          <w:p>
            <w:pPr>
              <w:ind w:left="640"/>
              <w:spacing w:after="0"/>
              <w:rPr>
                <w:sz w:val="20"/>
                <w:szCs w:val="20"/>
                <w:color w:val="auto"/>
              </w:rPr>
            </w:pPr>
            <w:r>
              <w:rPr>
                <w:rFonts w:ascii="Courier New" w:cs="Courier New" w:eastAsia="Courier New" w:hAnsi="Courier New"/>
                <w:sz w:val="15"/>
                <w:szCs w:val="15"/>
                <w:color w:val="auto"/>
                <w:w w:val="99"/>
              </w:rPr>
              <w:t>Non-Employee</w:t>
            </w:r>
          </w:p>
        </w:tc>
        <w:tc>
          <w:tcPr>
            <w:tcW w:w="15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Directors'</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Deferred</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Compensation   Plan</w:t>
            </w:r>
          </w:p>
        </w:tc>
      </w:tr>
      <w:tr>
        <w:trPr>
          <w:trHeight w:val="176"/>
        </w:trPr>
        <w:tc>
          <w:tcPr>
            <w:tcW w:w="1280" w:type="dxa"/>
            <w:vAlign w:val="bottom"/>
          </w:tcPr>
          <w:p>
            <w:pPr>
              <w:spacing w:after="0"/>
              <w:rPr>
                <w:sz w:val="15"/>
                <w:szCs w:val="15"/>
                <w:color w:val="auto"/>
              </w:rPr>
            </w:pPr>
          </w:p>
        </w:tc>
        <w:tc>
          <w:tcPr>
            <w:tcW w:w="3240" w:type="dxa"/>
            <w:vAlign w:val="bottom"/>
            <w:gridSpan w:val="5"/>
          </w:tcPr>
          <w:p>
            <w:pPr>
              <w:ind w:left="640"/>
              <w:spacing w:after="0"/>
              <w:rPr>
                <w:sz w:val="20"/>
                <w:szCs w:val="20"/>
                <w:color w:val="auto"/>
              </w:rPr>
            </w:pPr>
            <w:r>
              <w:rPr>
                <w:rFonts w:ascii="Courier New" w:cs="Courier New" w:eastAsia="Courier New" w:hAnsi="Courier New"/>
                <w:sz w:val="15"/>
                <w:szCs w:val="15"/>
                <w:color w:val="auto"/>
              </w:rPr>
              <w:t>effective July 1, 1997.*</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10.E(1)</w:t>
            </w:r>
          </w:p>
        </w:tc>
        <w:tc>
          <w:tcPr>
            <w:tcW w:w="22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The  registrant's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Key</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Employee</w:t>
            </w: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Restricted  Stock Plan as</w:t>
            </w:r>
          </w:p>
        </w:tc>
      </w:tr>
      <w:tr>
        <w:trPr>
          <w:trHeight w:val="176"/>
        </w:trPr>
        <w:tc>
          <w:tcPr>
            <w:tcW w:w="1280" w:type="dxa"/>
            <w:vAlign w:val="bottom"/>
          </w:tcPr>
          <w:p>
            <w:pPr>
              <w:spacing w:after="0"/>
              <w:rPr>
                <w:sz w:val="15"/>
                <w:szCs w:val="15"/>
                <w:color w:val="auto"/>
              </w:rPr>
            </w:pPr>
          </w:p>
        </w:tc>
        <w:tc>
          <w:tcPr>
            <w:tcW w:w="1560" w:type="dxa"/>
            <w:vAlign w:val="bottom"/>
          </w:tcPr>
          <w:p>
            <w:pPr>
              <w:ind w:left="640"/>
              <w:spacing w:after="0"/>
              <w:rPr>
                <w:sz w:val="20"/>
                <w:szCs w:val="20"/>
                <w:color w:val="auto"/>
              </w:rPr>
            </w:pPr>
            <w:r>
              <w:rPr>
                <w:rFonts w:ascii="Courier New" w:cs="Courier New" w:eastAsia="Courier New" w:hAnsi="Courier New"/>
                <w:sz w:val="15"/>
                <w:szCs w:val="15"/>
                <w:color w:val="auto"/>
              </w:rPr>
              <w:t>amended.</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Incorporated</w:t>
            </w:r>
          </w:p>
        </w:tc>
        <w:tc>
          <w:tcPr>
            <w:tcW w:w="24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by reference to Exhibit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10.E(1) to</w:t>
            </w:r>
          </w:p>
        </w:tc>
      </w:tr>
    </w:tbl>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registrant's Form 10-K report for 1996.*</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- 53 -</w:t>
      </w:r>
    </w:p>
    <w:p>
      <w:pPr>
        <w:sectPr>
          <w:pgSz w:w="11900" w:h="16838" w:orient="portrait"/>
          <w:cols w:equalWidth="0" w:num="1">
            <w:col w:w="10219"/>
          </w:cols>
          <w:pgMar w:left="240" w:top="647"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7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Description of Exhibit</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7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705"/>
        </w:trPr>
        <w:tc>
          <w:tcPr>
            <w:tcW w:w="1360" w:type="dxa"/>
            <w:vAlign w:val="bottom"/>
          </w:tcPr>
          <w:p>
            <w:pPr>
              <w:spacing w:after="0"/>
              <w:rPr>
                <w:sz w:val="20"/>
                <w:szCs w:val="20"/>
                <w:color w:val="auto"/>
              </w:rPr>
            </w:pPr>
            <w:r>
              <w:rPr>
                <w:rFonts w:ascii="Courier New" w:cs="Courier New" w:eastAsia="Courier New" w:hAnsi="Courier New"/>
                <w:sz w:val="15"/>
                <w:szCs w:val="15"/>
                <w:color w:val="auto"/>
              </w:rPr>
              <w:t>10.E(2)</w:t>
            </w:r>
          </w:p>
        </w:tc>
        <w:tc>
          <w:tcPr>
            <w:tcW w:w="1380" w:type="dxa"/>
            <w:vAlign w:val="bottom"/>
          </w:tcPr>
          <w:p>
            <w:pPr>
              <w:ind w:left="560"/>
              <w:spacing w:after="0"/>
              <w:rPr>
                <w:sz w:val="20"/>
                <w:szCs w:val="20"/>
                <w:color w:val="auto"/>
              </w:rPr>
            </w:pPr>
            <w:r>
              <w:rPr>
                <w:rFonts w:ascii="Courier New" w:cs="Courier New" w:eastAsia="Courier New" w:hAnsi="Courier New"/>
                <w:sz w:val="15"/>
                <w:szCs w:val="15"/>
                <w:color w:val="auto"/>
              </w:rPr>
              <w:t>Form of</w:t>
            </w:r>
          </w:p>
        </w:tc>
        <w:tc>
          <w:tcPr>
            <w:tcW w:w="2300" w:type="dxa"/>
            <w:vAlign w:val="bottom"/>
            <w:gridSpan w:val="3"/>
          </w:tcPr>
          <w:p>
            <w:pPr>
              <w:spacing w:after="0"/>
              <w:rPr>
                <w:sz w:val="20"/>
                <w:szCs w:val="20"/>
                <w:color w:val="auto"/>
              </w:rPr>
            </w:pPr>
            <w:r>
              <w:rPr>
                <w:rFonts w:ascii="Courier New" w:cs="Courier New" w:eastAsia="Courier New" w:hAnsi="Courier New"/>
                <w:sz w:val="15"/>
                <w:szCs w:val="15"/>
                <w:color w:val="auto"/>
              </w:rPr>
              <w:t>Restricted  Stock Award</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Agreement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under  Exhibit</w:t>
            </w:r>
          </w:p>
        </w:tc>
      </w:tr>
      <w:tr>
        <w:trPr>
          <w:trHeight w:val="176"/>
        </w:trPr>
        <w:tc>
          <w:tcPr>
            <w:tcW w:w="1360" w:type="dxa"/>
            <w:vAlign w:val="bottom"/>
          </w:tcPr>
          <w:p>
            <w:pPr>
              <w:spacing w:after="0"/>
              <w:rPr>
                <w:sz w:val="15"/>
                <w:szCs w:val="15"/>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5"/>
                <w:szCs w:val="15"/>
                <w:color w:val="auto"/>
              </w:rPr>
              <w:t>10.E(1).</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Incorporated</w:t>
            </w: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by reference to Exhibit  10.H(2) to</w:t>
            </w:r>
          </w:p>
        </w:tc>
      </w:tr>
      <w:tr>
        <w:trPr>
          <w:trHeight w:val="176"/>
        </w:trPr>
        <w:tc>
          <w:tcPr>
            <w:tcW w:w="1360" w:type="dxa"/>
            <w:vAlign w:val="bottom"/>
          </w:tcPr>
          <w:p>
            <w:pPr>
              <w:spacing w:after="0"/>
              <w:rPr>
                <w:sz w:val="15"/>
                <w:szCs w:val="15"/>
                <w:color w:val="auto"/>
              </w:rPr>
            </w:pPr>
          </w:p>
        </w:tc>
        <w:tc>
          <w:tcPr>
            <w:tcW w:w="4580" w:type="dxa"/>
            <w:vAlign w:val="bottom"/>
            <w:gridSpan w:val="5"/>
          </w:tcPr>
          <w:p>
            <w:pPr>
              <w:ind w:left="560"/>
              <w:spacing w:after="0"/>
              <w:rPr>
                <w:sz w:val="20"/>
                <w:szCs w:val="20"/>
                <w:color w:val="auto"/>
              </w:rPr>
            </w:pPr>
            <w:r>
              <w:rPr>
                <w:rFonts w:ascii="Courier New" w:cs="Courier New" w:eastAsia="Courier New" w:hAnsi="Courier New"/>
                <w:sz w:val="15"/>
                <w:szCs w:val="15"/>
                <w:color w:val="auto"/>
              </w:rPr>
              <w:t>the registrant's Form 10-K report for 1992.*</w:t>
            </w:r>
          </w:p>
        </w:tc>
        <w:tc>
          <w:tcPr>
            <w:tcW w:w="1380" w:type="dxa"/>
            <w:vAlign w:val="bottom"/>
          </w:tcPr>
          <w:p>
            <w:pPr>
              <w:spacing w:after="0"/>
              <w:rPr>
                <w:sz w:val="15"/>
                <w:szCs w:val="15"/>
                <w:color w:val="auto"/>
              </w:rPr>
            </w:pP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10.F(1)</w:t>
            </w:r>
          </w:p>
        </w:tc>
        <w:tc>
          <w:tcPr>
            <w:tcW w:w="3680" w:type="dxa"/>
            <w:vAlign w:val="bottom"/>
            <w:gridSpan w:val="4"/>
          </w:tcPr>
          <w:p>
            <w:pPr>
              <w:ind w:left="560"/>
              <w:spacing w:after="0"/>
              <w:rPr>
                <w:sz w:val="20"/>
                <w:szCs w:val="20"/>
                <w:color w:val="auto"/>
              </w:rPr>
            </w:pPr>
            <w:r>
              <w:rPr>
                <w:rFonts w:ascii="Courier New" w:cs="Courier New" w:eastAsia="Courier New" w:hAnsi="Courier New"/>
                <w:sz w:val="15"/>
                <w:szCs w:val="15"/>
                <w:color w:val="auto"/>
              </w:rPr>
              <w:t>1997 Incentive Stock Award Plan.</w:t>
            </w: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Incorporated by reference</w:t>
            </w:r>
          </w:p>
        </w:tc>
      </w:tr>
      <w:tr>
        <w:trPr>
          <w:trHeight w:val="176"/>
        </w:trPr>
        <w:tc>
          <w:tcPr>
            <w:tcW w:w="1360" w:type="dxa"/>
            <w:vAlign w:val="bottom"/>
          </w:tcPr>
          <w:p>
            <w:pPr>
              <w:spacing w:after="0"/>
              <w:rPr>
                <w:sz w:val="15"/>
                <w:szCs w:val="15"/>
                <w:color w:val="auto"/>
              </w:rPr>
            </w:pPr>
          </w:p>
        </w:tc>
        <w:tc>
          <w:tcPr>
            <w:tcW w:w="3680" w:type="dxa"/>
            <w:vAlign w:val="bottom"/>
            <w:gridSpan w:val="4"/>
          </w:tcPr>
          <w:p>
            <w:pPr>
              <w:ind w:left="560"/>
              <w:spacing w:after="0"/>
              <w:rPr>
                <w:sz w:val="20"/>
                <w:szCs w:val="20"/>
                <w:color w:val="auto"/>
              </w:rPr>
            </w:pPr>
            <w:r>
              <w:rPr>
                <w:rFonts w:ascii="Courier New" w:cs="Courier New" w:eastAsia="Courier New" w:hAnsi="Courier New"/>
                <w:sz w:val="15"/>
                <w:szCs w:val="15"/>
                <w:color w:val="auto"/>
              </w:rPr>
              <w:t>to Exhibit 10 to the registrant's</w:t>
            </w: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Form 10-Q report for the</w:t>
            </w:r>
          </w:p>
        </w:tc>
      </w:tr>
      <w:tr>
        <w:trPr>
          <w:trHeight w:val="176"/>
        </w:trPr>
        <w:tc>
          <w:tcPr>
            <w:tcW w:w="1360" w:type="dxa"/>
            <w:vAlign w:val="bottom"/>
          </w:tcPr>
          <w:p>
            <w:pPr>
              <w:spacing w:after="0"/>
              <w:rPr>
                <w:sz w:val="15"/>
                <w:szCs w:val="15"/>
                <w:color w:val="auto"/>
              </w:rPr>
            </w:pPr>
          </w:p>
        </w:tc>
        <w:tc>
          <w:tcPr>
            <w:tcW w:w="32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quarter ended June 30, 1997.*</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10.F(2)</w:t>
            </w:r>
          </w:p>
        </w:tc>
        <w:tc>
          <w:tcPr>
            <w:tcW w:w="32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Form of Award  Agreements for</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Non-Qualified</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Stock Options</w:t>
            </w:r>
          </w:p>
        </w:tc>
      </w:tr>
      <w:tr>
        <w:trPr>
          <w:trHeight w:val="176"/>
        </w:trPr>
        <w:tc>
          <w:tcPr>
            <w:tcW w:w="1360" w:type="dxa"/>
            <w:vAlign w:val="bottom"/>
          </w:tcPr>
          <w:p>
            <w:pPr>
              <w:spacing w:after="0"/>
              <w:rPr>
                <w:sz w:val="15"/>
                <w:szCs w:val="15"/>
                <w:color w:val="auto"/>
              </w:rPr>
            </w:pPr>
          </w:p>
        </w:tc>
        <w:tc>
          <w:tcPr>
            <w:tcW w:w="3680" w:type="dxa"/>
            <w:vAlign w:val="bottom"/>
            <w:gridSpan w:val="4"/>
          </w:tcPr>
          <w:p>
            <w:pPr>
              <w:ind w:left="560"/>
              <w:spacing w:after="0"/>
              <w:rPr>
                <w:sz w:val="20"/>
                <w:szCs w:val="20"/>
                <w:color w:val="auto"/>
              </w:rPr>
            </w:pPr>
            <w:r>
              <w:rPr>
                <w:rFonts w:ascii="Courier New" w:cs="Courier New" w:eastAsia="Courier New" w:hAnsi="Courier New"/>
                <w:sz w:val="15"/>
                <w:szCs w:val="15"/>
                <w:color w:val="auto"/>
              </w:rPr>
              <w:t>and  Performance  Shares under the</w:t>
            </w: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Louisiana-Pacific  1997</w:t>
            </w:r>
          </w:p>
        </w:tc>
      </w:tr>
      <w:tr>
        <w:trPr>
          <w:trHeight w:val="176"/>
        </w:trPr>
        <w:tc>
          <w:tcPr>
            <w:tcW w:w="1360" w:type="dxa"/>
            <w:vAlign w:val="bottom"/>
          </w:tcPr>
          <w:p>
            <w:pPr>
              <w:spacing w:after="0"/>
              <w:rPr>
                <w:sz w:val="15"/>
                <w:szCs w:val="15"/>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5"/>
                <w:szCs w:val="15"/>
                <w:color w:val="auto"/>
                <w:w w:val="98"/>
              </w:rPr>
              <w:t>Incentive</w:t>
            </w:r>
          </w:p>
        </w:tc>
        <w:tc>
          <w:tcPr>
            <w:tcW w:w="1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Award Plan.</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Incorporated</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by reference to</w:t>
            </w:r>
          </w:p>
        </w:tc>
      </w:tr>
      <w:tr>
        <w:trPr>
          <w:trHeight w:val="176"/>
        </w:trPr>
        <w:tc>
          <w:tcPr>
            <w:tcW w:w="1360" w:type="dxa"/>
            <w:vAlign w:val="bottom"/>
          </w:tcPr>
          <w:p>
            <w:pPr>
              <w:spacing w:after="0"/>
              <w:rPr>
                <w:sz w:val="15"/>
                <w:szCs w:val="15"/>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5"/>
                <w:szCs w:val="15"/>
                <w:color w:val="auto"/>
              </w:rPr>
              <w:t>Exhibit</w:t>
            </w: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10.F(2) to the</w:t>
            </w: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registrant's  Form 10-K report for</w:t>
            </w:r>
          </w:p>
        </w:tc>
      </w:tr>
      <w:tr>
        <w:trPr>
          <w:trHeight w:val="176"/>
        </w:trPr>
        <w:tc>
          <w:tcPr>
            <w:tcW w:w="1360" w:type="dxa"/>
            <w:vAlign w:val="bottom"/>
          </w:tcPr>
          <w:p>
            <w:pPr>
              <w:spacing w:after="0"/>
              <w:rPr>
                <w:sz w:val="15"/>
                <w:szCs w:val="15"/>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2800" w:type="dxa"/>
            <w:vAlign w:val="bottom"/>
            <w:gridSpan w:val="5"/>
          </w:tcPr>
          <w:p>
            <w:pPr>
              <w:ind w:left="860"/>
              <w:spacing w:after="0"/>
              <w:rPr>
                <w:sz w:val="20"/>
                <w:szCs w:val="20"/>
                <w:color w:val="auto"/>
              </w:rPr>
            </w:pPr>
            <w:r>
              <w:rPr>
                <w:rFonts w:ascii="Courier New" w:cs="Courier New" w:eastAsia="Courier New" w:hAnsi="Courier New"/>
                <w:sz w:val="15"/>
                <w:szCs w:val="15"/>
                <w:color w:val="auto"/>
              </w:rPr>
              <w:t>Annual Cash Incentive</w:t>
            </w:r>
          </w:p>
        </w:tc>
        <w:tc>
          <w:tcPr>
            <w:tcW w:w="33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Award Plan effective March 1, 1997.</w:t>
            </w:r>
          </w:p>
        </w:tc>
      </w:tr>
      <w:tr>
        <w:trPr>
          <w:trHeight w:val="176"/>
        </w:trPr>
        <w:tc>
          <w:tcPr>
            <w:tcW w:w="1140" w:type="dxa"/>
            <w:vAlign w:val="bottom"/>
          </w:tcPr>
          <w:p>
            <w:pPr>
              <w:spacing w:after="0"/>
              <w:rPr>
                <w:sz w:val="15"/>
                <w:szCs w:val="15"/>
                <w:color w:val="auto"/>
              </w:rPr>
            </w:pPr>
          </w:p>
        </w:tc>
        <w:tc>
          <w:tcPr>
            <w:tcW w:w="618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Incorporated  by  reference  to  Exhibit  10.F(3)  to  the</w:t>
            </w:r>
          </w:p>
        </w:tc>
      </w:tr>
      <w:tr>
        <w:trPr>
          <w:trHeight w:val="176"/>
        </w:trPr>
        <w:tc>
          <w:tcPr>
            <w:tcW w:w="1140" w:type="dxa"/>
            <w:vAlign w:val="bottom"/>
          </w:tcPr>
          <w:p>
            <w:pPr>
              <w:spacing w:after="0"/>
              <w:rPr>
                <w:sz w:val="15"/>
                <w:szCs w:val="15"/>
                <w:color w:val="auto"/>
              </w:rPr>
            </w:pPr>
          </w:p>
        </w:tc>
        <w:tc>
          <w:tcPr>
            <w:tcW w:w="4540" w:type="dxa"/>
            <w:vAlign w:val="bottom"/>
            <w:gridSpan w:val="8"/>
          </w:tcPr>
          <w:p>
            <w:pPr>
              <w:ind w:left="860"/>
              <w:spacing w:after="0"/>
              <w:rPr>
                <w:sz w:val="20"/>
                <w:szCs w:val="20"/>
                <w:color w:val="auto"/>
              </w:rPr>
            </w:pPr>
            <w:r>
              <w:rPr>
                <w:rFonts w:ascii="Courier New" w:cs="Courier New" w:eastAsia="Courier New" w:hAnsi="Courier New"/>
                <w:sz w:val="15"/>
                <w:szCs w:val="15"/>
                <w:color w:val="auto"/>
              </w:rPr>
              <w:t>registrant's Form 10-K report for 1996.*</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6180" w:type="dxa"/>
            <w:vAlign w:val="bottom"/>
            <w:gridSpan w:val="13"/>
          </w:tcPr>
          <w:p>
            <w:pPr>
              <w:ind w:left="780"/>
              <w:spacing w:after="0"/>
              <w:rPr>
                <w:sz w:val="20"/>
                <w:szCs w:val="20"/>
                <w:color w:val="auto"/>
              </w:rPr>
            </w:pPr>
            <w:r>
              <w:rPr>
                <w:rFonts w:ascii="Courier New" w:cs="Courier New" w:eastAsia="Courier New" w:hAnsi="Courier New"/>
                <w:sz w:val="15"/>
                <w:szCs w:val="15"/>
                <w:color w:val="auto"/>
              </w:rPr>
              <w:t>The  registrant's  Supplemental  Executive  Retirement Plan</w:t>
            </w:r>
          </w:p>
        </w:tc>
      </w:tr>
      <w:tr>
        <w:trPr>
          <w:trHeight w:val="176"/>
        </w:trPr>
        <w:tc>
          <w:tcPr>
            <w:tcW w:w="1140" w:type="dxa"/>
            <w:vAlign w:val="bottom"/>
          </w:tcPr>
          <w:p>
            <w:pPr>
              <w:spacing w:after="0"/>
              <w:rPr>
                <w:sz w:val="15"/>
                <w:szCs w:val="15"/>
                <w:color w:val="auto"/>
              </w:rPr>
            </w:pPr>
          </w:p>
        </w:tc>
        <w:tc>
          <w:tcPr>
            <w:tcW w:w="3480" w:type="dxa"/>
            <w:vAlign w:val="bottom"/>
            <w:gridSpan w:val="6"/>
          </w:tcPr>
          <w:p>
            <w:pPr>
              <w:ind w:left="780"/>
              <w:spacing w:after="0"/>
              <w:rPr>
                <w:sz w:val="20"/>
                <w:szCs w:val="20"/>
                <w:color w:val="auto"/>
              </w:rPr>
            </w:pPr>
            <w:r>
              <w:rPr>
                <w:rFonts w:ascii="Courier New" w:cs="Courier New" w:eastAsia="Courier New" w:hAnsi="Courier New"/>
                <w:sz w:val="15"/>
                <w:szCs w:val="15"/>
                <w:color w:val="auto"/>
              </w:rPr>
              <w:t>effective July 1, 1997.*</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10.I</w:t>
            </w:r>
          </w:p>
        </w:tc>
        <w:tc>
          <w:tcPr>
            <w:tcW w:w="18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Employment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Agreement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between the</w:t>
            </w:r>
          </w:p>
        </w:tc>
        <w:tc>
          <w:tcPr>
            <w:tcW w:w="11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registrant</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and Mark A.</w:t>
            </w:r>
          </w:p>
        </w:tc>
      </w:tr>
      <w:tr>
        <w:trPr>
          <w:trHeight w:val="176"/>
        </w:trPr>
        <w:tc>
          <w:tcPr>
            <w:tcW w:w="1140" w:type="dxa"/>
            <w:vAlign w:val="bottom"/>
          </w:tcPr>
          <w:p>
            <w:pPr>
              <w:spacing w:after="0"/>
              <w:rPr>
                <w:sz w:val="15"/>
                <w:szCs w:val="15"/>
                <w:color w:val="auto"/>
              </w:rPr>
            </w:pPr>
          </w:p>
        </w:tc>
        <w:tc>
          <w:tcPr>
            <w:tcW w:w="3480" w:type="dxa"/>
            <w:vAlign w:val="bottom"/>
            <w:gridSpan w:val="6"/>
          </w:tcPr>
          <w:p>
            <w:pPr>
              <w:ind w:left="780"/>
              <w:spacing w:after="0"/>
              <w:rPr>
                <w:sz w:val="20"/>
                <w:szCs w:val="20"/>
                <w:color w:val="auto"/>
              </w:rPr>
            </w:pPr>
            <w:r>
              <w:rPr>
                <w:rFonts w:ascii="Courier New" w:cs="Courier New" w:eastAsia="Courier New" w:hAnsi="Courier New"/>
                <w:sz w:val="15"/>
                <w:szCs w:val="15"/>
                <w:color w:val="auto"/>
              </w:rPr>
              <w:t>Suwyn dated January 2, 1996.</w:t>
            </w:r>
          </w:p>
        </w:tc>
        <w:tc>
          <w:tcPr>
            <w:tcW w:w="12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Incorporated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by reference to</w:t>
            </w:r>
          </w:p>
        </w:tc>
      </w:tr>
      <w:tr>
        <w:trPr>
          <w:trHeight w:val="176"/>
        </w:trPr>
        <w:tc>
          <w:tcPr>
            <w:tcW w:w="1140" w:type="dxa"/>
            <w:vAlign w:val="bottom"/>
          </w:tcPr>
          <w:p>
            <w:pPr>
              <w:spacing w:after="0"/>
              <w:rPr>
                <w:sz w:val="15"/>
                <w:szCs w:val="15"/>
                <w:color w:val="auto"/>
              </w:rPr>
            </w:pPr>
          </w:p>
        </w:tc>
        <w:tc>
          <w:tcPr>
            <w:tcW w:w="1460" w:type="dxa"/>
            <w:vAlign w:val="bottom"/>
          </w:tcPr>
          <w:p>
            <w:pPr>
              <w:ind w:left="780"/>
              <w:spacing w:after="0"/>
              <w:rPr>
                <w:sz w:val="20"/>
                <w:szCs w:val="20"/>
                <w:color w:val="auto"/>
              </w:rPr>
            </w:pPr>
            <w:r>
              <w:rPr>
                <w:rFonts w:ascii="Courier New" w:cs="Courier New" w:eastAsia="Courier New" w:hAnsi="Courier New"/>
                <w:sz w:val="15"/>
                <w:szCs w:val="15"/>
                <w:color w:val="auto"/>
              </w:rPr>
              <w:t>Exhibit</w:t>
            </w:r>
          </w:p>
        </w:tc>
        <w:tc>
          <w:tcPr>
            <w:tcW w:w="14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5"/>
                <w:szCs w:val="15"/>
                <w:color w:val="auto"/>
              </w:rPr>
              <w:t>10.L to the</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registrant's</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Form</w:t>
            </w:r>
          </w:p>
        </w:tc>
        <w:tc>
          <w:tcPr>
            <w:tcW w:w="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10-K</w:t>
            </w:r>
          </w:p>
        </w:tc>
        <w:tc>
          <w:tcPr>
            <w:tcW w:w="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report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r>
      <w:tr>
        <w:trPr>
          <w:trHeight w:val="176"/>
        </w:trPr>
        <w:tc>
          <w:tcPr>
            <w:tcW w:w="1140" w:type="dxa"/>
            <w:vAlign w:val="bottom"/>
          </w:tcPr>
          <w:p>
            <w:pPr>
              <w:spacing w:after="0"/>
              <w:rPr>
                <w:sz w:val="15"/>
                <w:szCs w:val="15"/>
                <w:color w:val="auto"/>
              </w:rPr>
            </w:pPr>
          </w:p>
        </w:tc>
        <w:tc>
          <w:tcPr>
            <w:tcW w:w="1460" w:type="dxa"/>
            <w:vAlign w:val="bottom"/>
          </w:tcPr>
          <w:p>
            <w:pPr>
              <w:ind w:left="780"/>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10.J</w:t>
            </w:r>
          </w:p>
        </w:tc>
        <w:tc>
          <w:tcPr>
            <w:tcW w:w="6180" w:type="dxa"/>
            <w:vAlign w:val="bottom"/>
            <w:gridSpan w:val="13"/>
          </w:tcPr>
          <w:p>
            <w:pPr>
              <w:ind w:left="780"/>
              <w:spacing w:after="0"/>
              <w:rPr>
                <w:sz w:val="20"/>
                <w:szCs w:val="20"/>
                <w:color w:val="auto"/>
              </w:rPr>
            </w:pPr>
            <w:r>
              <w:rPr>
                <w:rFonts w:ascii="Courier New" w:cs="Courier New" w:eastAsia="Courier New" w:hAnsi="Courier New"/>
                <w:sz w:val="15"/>
                <w:szCs w:val="15"/>
                <w:color w:val="auto"/>
              </w:rPr>
              <w:t>Restricted Stock Award Agreement between the registrant and</w:t>
            </w:r>
          </w:p>
        </w:tc>
      </w:tr>
      <w:tr>
        <w:trPr>
          <w:trHeight w:val="176"/>
        </w:trPr>
        <w:tc>
          <w:tcPr>
            <w:tcW w:w="1140" w:type="dxa"/>
            <w:vAlign w:val="bottom"/>
          </w:tcPr>
          <w:p>
            <w:pPr>
              <w:spacing w:after="0"/>
              <w:rPr>
                <w:sz w:val="15"/>
                <w:szCs w:val="15"/>
                <w:color w:val="auto"/>
              </w:rPr>
            </w:pPr>
          </w:p>
        </w:tc>
        <w:tc>
          <w:tcPr>
            <w:tcW w:w="4540" w:type="dxa"/>
            <w:vAlign w:val="bottom"/>
            <w:gridSpan w:val="8"/>
          </w:tcPr>
          <w:p>
            <w:pPr>
              <w:ind w:left="780"/>
              <w:spacing w:after="0"/>
              <w:rPr>
                <w:sz w:val="20"/>
                <w:szCs w:val="20"/>
                <w:color w:val="auto"/>
              </w:rPr>
            </w:pPr>
            <w:r>
              <w:rPr>
                <w:rFonts w:ascii="Courier New" w:cs="Courier New" w:eastAsia="Courier New" w:hAnsi="Courier New"/>
                <w:sz w:val="15"/>
                <w:szCs w:val="15"/>
                <w:color w:val="auto"/>
              </w:rPr>
              <w:t>Mark A. Suwyn dated January 31, 1996.*</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10.K</w:t>
            </w:r>
          </w:p>
        </w:tc>
        <w:tc>
          <w:tcPr>
            <w:tcW w:w="160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8"/>
              </w:rPr>
              <w:t>1997 Cash</w:t>
            </w:r>
          </w:p>
        </w:tc>
        <w:tc>
          <w:tcPr>
            <w:tcW w:w="12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Incentive</w:t>
            </w:r>
          </w:p>
        </w:tc>
        <w:tc>
          <w:tcPr>
            <w:tcW w:w="33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Award for Mark A. Suwyn adopted March</w:t>
            </w:r>
          </w:p>
        </w:tc>
      </w:tr>
      <w:tr>
        <w:trPr>
          <w:trHeight w:val="176"/>
        </w:trPr>
        <w:tc>
          <w:tcPr>
            <w:tcW w:w="1140" w:type="dxa"/>
            <w:vAlign w:val="bottom"/>
          </w:tcPr>
          <w:p>
            <w:pPr>
              <w:spacing w:after="0"/>
              <w:rPr>
                <w:sz w:val="15"/>
                <w:szCs w:val="15"/>
                <w:color w:val="auto"/>
              </w:rPr>
            </w:pPr>
          </w:p>
        </w:tc>
        <w:tc>
          <w:tcPr>
            <w:tcW w:w="6180" w:type="dxa"/>
            <w:vAlign w:val="bottom"/>
            <w:gridSpan w:val="13"/>
          </w:tcPr>
          <w:p>
            <w:pPr>
              <w:ind w:left="780"/>
              <w:spacing w:after="0"/>
              <w:rPr>
                <w:sz w:val="20"/>
                <w:szCs w:val="20"/>
                <w:color w:val="auto"/>
              </w:rPr>
            </w:pPr>
            <w:r>
              <w:rPr>
                <w:rFonts w:ascii="Courier New" w:cs="Courier New" w:eastAsia="Courier New" w:hAnsi="Courier New"/>
                <w:sz w:val="15"/>
                <w:szCs w:val="15"/>
                <w:color w:val="auto"/>
              </w:rPr>
              <w:t>11, 1997.  Incorporated by reference to Exhibit 10.K to the</w:t>
            </w:r>
          </w:p>
        </w:tc>
      </w:tr>
      <w:tr>
        <w:trPr>
          <w:trHeight w:val="176"/>
        </w:trPr>
        <w:tc>
          <w:tcPr>
            <w:tcW w:w="1140" w:type="dxa"/>
            <w:vAlign w:val="bottom"/>
          </w:tcPr>
          <w:p>
            <w:pPr>
              <w:spacing w:after="0"/>
              <w:rPr>
                <w:sz w:val="15"/>
                <w:szCs w:val="15"/>
                <w:color w:val="auto"/>
              </w:rPr>
            </w:pPr>
          </w:p>
        </w:tc>
        <w:tc>
          <w:tcPr>
            <w:tcW w:w="4540" w:type="dxa"/>
            <w:vAlign w:val="bottom"/>
            <w:gridSpan w:val="8"/>
          </w:tcPr>
          <w:p>
            <w:pPr>
              <w:ind w:left="780"/>
              <w:spacing w:after="0"/>
              <w:rPr>
                <w:sz w:val="20"/>
                <w:szCs w:val="20"/>
                <w:color w:val="auto"/>
              </w:rPr>
            </w:pPr>
            <w:r>
              <w:rPr>
                <w:rFonts w:ascii="Courier New" w:cs="Courier New" w:eastAsia="Courier New" w:hAnsi="Courier New"/>
                <w:sz w:val="15"/>
                <w:szCs w:val="15"/>
                <w:color w:val="auto"/>
              </w:rPr>
              <w:t>registrant's Form 10-K report for 1996.*</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10.L</w:t>
            </w:r>
          </w:p>
        </w:tc>
        <w:tc>
          <w:tcPr>
            <w:tcW w:w="1460" w:type="dxa"/>
            <w:vAlign w:val="bottom"/>
          </w:tcPr>
          <w:p>
            <w:pPr>
              <w:ind w:left="780"/>
              <w:spacing w:after="0"/>
              <w:rPr>
                <w:sz w:val="20"/>
                <w:szCs w:val="20"/>
                <w:color w:val="auto"/>
              </w:rPr>
            </w:pPr>
            <w:r>
              <w:rPr>
                <w:rFonts w:ascii="Courier New" w:cs="Courier New" w:eastAsia="Courier New" w:hAnsi="Courier New"/>
                <w:sz w:val="15"/>
                <w:szCs w:val="15"/>
                <w:color w:val="auto"/>
              </w:rPr>
              <w:t>Letter</w:t>
            </w:r>
          </w:p>
        </w:tc>
        <w:tc>
          <w:tcPr>
            <w:tcW w:w="10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agreement</w:t>
            </w:r>
          </w:p>
        </w:tc>
        <w:tc>
          <w:tcPr>
            <w:tcW w:w="14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dated April 19,</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1996,</w:t>
            </w:r>
          </w:p>
        </w:tc>
        <w:tc>
          <w:tcPr>
            <w:tcW w:w="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with</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Michael D.</w:t>
            </w:r>
          </w:p>
        </w:tc>
      </w:tr>
      <w:tr>
        <w:trPr>
          <w:trHeight w:val="176"/>
        </w:trPr>
        <w:tc>
          <w:tcPr>
            <w:tcW w:w="1140" w:type="dxa"/>
            <w:vAlign w:val="bottom"/>
          </w:tcPr>
          <w:p>
            <w:pPr>
              <w:spacing w:after="0"/>
              <w:rPr>
                <w:sz w:val="15"/>
                <w:szCs w:val="15"/>
                <w:color w:val="auto"/>
              </w:rPr>
            </w:pPr>
          </w:p>
        </w:tc>
        <w:tc>
          <w:tcPr>
            <w:tcW w:w="4720" w:type="dxa"/>
            <w:vAlign w:val="bottom"/>
            <w:gridSpan w:val="9"/>
          </w:tcPr>
          <w:p>
            <w:pPr>
              <w:ind w:left="780"/>
              <w:spacing w:after="0"/>
              <w:rPr>
                <w:sz w:val="20"/>
                <w:szCs w:val="20"/>
                <w:color w:val="auto"/>
              </w:rPr>
            </w:pPr>
            <w:r>
              <w:rPr>
                <w:rFonts w:ascii="Courier New" w:cs="Courier New" w:eastAsia="Courier New" w:hAnsi="Courier New"/>
                <w:sz w:val="15"/>
                <w:szCs w:val="15"/>
                <w:color w:val="auto"/>
              </w:rPr>
              <w:t>Hanna, with respect to attached employment</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agreement dated</w:t>
            </w:r>
          </w:p>
        </w:tc>
      </w:tr>
      <w:tr>
        <w:trPr>
          <w:trHeight w:val="176"/>
        </w:trPr>
        <w:tc>
          <w:tcPr>
            <w:tcW w:w="1140" w:type="dxa"/>
            <w:vAlign w:val="bottom"/>
          </w:tcPr>
          <w:p>
            <w:pPr>
              <w:spacing w:after="0"/>
              <w:rPr>
                <w:sz w:val="15"/>
                <w:szCs w:val="15"/>
                <w:color w:val="auto"/>
              </w:rPr>
            </w:pPr>
          </w:p>
        </w:tc>
        <w:tc>
          <w:tcPr>
            <w:tcW w:w="1460" w:type="dxa"/>
            <w:vAlign w:val="bottom"/>
          </w:tcPr>
          <w:p>
            <w:pPr>
              <w:ind w:left="780"/>
              <w:spacing w:after="0"/>
              <w:rPr>
                <w:sz w:val="20"/>
                <w:szCs w:val="20"/>
                <w:color w:val="auto"/>
              </w:rPr>
            </w:pPr>
            <w:r>
              <w:rPr>
                <w:rFonts w:ascii="Courier New" w:cs="Courier New" w:eastAsia="Courier New" w:hAnsi="Courier New"/>
                <w:sz w:val="15"/>
                <w:szCs w:val="15"/>
                <w:color w:val="auto"/>
              </w:rPr>
              <w:t>January</w:t>
            </w:r>
          </w:p>
        </w:tc>
        <w:tc>
          <w:tcPr>
            <w:tcW w:w="14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15,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between</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Mr.</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Hanna</w:t>
            </w:r>
          </w:p>
        </w:tc>
        <w:tc>
          <w:tcPr>
            <w:tcW w:w="18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Associated</w:t>
            </w:r>
          </w:p>
        </w:tc>
      </w:tr>
      <w:tr>
        <w:trPr>
          <w:trHeight w:val="176"/>
        </w:trPr>
        <w:tc>
          <w:tcPr>
            <w:tcW w:w="1140" w:type="dxa"/>
            <w:vAlign w:val="bottom"/>
          </w:tcPr>
          <w:p>
            <w:pPr>
              <w:spacing w:after="0"/>
              <w:rPr>
                <w:sz w:val="15"/>
                <w:szCs w:val="15"/>
                <w:color w:val="auto"/>
              </w:rPr>
            </w:pPr>
          </w:p>
        </w:tc>
        <w:tc>
          <w:tcPr>
            <w:tcW w:w="6180" w:type="dxa"/>
            <w:vAlign w:val="bottom"/>
            <w:gridSpan w:val="13"/>
          </w:tcPr>
          <w:p>
            <w:pPr>
              <w:ind w:left="780"/>
              <w:spacing w:after="0"/>
              <w:rPr>
                <w:sz w:val="20"/>
                <w:szCs w:val="20"/>
                <w:color w:val="auto"/>
              </w:rPr>
            </w:pPr>
            <w:r>
              <w:rPr>
                <w:rFonts w:ascii="Courier New" w:cs="Courier New" w:eastAsia="Courier New" w:hAnsi="Courier New"/>
                <w:sz w:val="15"/>
                <w:szCs w:val="15"/>
                <w:color w:val="auto"/>
              </w:rPr>
              <w:t>Chemists, Inc. Incorporated by reference to Exhibit 10.L to</w:t>
            </w:r>
          </w:p>
        </w:tc>
      </w:tr>
      <w:tr>
        <w:trPr>
          <w:trHeight w:val="176"/>
        </w:trPr>
        <w:tc>
          <w:tcPr>
            <w:tcW w:w="1140" w:type="dxa"/>
            <w:vAlign w:val="bottom"/>
          </w:tcPr>
          <w:p>
            <w:pPr>
              <w:spacing w:after="0"/>
              <w:rPr>
                <w:sz w:val="15"/>
                <w:szCs w:val="15"/>
                <w:color w:val="auto"/>
              </w:rPr>
            </w:pPr>
          </w:p>
        </w:tc>
        <w:tc>
          <w:tcPr>
            <w:tcW w:w="5120" w:type="dxa"/>
            <w:vAlign w:val="bottom"/>
            <w:gridSpan w:val="10"/>
          </w:tcPr>
          <w:p>
            <w:pPr>
              <w:ind w:left="780"/>
              <w:spacing w:after="0"/>
              <w:rPr>
                <w:sz w:val="20"/>
                <w:szCs w:val="20"/>
                <w:color w:val="auto"/>
              </w:rPr>
            </w:pPr>
            <w:r>
              <w:rPr>
                <w:rFonts w:ascii="Courier New" w:cs="Courier New" w:eastAsia="Courier New" w:hAnsi="Courier New"/>
                <w:sz w:val="15"/>
                <w:szCs w:val="15"/>
                <w:color w:val="auto"/>
              </w:rPr>
              <w:t>the registrant's Form 10-K report for 1996.*</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10.M</w:t>
            </w:r>
          </w:p>
        </w:tc>
        <w:tc>
          <w:tcPr>
            <w:tcW w:w="160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8"/>
              </w:rPr>
              <w:t>Executive</w:t>
            </w:r>
          </w:p>
        </w:tc>
        <w:tc>
          <w:tcPr>
            <w:tcW w:w="12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Employment</w:t>
            </w:r>
          </w:p>
        </w:tc>
        <w:tc>
          <w:tcPr>
            <w:tcW w:w="33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Agreement effective as of January 1,</w:t>
            </w:r>
          </w:p>
        </w:tc>
      </w:tr>
      <w:tr>
        <w:trPr>
          <w:trHeight w:val="176"/>
        </w:trPr>
        <w:tc>
          <w:tcPr>
            <w:tcW w:w="1140" w:type="dxa"/>
            <w:vAlign w:val="bottom"/>
          </w:tcPr>
          <w:p>
            <w:pPr>
              <w:spacing w:after="0"/>
              <w:rPr>
                <w:sz w:val="15"/>
                <w:szCs w:val="15"/>
                <w:color w:val="auto"/>
              </w:rPr>
            </w:pPr>
          </w:p>
        </w:tc>
        <w:tc>
          <w:tcPr>
            <w:tcW w:w="6180" w:type="dxa"/>
            <w:vAlign w:val="bottom"/>
            <w:gridSpan w:val="13"/>
          </w:tcPr>
          <w:p>
            <w:pPr>
              <w:ind w:left="780"/>
              <w:spacing w:after="0"/>
              <w:rPr>
                <w:sz w:val="20"/>
                <w:szCs w:val="20"/>
                <w:color w:val="auto"/>
              </w:rPr>
            </w:pPr>
            <w:r>
              <w:rPr>
                <w:rFonts w:ascii="Courier New" w:cs="Courier New" w:eastAsia="Courier New" w:hAnsi="Courier New"/>
                <w:sz w:val="15"/>
                <w:szCs w:val="15"/>
                <w:color w:val="auto"/>
              </w:rPr>
              <w:t>1997, by and between the registrant and Karen D. Lundquist.</w:t>
            </w:r>
          </w:p>
        </w:tc>
      </w:tr>
      <w:tr>
        <w:trPr>
          <w:trHeight w:val="176"/>
        </w:trPr>
        <w:tc>
          <w:tcPr>
            <w:tcW w:w="1140" w:type="dxa"/>
            <w:vAlign w:val="bottom"/>
          </w:tcPr>
          <w:p>
            <w:pPr>
              <w:spacing w:after="0"/>
              <w:rPr>
                <w:sz w:val="15"/>
                <w:szCs w:val="15"/>
                <w:color w:val="auto"/>
              </w:rPr>
            </w:pPr>
          </w:p>
        </w:tc>
        <w:tc>
          <w:tcPr>
            <w:tcW w:w="1880" w:type="dxa"/>
            <w:vAlign w:val="bottom"/>
            <w:gridSpan w:val="3"/>
          </w:tcPr>
          <w:p>
            <w:pPr>
              <w:ind w:left="780"/>
              <w:spacing w:after="0"/>
              <w:rPr>
                <w:sz w:val="20"/>
                <w:szCs w:val="20"/>
                <w:color w:val="auto"/>
              </w:rPr>
            </w:pPr>
            <w:r>
              <w:rPr>
                <w:rFonts w:ascii="Courier New" w:cs="Courier New" w:eastAsia="Courier New" w:hAnsi="Courier New"/>
                <w:sz w:val="15"/>
                <w:szCs w:val="15"/>
                <w:color w:val="auto"/>
                <w:w w:val="99"/>
              </w:rPr>
              <w:t>Incorporated</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by</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reference</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w:t>
            </w:r>
          </w:p>
        </w:tc>
        <w:tc>
          <w:tcPr>
            <w:tcW w:w="7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Exhibit</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10.M</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6"/>
        </w:trPr>
        <w:tc>
          <w:tcPr>
            <w:tcW w:w="1140" w:type="dxa"/>
            <w:vAlign w:val="bottom"/>
          </w:tcPr>
          <w:p>
            <w:pPr>
              <w:spacing w:after="0"/>
              <w:rPr>
                <w:sz w:val="15"/>
                <w:szCs w:val="15"/>
                <w:color w:val="auto"/>
              </w:rPr>
            </w:pPr>
          </w:p>
        </w:tc>
        <w:tc>
          <w:tcPr>
            <w:tcW w:w="4540" w:type="dxa"/>
            <w:vAlign w:val="bottom"/>
            <w:gridSpan w:val="8"/>
          </w:tcPr>
          <w:p>
            <w:pPr>
              <w:ind w:left="780"/>
              <w:spacing w:after="0"/>
              <w:rPr>
                <w:sz w:val="20"/>
                <w:szCs w:val="20"/>
                <w:color w:val="auto"/>
              </w:rPr>
            </w:pPr>
            <w:r>
              <w:rPr>
                <w:rFonts w:ascii="Courier New" w:cs="Courier New" w:eastAsia="Courier New" w:hAnsi="Courier New"/>
                <w:sz w:val="15"/>
                <w:szCs w:val="15"/>
                <w:color w:val="auto"/>
              </w:rPr>
              <w:t>registrant's Form 10-K report for 1996.*</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10.N</w:t>
            </w:r>
          </w:p>
        </w:tc>
        <w:tc>
          <w:tcPr>
            <w:tcW w:w="1460" w:type="dxa"/>
            <w:vAlign w:val="bottom"/>
          </w:tcPr>
          <w:p>
            <w:pPr>
              <w:ind w:left="780"/>
              <w:spacing w:after="0"/>
              <w:rPr>
                <w:sz w:val="20"/>
                <w:szCs w:val="20"/>
                <w:color w:val="auto"/>
              </w:rPr>
            </w:pPr>
            <w:r>
              <w:rPr>
                <w:rFonts w:ascii="Courier New" w:cs="Courier New" w:eastAsia="Courier New" w:hAnsi="Courier New"/>
                <w:sz w:val="15"/>
                <w:szCs w:val="15"/>
                <w:color w:val="auto"/>
              </w:rPr>
              <w:t>Letter</w:t>
            </w:r>
          </w:p>
        </w:tc>
        <w:tc>
          <w:tcPr>
            <w:tcW w:w="10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agreement</w:t>
            </w:r>
          </w:p>
        </w:tc>
        <w:tc>
          <w:tcPr>
            <w:tcW w:w="14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dated August 14,</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relating to the</w:t>
            </w:r>
          </w:p>
        </w:tc>
      </w:tr>
      <w:tr>
        <w:trPr>
          <w:trHeight w:val="176"/>
        </w:trPr>
        <w:tc>
          <w:tcPr>
            <w:tcW w:w="1140" w:type="dxa"/>
            <w:vAlign w:val="bottom"/>
          </w:tcPr>
          <w:p>
            <w:pPr>
              <w:spacing w:after="0"/>
              <w:rPr>
                <w:sz w:val="15"/>
                <w:szCs w:val="15"/>
                <w:color w:val="auto"/>
              </w:rPr>
            </w:pPr>
          </w:p>
        </w:tc>
        <w:tc>
          <w:tcPr>
            <w:tcW w:w="5860" w:type="dxa"/>
            <w:vAlign w:val="bottom"/>
            <w:gridSpan w:val="12"/>
          </w:tcPr>
          <w:p>
            <w:pPr>
              <w:ind w:left="780"/>
              <w:spacing w:after="0"/>
              <w:rPr>
                <w:sz w:val="20"/>
                <w:szCs w:val="20"/>
                <w:color w:val="auto"/>
              </w:rPr>
            </w:pPr>
            <w:r>
              <w:rPr>
                <w:rFonts w:ascii="Courier New" w:cs="Courier New" w:eastAsia="Courier New" w:hAnsi="Courier New"/>
                <w:sz w:val="15"/>
                <w:szCs w:val="15"/>
                <w:color w:val="auto"/>
              </w:rPr>
              <w:t>employment of Gary C. Wilkerson with the registrant.*</w:t>
            </w: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6180" w:type="dxa"/>
            <w:vAlign w:val="bottom"/>
            <w:gridSpan w:val="13"/>
          </w:tcPr>
          <w:p>
            <w:pPr>
              <w:ind w:left="780"/>
              <w:spacing w:after="0"/>
              <w:rPr>
                <w:sz w:val="20"/>
                <w:szCs w:val="20"/>
                <w:color w:val="auto"/>
              </w:rPr>
            </w:pPr>
            <w:r>
              <w:rPr>
                <w:rFonts w:ascii="Courier New" w:cs="Courier New" w:eastAsia="Courier New" w:hAnsi="Courier New"/>
                <w:sz w:val="15"/>
                <w:szCs w:val="15"/>
                <w:color w:val="auto"/>
              </w:rPr>
              <w:t>Letter  agreement  dated  July 16,  1997,  relating  to the</w:t>
            </w:r>
          </w:p>
        </w:tc>
      </w:tr>
      <w:tr>
        <w:trPr>
          <w:trHeight w:val="176"/>
        </w:trPr>
        <w:tc>
          <w:tcPr>
            <w:tcW w:w="1140" w:type="dxa"/>
            <w:vAlign w:val="bottom"/>
          </w:tcPr>
          <w:p>
            <w:pPr>
              <w:spacing w:after="0"/>
              <w:rPr>
                <w:sz w:val="15"/>
                <w:szCs w:val="15"/>
                <w:color w:val="auto"/>
              </w:rPr>
            </w:pPr>
          </w:p>
        </w:tc>
        <w:tc>
          <w:tcPr>
            <w:tcW w:w="5860" w:type="dxa"/>
            <w:vAlign w:val="bottom"/>
            <w:gridSpan w:val="12"/>
          </w:tcPr>
          <w:p>
            <w:pPr>
              <w:ind w:left="780"/>
              <w:spacing w:after="0"/>
              <w:rPr>
                <w:sz w:val="20"/>
                <w:szCs w:val="20"/>
                <w:color w:val="auto"/>
              </w:rPr>
            </w:pPr>
            <w:r>
              <w:rPr>
                <w:rFonts w:ascii="Courier New" w:cs="Courier New" w:eastAsia="Courier New" w:hAnsi="Courier New"/>
                <w:sz w:val="15"/>
                <w:szCs w:val="15"/>
                <w:color w:val="auto"/>
              </w:rPr>
              <w:t>employment of Curtis M. Stevens with the registrant.*</w:t>
            </w: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10.P</w:t>
            </w:r>
          </w:p>
        </w:tc>
        <w:tc>
          <w:tcPr>
            <w:tcW w:w="160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8"/>
              </w:rPr>
              <w:t>Executive</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Deferred</w:t>
            </w:r>
          </w:p>
        </w:tc>
        <w:tc>
          <w:tcPr>
            <w:tcW w:w="14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Compensation</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Plan</w:t>
            </w:r>
          </w:p>
        </w:tc>
        <w:tc>
          <w:tcPr>
            <w:tcW w:w="92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w w:val="98"/>
              </w:rPr>
              <w:t>effective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May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6"/>
        </w:trPr>
        <w:tc>
          <w:tcPr>
            <w:tcW w:w="1140" w:type="dxa"/>
            <w:vAlign w:val="bottom"/>
          </w:tcPr>
          <w:p>
            <w:pPr>
              <w:spacing w:after="0"/>
              <w:rPr>
                <w:sz w:val="15"/>
                <w:szCs w:val="15"/>
                <w:color w:val="auto"/>
              </w:rPr>
            </w:pPr>
          </w:p>
        </w:tc>
        <w:tc>
          <w:tcPr>
            <w:tcW w:w="1460" w:type="dxa"/>
            <w:vAlign w:val="bottom"/>
          </w:tcPr>
          <w:p>
            <w:pPr>
              <w:ind w:left="780"/>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4540" w:type="dxa"/>
            <w:vAlign w:val="bottom"/>
            <w:gridSpan w:val="8"/>
          </w:tcPr>
          <w:p>
            <w:pPr>
              <w:ind w:left="780"/>
              <w:spacing w:after="0"/>
              <w:rPr>
                <w:sz w:val="20"/>
                <w:szCs w:val="20"/>
                <w:color w:val="auto"/>
              </w:rPr>
            </w:pPr>
            <w:r>
              <w:rPr>
                <w:rFonts w:ascii="Courier New" w:cs="Courier New" w:eastAsia="Courier New" w:hAnsi="Courier New"/>
                <w:sz w:val="15"/>
                <w:szCs w:val="15"/>
                <w:color w:val="auto"/>
              </w:rPr>
              <w:t>List of subsidiaries of the registrant.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3980" w:type="dxa"/>
            <w:vAlign w:val="bottom"/>
            <w:gridSpan w:val="7"/>
          </w:tcPr>
          <w:p>
            <w:pPr>
              <w:ind w:left="780"/>
              <w:spacing w:after="0"/>
              <w:rPr>
                <w:sz w:val="20"/>
                <w:szCs w:val="20"/>
                <w:color w:val="auto"/>
              </w:rPr>
            </w:pPr>
            <w:r>
              <w:rPr>
                <w:rFonts w:ascii="Courier New" w:cs="Courier New" w:eastAsia="Courier New" w:hAnsi="Courier New"/>
                <w:sz w:val="15"/>
                <w:szCs w:val="15"/>
                <w:color w:val="auto"/>
              </w:rPr>
              <w:t>Consent of Arthur Andersen LLP.</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3980" w:type="dxa"/>
            <w:vAlign w:val="bottom"/>
            <w:gridSpan w:val="7"/>
          </w:tcPr>
          <w:p>
            <w:pPr>
              <w:ind w:left="780"/>
              <w:spacing w:after="0"/>
              <w:rPr>
                <w:sz w:val="20"/>
                <w:szCs w:val="20"/>
                <w:color w:val="auto"/>
              </w:rPr>
            </w:pPr>
            <w:r>
              <w:rPr>
                <w:rFonts w:ascii="Courier New" w:cs="Courier New" w:eastAsia="Courier New" w:hAnsi="Courier New"/>
                <w:sz w:val="15"/>
                <w:szCs w:val="15"/>
                <w:color w:val="auto"/>
              </w:rPr>
              <w:t>Consent of Deloitte &amp; Touche LLP.</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2"/>
        </w:trPr>
        <w:tc>
          <w:tcPr>
            <w:tcW w:w="114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3480" w:type="dxa"/>
            <w:vAlign w:val="bottom"/>
            <w:gridSpan w:val="6"/>
          </w:tcPr>
          <w:p>
            <w:pPr>
              <w:ind w:left="780"/>
              <w:spacing w:after="0"/>
              <w:rPr>
                <w:sz w:val="20"/>
                <w:szCs w:val="20"/>
                <w:color w:val="auto"/>
              </w:rPr>
            </w:pPr>
            <w:r>
              <w:rPr>
                <w:rFonts w:ascii="Courier New" w:cs="Courier New" w:eastAsia="Courier New" w:hAnsi="Courier New"/>
                <w:sz w:val="15"/>
                <w:szCs w:val="15"/>
                <w:color w:val="auto"/>
              </w:rPr>
              <w:t>Financial data schedule.</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2"/>
        </w:trPr>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- 54 -</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sectPr>
      </w:pPr>
    </w:p>
    <w:bookmarkStart w:id="55" w:name="page56"/>
    <w:bookmarkEnd w:id="55"/>
    <w:p>
      <w:pPr>
        <w:ind w:left="2380"/>
        <w:spacing w:after="0"/>
        <w:rPr>
          <w:sz w:val="20"/>
          <w:szCs w:val="20"/>
          <w:color w:val="auto"/>
        </w:rPr>
      </w:pPr>
      <w:r>
        <w:rPr>
          <w:rFonts w:ascii="Courier New" w:cs="Courier New" w:eastAsia="Courier New" w:hAnsi="Courier New"/>
          <w:sz w:val="15"/>
          <w:szCs w:val="15"/>
          <w:color w:val="auto"/>
        </w:rPr>
        <w:t>LOUISIANA-PACIFIC CORPORATION</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1992 NON-EMPLOYEE DIRECTOR STOCK OPTION PLAN</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(Restated as of February 1, 1997)</w:t>
      </w:r>
    </w:p>
    <w:p>
      <w:pPr>
        <w:spacing w:after="0" w:line="182" w:lineRule="exact"/>
        <w:rPr>
          <w:sz w:val="20"/>
          <w:szCs w:val="20"/>
          <w:color w:val="auto"/>
        </w:rPr>
      </w:pPr>
    </w:p>
    <w:p>
      <w:pPr>
        <w:jc w:val="both"/>
        <w:ind w:right="2899" w:firstLine="818"/>
        <w:spacing w:after="0" w:line="248" w:lineRule="auto"/>
        <w:tabs>
          <w:tab w:leader="none" w:pos="119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continued growth and success of Louisiana-Pacific Corporation (the "Corporation") are dependent upon the efforts of members of the Corporation's board of directors (the "Board of Directors"). Those members of the Board of Directors who are not employees of Corporation or any of its subsidiaries ("Non- Employee Directors") are not eligible to participate in the stock option and other stock incentive plans maintained for employees of the Corporation. The purpose of this 1992 Non-Employee Director Stock Option Plan (the "Plan") is to provide an incentive to Non- Employee Directors to remain as members of the Board of Directors and also to afford them the opportunity to acquire, or increase, stock ownership in the Corporation in order that they may have a direct proprietary interest in its success. Options granted under the Plan shall be nonqualified options which are not intended to qualify as incentive stock options under Section 422 of the Internal Revenue Code.</w:t>
      </w:r>
    </w:p>
    <w:p>
      <w:pPr>
        <w:spacing w:after="0" w:line="183" w:lineRule="exact"/>
        <w:rPr>
          <w:rFonts w:ascii="Courier New" w:cs="Courier New" w:eastAsia="Courier New" w:hAnsi="Courier New"/>
          <w:sz w:val="15"/>
          <w:szCs w:val="15"/>
          <w:color w:val="auto"/>
        </w:rPr>
      </w:pPr>
    </w:p>
    <w:p>
      <w:pPr>
        <w:jc w:val="both"/>
        <w:ind w:right="2899" w:firstLine="818"/>
        <w:spacing w:after="0" w:line="249" w:lineRule="auto"/>
        <w:tabs>
          <w:tab w:leader="none" w:pos="109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The stock subject to options granted under the Plan shall be shares of the Corporation's authorized but unissued, or reacquired, $1 par value common stock ("Common Stock"). The total number of shares of Common Stock with respect to which options may be granted shall not exceed in the aggregate 600,000, provided that such aggregate number of shares shall be subject to adjustment in accordance with the provisions of paragraph 6(g).</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event that any outstanding option under the Plan shall be canceled or terminate or expire prior to the end of the period during which options may be granted under the Plan, the shares of Common Stock allocable to the unexercised portion of such option may be made the subject of additional options granted under the Plan.</w:t>
      </w:r>
    </w:p>
    <w:p>
      <w:pPr>
        <w:spacing w:after="0" w:line="176" w:lineRule="exact"/>
        <w:rPr>
          <w:sz w:val="20"/>
          <w:szCs w:val="20"/>
          <w:color w:val="auto"/>
        </w:rPr>
      </w:pPr>
    </w:p>
    <w:p>
      <w:pPr>
        <w:jc w:val="both"/>
        <w:ind w:right="2899" w:firstLine="818"/>
        <w:spacing w:after="0" w:line="249" w:lineRule="auto"/>
        <w:tabs>
          <w:tab w:leader="none" w:pos="119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Board of Directors which shall have full power and authority, subject to the provisions of the Plan, to adopt, amend, and rescind rules and regulations for carrying out the Plan. The interpretation and decision of the Board of Directors with regard to any question arising under the Plan shall be final and conclusive. No member of the Board of Directors shall be liable for any action taken or determination made in good faith with</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the Plan or to any options granted pursuant to the Plan.</w:t>
      </w:r>
    </w:p>
    <w:p>
      <w:pPr>
        <w:spacing w:after="0" w:line="182" w:lineRule="exact"/>
        <w:rPr>
          <w:sz w:val="20"/>
          <w:szCs w:val="20"/>
          <w:color w:val="auto"/>
        </w:rPr>
      </w:pPr>
    </w:p>
    <w:p>
      <w:pPr>
        <w:ind w:right="2899" w:firstLine="818"/>
        <w:spacing w:after="0" w:line="250" w:lineRule="auto"/>
        <w:tabs>
          <w:tab w:leader="none" w:pos="109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The persons eligible to receive options under the Plan are the Non-Employee Directors of the Corporation.</w:t>
      </w:r>
    </w:p>
    <w:p>
      <w:pPr>
        <w:spacing w:after="0" w:line="174" w:lineRule="exact"/>
        <w:rPr>
          <w:rFonts w:ascii="Courier New" w:cs="Courier New" w:eastAsia="Courier New" w:hAnsi="Courier New"/>
          <w:sz w:val="15"/>
          <w:szCs w:val="15"/>
          <w:color w:val="auto"/>
        </w:rPr>
      </w:pPr>
    </w:p>
    <w:p>
      <w:pPr>
        <w:ind w:left="1100" w:hanging="282"/>
        <w:spacing w:after="0"/>
        <w:tabs>
          <w:tab w:leader="none" w:pos="11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w:t>
      </w:r>
    </w:p>
    <w:p>
      <w:pPr>
        <w:spacing w:after="0" w:line="182" w:lineRule="exact"/>
        <w:rPr>
          <w:sz w:val="20"/>
          <w:szCs w:val="20"/>
          <w:color w:val="auto"/>
        </w:rPr>
      </w:pPr>
    </w:p>
    <w:p>
      <w:pPr>
        <w:jc w:val="both"/>
        <w:ind w:right="2899" w:firstLine="818"/>
        <w:spacing w:after="0" w:line="249" w:lineRule="auto"/>
        <w:tabs>
          <w:tab w:leader="none" w:pos="119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GRANT. Each person who is an Non-Employee Director on June 15, 1992, automatically shall be granted, as of June 15, 1992, an option to purchase 22,500 shares of Common Stock, subject to the terms and conditions described in paragraph 6.</w:t>
      </w:r>
    </w:p>
    <w:p>
      <w:pPr>
        <w:spacing w:after="0" w:line="175" w:lineRule="exact"/>
        <w:rPr>
          <w:rFonts w:ascii="Courier New" w:cs="Courier New" w:eastAsia="Courier New" w:hAnsi="Courier New"/>
          <w:sz w:val="15"/>
          <w:szCs w:val="15"/>
          <w:color w:val="auto"/>
        </w:rPr>
      </w:pPr>
    </w:p>
    <w:p>
      <w:pPr>
        <w:jc w:val="both"/>
        <w:ind w:right="2899" w:firstLine="818"/>
        <w:spacing w:after="0" w:line="249" w:lineRule="auto"/>
        <w:tabs>
          <w:tab w:leader="none" w:pos="119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NON-EMPLOYEE DIRECTORS. Each person who becomes a Non-Employee Director after June 15, 1992, automatically shall be granted, as of the date such person becomes a Non-Employee Director, an option to purchase 22,500 shares of Common Stock (45,000 shares after May 18, 1993), subject to the terms and conditions described in paragraph 6.</w:t>
      </w:r>
    </w:p>
    <w:p>
      <w:pPr>
        <w:spacing w:after="0" w:line="175" w:lineRule="exact"/>
        <w:rPr>
          <w:rFonts w:ascii="Courier New" w:cs="Courier New" w:eastAsia="Courier New" w:hAnsi="Courier New"/>
          <w:sz w:val="15"/>
          <w:szCs w:val="15"/>
          <w:color w:val="auto"/>
        </w:rPr>
      </w:pPr>
    </w:p>
    <w:p>
      <w:pPr>
        <w:jc w:val="both"/>
        <w:ind w:right="2899" w:firstLine="818"/>
        <w:spacing w:after="0" w:line="249" w:lineRule="auto"/>
        <w:tabs>
          <w:tab w:leader="none" w:pos="119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GRANTS. Each Non-Employee Director who has been granted an option under paragraphs 5(a) or 5(b) who remains as a Non-Employee Director on the fifth anniversary of the date such option was granted (the "Anniversary") automatically shall be granted, as of such Anniversary, an option to purchase 45,000 shares of Common Stock, subject to the terms and condition described in paragraph 6.</w:t>
      </w:r>
    </w:p>
    <w:p>
      <w:pPr>
        <w:spacing w:after="0" w:line="176" w:lineRule="exact"/>
        <w:rPr>
          <w:sz w:val="20"/>
          <w:szCs w:val="20"/>
          <w:color w:val="auto"/>
        </w:rPr>
      </w:pPr>
    </w:p>
    <w:p>
      <w:pPr>
        <w:ind w:right="2899" w:firstLine="818"/>
        <w:spacing w:after="0" w:line="250" w:lineRule="auto"/>
        <w:tabs>
          <w:tab w:leader="none" w:pos="109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OPTIONS. Each option granted pursuant to the Plan shall be subject to the following terms and conditions:</w:t>
      </w:r>
    </w:p>
    <w:p>
      <w:pPr>
        <w:spacing w:after="0" w:line="175" w:lineRule="exact"/>
        <w:rPr>
          <w:sz w:val="20"/>
          <w:szCs w:val="20"/>
          <w:color w:val="auto"/>
        </w:rPr>
      </w:pPr>
    </w:p>
    <w:p>
      <w:pPr>
        <w:jc w:val="both"/>
        <w:ind w:right="2899" w:firstLine="818"/>
        <w:spacing w:after="0" w:line="249" w:lineRule="auto"/>
        <w:tabs>
          <w:tab w:leader="none" w:pos="128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exercise of an option, in whole or in part, the option price for shares to which the exercise relates may be made, at the election of the optionee, either in cash or by delivering to the Corporation shares of Common Stock having a Fair Market Value (as defined below) equal to the option price, or any combination of cash and Common Stock having a combined value equal to the option price. Shares of Common Stock may not be used in payment or partial payment unless an option is being exercised for at least 2,000 shares. Payment in shares of Common Stock shall be made by delivering to the Corporation certificates, duly endorsed for transfer, representing shares of Common Stock having an aggregate Fair Market Value on the date of exercise equal to that portion of the option price which is to be paid in Common Stock. The Fair Market Value of a share of Common Stock on the date of exercise shall be deemed to be the closing price per share of Common Stock on the New York Stock Exchange on</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18" w:right="1440" w:bottom="482" w:gutter="0" w:footer="0" w:header="0"/>
        </w:sectPr>
      </w:pPr>
    </w:p>
    <w:bookmarkStart w:id="56" w:name="page57"/>
    <w:bookmarkEnd w:id="56"/>
    <w:p>
      <w:pPr>
        <w:jc w:val="both"/>
        <w:ind w:left="6" w:right="2899"/>
        <w:spacing w:after="0" w:line="249" w:lineRule="auto"/>
        <w:rPr>
          <w:sz w:val="20"/>
          <w:szCs w:val="20"/>
          <w:color w:val="auto"/>
        </w:rPr>
      </w:pPr>
      <w:r>
        <w:rPr>
          <w:rFonts w:ascii="Courier New" w:cs="Courier New" w:eastAsia="Courier New" w:hAnsi="Courier New"/>
          <w:sz w:val="15"/>
          <w:szCs w:val="15"/>
          <w:color w:val="auto"/>
        </w:rPr>
        <w:t>the date of exercise or, if no sale of Common Stock shall have been made on that Exchange on that date, on the next preceding business day on which there was a sale of such stock on that Exchange. Whenever payment of the option price would require delivery of a fractional share, the optionee shall deliver the next lower whole number of shares of Common Stock and a cash payment shall be made by the optionee for the balance of the option price.</w:t>
      </w:r>
    </w:p>
    <w:p>
      <w:pPr>
        <w:spacing w:after="0" w:line="176" w:lineRule="exact"/>
        <w:rPr>
          <w:sz w:val="20"/>
          <w:szCs w:val="20"/>
          <w:color w:val="auto"/>
        </w:rPr>
      </w:pPr>
    </w:p>
    <w:p>
      <w:pPr>
        <w:jc w:val="both"/>
        <w:ind w:left="6" w:right="2899" w:firstLine="818"/>
        <w:spacing w:after="0" w:line="248" w:lineRule="auto"/>
        <w:tabs>
          <w:tab w:leader="none" w:pos="1197"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for each option shall be the greater of (i) 85 percent of the Fair Market Value on the date the option is granted, or</w:t>
      </w:r>
    </w:p>
    <w:p>
      <w:pPr>
        <w:spacing w:after="0" w:line="1" w:lineRule="exact"/>
        <w:rPr>
          <w:rFonts w:ascii="Courier New" w:cs="Courier New" w:eastAsia="Courier New" w:hAnsi="Courier New"/>
          <w:sz w:val="15"/>
          <w:szCs w:val="15"/>
          <w:color w:val="auto"/>
        </w:rPr>
      </w:pPr>
    </w:p>
    <w:p>
      <w:pPr>
        <w:jc w:val="both"/>
        <w:ind w:left="6" w:right="2899" w:hanging="6"/>
        <w:spacing w:after="0" w:line="249" w:lineRule="auto"/>
        <w:tabs>
          <w:tab w:leader="none" w:pos="46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 value per share as of the last day of the last calendar quarter ending on or before the date the option is granted (the "Book Value"); provided, however, that if the Fair Market Value per share is less than the Book Value per share, the option price shall be the Fair Market Value per share.</w:t>
      </w:r>
    </w:p>
    <w:p>
      <w:pPr>
        <w:spacing w:after="0" w:line="175" w:lineRule="exact"/>
        <w:rPr>
          <w:rFonts w:ascii="Courier New" w:cs="Courier New" w:eastAsia="Courier New" w:hAnsi="Courier New"/>
          <w:sz w:val="15"/>
          <w:szCs w:val="15"/>
          <w:color w:val="auto"/>
        </w:rPr>
      </w:pPr>
    </w:p>
    <w:p>
      <w:pPr>
        <w:jc w:val="both"/>
        <w:ind w:left="6" w:right="2899" w:firstLine="818"/>
        <w:spacing w:after="0" w:line="249" w:lineRule="auto"/>
        <w:tabs>
          <w:tab w:leader="none" w:pos="1197"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Each option shall expire ten years from the date the option is granted, unless the option is terminated earlier in accordance with the Plan.</w:t>
      </w:r>
    </w:p>
    <w:p>
      <w:pPr>
        <w:spacing w:after="0" w:line="175" w:lineRule="exact"/>
        <w:rPr>
          <w:rFonts w:ascii="Courier New" w:cs="Courier New" w:eastAsia="Courier New" w:hAnsi="Courier New"/>
          <w:sz w:val="15"/>
          <w:szCs w:val="15"/>
          <w:color w:val="auto"/>
        </w:rPr>
      </w:pPr>
    </w:p>
    <w:p>
      <w:pPr>
        <w:jc w:val="both"/>
        <w:ind w:left="6" w:right="2899" w:firstLine="818"/>
        <w:spacing w:after="0" w:line="249" w:lineRule="auto"/>
        <w:tabs>
          <w:tab w:leader="none" w:pos="1197"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EXERCISE. Unless an option is terminated or the time of its exercisability is accelerated in accordance with the Plan, each option may be exercised in whole or in part from time to time to purchase shares as follows:</w:t>
      </w:r>
    </w:p>
    <w:p>
      <w:pPr>
        <w:spacing w:after="0" w:line="176" w:lineRule="exact"/>
        <w:rPr>
          <w:sz w:val="20"/>
          <w:szCs w:val="20"/>
          <w:color w:val="auto"/>
        </w:rPr>
      </w:pPr>
    </w:p>
    <w:p>
      <w:pPr>
        <w:jc w:val="both"/>
        <w:ind w:left="366" w:right="3359" w:firstLine="458"/>
        <w:spacing w:after="0" w:line="249" w:lineRule="auto"/>
        <w:rPr>
          <w:sz w:val="20"/>
          <w:szCs w:val="20"/>
          <w:color w:val="auto"/>
        </w:rPr>
      </w:pPr>
      <w:r>
        <w:rPr>
          <w:rFonts w:ascii="Courier New" w:cs="Courier New" w:eastAsia="Courier New" w:hAnsi="Courier New"/>
          <w:sz w:val="15"/>
          <w:szCs w:val="15"/>
          <w:color w:val="auto"/>
        </w:rPr>
        <w:t>Each option shall not be exercisable until the first anniversary of the date the option was granted. On such first anniversary, the option shall become exercisable as to 20 percent of the shares covered by the option, and on each of the second through the fifth such anniversaries, the option shall become exercisable as to an additional 20 percent of the shares covered by the option. However, no option shall be exercisable in part with respect to a number of shares fewer than 100.</w:t>
      </w:r>
    </w:p>
    <w:p>
      <w:pPr>
        <w:spacing w:after="0" w:line="352" w:lineRule="exact"/>
        <w:rPr>
          <w:sz w:val="20"/>
          <w:szCs w:val="20"/>
          <w:color w:val="auto"/>
        </w:rPr>
      </w:pPr>
    </w:p>
    <w:p>
      <w:pPr>
        <w:jc w:val="both"/>
        <w:ind w:left="6" w:right="2899" w:firstLine="818"/>
        <w:spacing w:after="0" w:line="249" w:lineRule="auto"/>
        <w:tabs>
          <w:tab w:leader="none" w:pos="119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OF EXERCISABILITY. Notwithstanding the limitations on exercisability pursuant to paragraph 6(d), an option shall become immediately and fully exercisable:</w:t>
      </w:r>
    </w:p>
    <w:p>
      <w:pPr>
        <w:spacing w:after="0" w:line="176" w:lineRule="exact"/>
        <w:rPr>
          <w:sz w:val="20"/>
          <w:szCs w:val="20"/>
          <w:color w:val="auto"/>
        </w:rPr>
      </w:pPr>
    </w:p>
    <w:p>
      <w:pPr>
        <w:ind w:left="366" w:right="3359" w:firstLine="458"/>
        <w:spacing w:after="0" w:line="250" w:lineRule="auto"/>
        <w:tabs>
          <w:tab w:leader="none" w:pos="119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death of the optionee Non-Employee Director; or</w:t>
      </w:r>
    </w:p>
    <w:p>
      <w:pPr>
        <w:spacing w:after="0" w:line="174" w:lineRule="exact"/>
        <w:rPr>
          <w:rFonts w:ascii="Courier New" w:cs="Courier New" w:eastAsia="Courier New" w:hAnsi="Courier New"/>
          <w:sz w:val="15"/>
          <w:szCs w:val="15"/>
          <w:color w:val="auto"/>
        </w:rPr>
      </w:pPr>
    </w:p>
    <w:p>
      <w:pPr>
        <w:jc w:val="both"/>
        <w:ind w:left="366" w:right="3359" w:firstLine="458"/>
        <w:spacing w:after="0" w:line="249" w:lineRule="auto"/>
        <w:tabs>
          <w:tab w:leader="none" w:pos="128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later of (A) the occurrence of a "Change in Control" (as defined below) of the Corporation or (B) six months after the date of grant; or</w:t>
      </w:r>
    </w:p>
    <w:p>
      <w:pPr>
        <w:spacing w:after="0" w:line="175" w:lineRule="exact"/>
        <w:rPr>
          <w:rFonts w:ascii="Courier New" w:cs="Courier New" w:eastAsia="Courier New" w:hAnsi="Courier New"/>
          <w:sz w:val="15"/>
          <w:szCs w:val="15"/>
          <w:color w:val="auto"/>
        </w:rPr>
      </w:pPr>
    </w:p>
    <w:p>
      <w:pPr>
        <w:ind w:left="366" w:right="3359" w:firstLine="458"/>
        <w:spacing w:after="0" w:line="250" w:lineRule="auto"/>
        <w:tabs>
          <w:tab w:leader="none" w:pos="146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an optionee Non-Employee Director retires pursuant to Section 15 of the bylaws of</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647" w:right="1440" w:bottom="1440" w:gutter="0" w:footer="0" w:header="0"/>
        </w:sectPr>
      </w:pPr>
    </w:p>
    <w:bookmarkStart w:id="57" w:name="page58"/>
    <w:bookmarkEnd w:id="57"/>
    <w:p>
      <w:pPr>
        <w:jc w:val="both"/>
        <w:ind w:left="360" w:right="2899"/>
        <w:spacing w:after="0" w:line="249" w:lineRule="auto"/>
        <w:rPr>
          <w:sz w:val="20"/>
          <w:szCs w:val="20"/>
          <w:color w:val="auto"/>
        </w:rPr>
      </w:pPr>
      <w:r>
        <w:rPr>
          <w:rFonts w:ascii="Courier New" w:cs="Courier New" w:eastAsia="Courier New" w:hAnsi="Courier New"/>
          <w:sz w:val="15"/>
          <w:szCs w:val="15"/>
          <w:color w:val="auto"/>
        </w:rPr>
        <w:t>the Corporation; provided, however, that this paragraph 6(e)(iii) shall only apply to an additional 20 percent of the shares covered by such Non-Employee Director's option.</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For purposes of the Plan, a change of control shall be deemed to occur if (x) any person or group, together with its affiliates and associates (other than the Corporation or any of its subsidiaries or employee benefit plans), acquires direct or indirect beneficial ownership of 20 percent or more of the then outstanding shares of Common Stock or commences a tender or exchange offer for 30 percent or more of the then outstanding shares of Common Stock, or (y) the Corporation is to be liquidated or dissolved. The terms "group," "affiliates," "associates" and "beneficial ownership" shall have the meanings ascribed to them in the rules and regulations promulgated under the Exchange Act.</w:t>
      </w:r>
    </w:p>
    <w:p>
      <w:pPr>
        <w:spacing w:after="0" w:line="175" w:lineRule="exact"/>
        <w:rPr>
          <w:sz w:val="20"/>
          <w:szCs w:val="20"/>
          <w:color w:val="auto"/>
        </w:rPr>
      </w:pPr>
    </w:p>
    <w:p>
      <w:pPr>
        <w:jc w:val="both"/>
        <w:ind w:right="2899" w:firstLine="818"/>
        <w:spacing w:after="0" w:line="249" w:lineRule="auto"/>
        <w:tabs>
          <w:tab w:leader="none" w:pos="128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AS A DIRECTOR. Notwithstanding the option term provided in paragraph 6(c), in the event that an optionee Non-Employee Director ceases to be a member of the Board of Directors:</w:t>
      </w:r>
    </w:p>
    <w:p>
      <w:pPr>
        <w:spacing w:after="0" w:line="176" w:lineRule="exact"/>
        <w:rPr>
          <w:sz w:val="20"/>
          <w:szCs w:val="20"/>
          <w:color w:val="auto"/>
        </w:rPr>
      </w:pPr>
    </w:p>
    <w:p>
      <w:pPr>
        <w:jc w:val="both"/>
        <w:ind w:left="360" w:right="3359" w:firstLine="458"/>
        <w:spacing w:after="0" w:line="249" w:lineRule="auto"/>
        <w:tabs>
          <w:tab w:leader="none" w:pos="118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reason of death, the estate, personal representative, or beneficiary of the Non-Employee Director shall have the right to exercise the option at any time within 12 months from the date of death and the option shall terminate as of the last day of such 12-month period; or</w:t>
      </w:r>
    </w:p>
    <w:p>
      <w:pPr>
        <w:spacing w:after="0" w:line="175" w:lineRule="exact"/>
        <w:rPr>
          <w:rFonts w:ascii="Courier New" w:cs="Courier New" w:eastAsia="Courier New" w:hAnsi="Courier New"/>
          <w:sz w:val="15"/>
          <w:szCs w:val="15"/>
          <w:color w:val="auto"/>
        </w:rPr>
      </w:pPr>
    </w:p>
    <w:p>
      <w:pPr>
        <w:jc w:val="both"/>
        <w:ind w:left="360" w:right="3359" w:firstLine="458"/>
        <w:spacing w:after="0" w:line="249" w:lineRule="auto"/>
        <w:tabs>
          <w:tab w:leader="none" w:pos="127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reason of the retirement of an optionee Non-Employee Director pursuant to Section 15 of the bylaws of the Corporation, the Non-Employee Director's option shall remain exercisable, to the extent it had become exercisable on the date of said retirement, for a period of 24 months following the date of said retirement and the option shall terminate as of the last day of such 24-month period; or</w:t>
      </w:r>
    </w:p>
    <w:p>
      <w:pPr>
        <w:spacing w:after="0" w:line="175" w:lineRule="exact"/>
        <w:rPr>
          <w:rFonts w:ascii="Courier New" w:cs="Courier New" w:eastAsia="Courier New" w:hAnsi="Courier New"/>
          <w:sz w:val="15"/>
          <w:szCs w:val="15"/>
          <w:color w:val="auto"/>
        </w:rPr>
      </w:pPr>
    </w:p>
    <w:p>
      <w:pPr>
        <w:jc w:val="both"/>
        <w:ind w:left="360" w:right="3359" w:firstLine="458"/>
        <w:spacing w:after="0" w:line="249" w:lineRule="auto"/>
        <w:tabs>
          <w:tab w:leader="none" w:pos="136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other reason, the Non-Employee Director's option shall remain exercisable, to the extent it had become exercisable on the date the optionee ceased to be a member of the Board of Directors (the "Termination Date"), for a period of three months following the Termination Date and the option shall terminate as of the last day of such three-month period.</w:t>
      </w:r>
    </w:p>
    <w:p>
      <w:pPr>
        <w:spacing w:after="0" w:line="176" w:lineRule="exact"/>
        <w:rPr>
          <w:sz w:val="20"/>
          <w:szCs w:val="20"/>
          <w:color w:val="auto"/>
        </w:rPr>
      </w:pPr>
    </w:p>
    <w:p>
      <w:pPr>
        <w:jc w:val="both"/>
        <w:ind w:right="2899" w:firstLine="818"/>
        <w:spacing w:after="0" w:line="249" w:lineRule="auto"/>
        <w:tabs>
          <w:tab w:leader="none" w:pos="128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RECAPITALIZATION. In the event of any change in capitalization which affects the Common Stock, whether by stock dividend, stock distribution, stock split, subdivision or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7" w:right="1440" w:bottom="1440" w:gutter="0" w:footer="0" w:header="0"/>
        </w:sectPr>
      </w:pPr>
    </w:p>
    <w:bookmarkStart w:id="58" w:name="page59"/>
    <w:bookmarkEnd w:id="58"/>
    <w:p>
      <w:pPr>
        <w:jc w:val="both"/>
        <w:ind w:right="2899"/>
        <w:spacing w:after="0" w:line="249" w:lineRule="auto"/>
        <w:rPr>
          <w:sz w:val="20"/>
          <w:szCs w:val="20"/>
          <w:color w:val="auto"/>
        </w:rPr>
      </w:pPr>
      <w:r>
        <w:rPr>
          <w:rFonts w:ascii="Courier New" w:cs="Courier New" w:eastAsia="Courier New" w:hAnsi="Courier New"/>
          <w:sz w:val="15"/>
          <w:szCs w:val="15"/>
          <w:color w:val="auto"/>
        </w:rPr>
        <w:t>combination of shares, merger or consolidation or otherwise, such proportionate adjustments, if any, as the Board of Directors in its good faith discretion deems appropriate to reflect such change shall be made with respect to the total number of shares of Common Stock in respect of which options may be granted under the Plan, the number of shares covered by each outstanding option, and the exercise price per share under each such option; however, any fractional shares resulting from any such adjustment shall be eliminated.</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dissolution of the Corporation, or a merger or consolidation in which the Corporation is not the resulting or surviving corporation (or in which the Corporation is the resulting or surviving corporation but becomes a subsidiary of another corporation), shall cause every option outstanding hereunder to terminate concurrently with consummation of any such dissolution, merger or consolidation, except that the resulting or surviving corporation (or, in the event the Corporation is the resulting or surviving corporation but has become a subsidiary of another corporation, such other corporation) may, in its absolute and uncontrolled discretion, tender an option or options to purchase its shares on terms and conditions, both as to number of shares and otherwise, which will substantially preserve the rights and benefits of any option then outstanding hereunder.</w:t>
      </w:r>
    </w:p>
    <w:p>
      <w:pPr>
        <w:spacing w:after="0" w:line="175"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event of a change in the Corporation's presently authorized Common Stock which is limited to a change of all its presently authorized shares with par value into the same number of shares with a different par value or into the same number of shares without par value, the shares resulting from any such change shall be deemed to be Common Stock within the meaning of this Plan.</w:t>
      </w:r>
    </w:p>
    <w:p>
      <w:pPr>
        <w:spacing w:after="0" w:line="176" w:lineRule="exact"/>
        <w:rPr>
          <w:sz w:val="20"/>
          <w:szCs w:val="20"/>
          <w:color w:val="auto"/>
        </w:rPr>
      </w:pPr>
    </w:p>
    <w:p>
      <w:pPr>
        <w:jc w:val="both"/>
        <w:ind w:right="2899" w:firstLine="818"/>
        <w:spacing w:after="0" w:line="249" w:lineRule="auto"/>
        <w:tabs>
          <w:tab w:leader="none" w:pos="128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No option shall be assignable or transferable other than by will or the laws of descent and distribution. During an optionee's lifetime, only he or his guardian or legal representative may exercise any such option or right.</w:t>
      </w:r>
    </w:p>
    <w:p>
      <w:pPr>
        <w:spacing w:after="0" w:line="175" w:lineRule="exact"/>
        <w:rPr>
          <w:rFonts w:ascii="Courier New" w:cs="Courier New" w:eastAsia="Courier New" w:hAnsi="Courier New"/>
          <w:sz w:val="15"/>
          <w:szCs w:val="15"/>
          <w:color w:val="auto"/>
        </w:rPr>
      </w:pPr>
    </w:p>
    <w:p>
      <w:pPr>
        <w:jc w:val="both"/>
        <w:ind w:right="2899" w:firstLine="818"/>
        <w:spacing w:after="0" w:line="249" w:lineRule="auto"/>
        <w:tabs>
          <w:tab w:leader="none" w:pos="119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An optionee Non-Employee Director shall have no rights as a stockholder with respect to shares covered by the option until the date of the issuance or transfer of the shares to him and only after such shares are fully paid. Except as provided in paragraph 6(g), no adjustment shall be made for dividends or other rights for which the record date is prior to the date of such issuance or transfer.</w:t>
      </w:r>
    </w:p>
    <w:p>
      <w:pPr>
        <w:spacing w:after="0" w:line="175" w:lineRule="exact"/>
        <w:rPr>
          <w:rFonts w:ascii="Courier New" w:cs="Courier New" w:eastAsia="Courier New" w:hAnsi="Courier New"/>
          <w:sz w:val="15"/>
          <w:szCs w:val="15"/>
          <w:color w:val="auto"/>
        </w:rPr>
      </w:pPr>
    </w:p>
    <w:p>
      <w:pPr>
        <w:jc w:val="both"/>
        <w:ind w:right="2899" w:firstLine="818"/>
        <w:spacing w:after="0" w:line="249" w:lineRule="auto"/>
        <w:tabs>
          <w:tab w:leader="none" w:pos="119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TAXES. It shall be a condition to the Corporation's obligation to issue or reissue shares of Common Stock upon exercise of any option that the optionee pay, or make provision satisfactory to the Corporation for payment of, any</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59" w:name="page60"/>
    <w:bookmarkEnd w:id="59"/>
    <w:p>
      <w:pPr>
        <w:ind w:right="2899"/>
        <w:spacing w:after="0" w:line="250" w:lineRule="auto"/>
        <w:rPr>
          <w:sz w:val="20"/>
          <w:szCs w:val="20"/>
          <w:color w:val="auto"/>
        </w:rPr>
      </w:pPr>
      <w:r>
        <w:rPr>
          <w:rFonts w:ascii="Courier New" w:cs="Courier New" w:eastAsia="Courier New" w:hAnsi="Courier New"/>
          <w:sz w:val="15"/>
          <w:szCs w:val="15"/>
          <w:color w:val="auto"/>
        </w:rPr>
        <w:t>federal and state income and other taxes which the Corporation is obligated to withhold or collect with respect to the issue or reissue of such shares.</w:t>
      </w:r>
    </w:p>
    <w:p>
      <w:pPr>
        <w:spacing w:after="0" w:line="175" w:lineRule="exact"/>
        <w:rPr>
          <w:sz w:val="20"/>
          <w:szCs w:val="20"/>
          <w:color w:val="auto"/>
        </w:rPr>
      </w:pPr>
    </w:p>
    <w:p>
      <w:pPr>
        <w:ind w:right="2899" w:firstLine="818"/>
        <w:spacing w:after="0" w:line="250" w:lineRule="auto"/>
        <w:tabs>
          <w:tab w:leader="none" w:pos="119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Each option shall be evidenced by an option agreement substantially in the form attached to the Plan as Appendix A.</w:t>
      </w:r>
    </w:p>
    <w:p>
      <w:pPr>
        <w:spacing w:after="0" w:line="175" w:lineRule="exact"/>
        <w:rPr>
          <w:sz w:val="20"/>
          <w:szCs w:val="20"/>
          <w:color w:val="auto"/>
        </w:rPr>
      </w:pPr>
    </w:p>
    <w:p>
      <w:pPr>
        <w:jc w:val="both"/>
        <w:ind w:right="2899" w:firstLine="818"/>
        <w:spacing w:after="0" w:line="249" w:lineRule="auto"/>
        <w:tabs>
          <w:tab w:leader="none" w:pos="109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PLAN. Options shall be granted pursuant to the Plan from time to time beginning June 15, 1992, the date of adoption of the Plan by the Board of Directors. The Plan shall continue in effect until options have been granted covering all available shares of Common Stock as specified in paragraph 2 or until the Plan is terminated by the Board of Directors, whichever is earlier, except as provided below.</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Plan shall be subject to approval by the affirmative vote of the holders of at least a majority of the securities of the Corporation present, or represented by proxy, and entitled to vote at a meeting (to be duly held in accordance with the applicable laws of the state of Delaware) for which proxies are solicited substantially in accordance with rules and regulations, if any, as are then in effect under Section 14(a) of the Exchange Act, which approval must occur within twelve months after said date of adoption of the Plan by the Board of Directors. Options granted pursuant to the Plan prior to such approval shall be subject to such approval.</w:t>
      </w:r>
    </w:p>
    <w:p>
      <w:pPr>
        <w:spacing w:after="0" w:line="175" w:lineRule="exact"/>
        <w:rPr>
          <w:sz w:val="20"/>
          <w:szCs w:val="20"/>
          <w:color w:val="auto"/>
        </w:rPr>
      </w:pPr>
    </w:p>
    <w:p>
      <w:pPr>
        <w:jc w:val="both"/>
        <w:ind w:right="2899" w:firstLine="818"/>
        <w:spacing w:after="0" w:line="248" w:lineRule="auto"/>
        <w:tabs>
          <w:tab w:leader="none" w:pos="109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 The Board of Directors may alter, amend, suspend or terminate the Plan at any time. However, the Plan shall not be amended more often than once every six months other than amendments to comport with changes in income tax laws or the requirements of Rule 16b-3 under the Exchange Act. Amendments to the Plan shall be subject to stockholder approval to the extent required to comply with any exemption to the short swing profit provisions of Section 16(b) of the Exchange Act pursuant to rules and regulations promulgated thereunder or with the rules and regulations of any securities exchange on which the Common Stock is listed. Expiration or termination of the Plan shall not affect outstanding options except as provided in paragraph 7. The Board of Directors may also modify the terms and conditions of any outstanding option, subject to the consent of the optionee and consistent with the provisions of the Plan.</w:t>
      </w:r>
    </w:p>
    <w:p>
      <w:pPr>
        <w:spacing w:after="0" w:line="183" w:lineRule="exact"/>
        <w:rPr>
          <w:rFonts w:ascii="Courier New" w:cs="Courier New" w:eastAsia="Courier New" w:hAnsi="Courier New"/>
          <w:sz w:val="15"/>
          <w:szCs w:val="15"/>
          <w:color w:val="auto"/>
        </w:rPr>
      </w:pPr>
    </w:p>
    <w:p>
      <w:pPr>
        <w:jc w:val="both"/>
        <w:ind w:right="2899" w:firstLine="818"/>
        <w:spacing w:after="0" w:line="249" w:lineRule="auto"/>
        <w:tabs>
          <w:tab w:leader="none" w:pos="119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PROCEEDS. The proceeds received by the Corporation from the sale of Common Stock pursuant to options shall be available for general corporate purposes.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7" w:right="1440" w:bottom="1440" w:gutter="0" w:footer="0" w:header="0"/>
        </w:sectPr>
      </w:pPr>
    </w:p>
    <w:bookmarkStart w:id="60" w:name="page61"/>
    <w:bookmarkEnd w:id="60"/>
    <w:p>
      <w:pPr>
        <w:jc w:val="both"/>
        <w:ind w:left="-818" w:right="2899" w:firstLine="818"/>
        <w:spacing w:after="0" w:line="253" w:lineRule="auto"/>
        <w:tabs>
          <w:tab w:leader="none" w:pos="37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OBLIGATION TO EXERCISE OPTION. The granting of an option shall impose no obligation upon the optionee to exercise the same, in whole or in part.</w:t>
      </w:r>
    </w:p>
    <w:p>
      <w:pPr>
        <w:spacing w:after="0" w:line="346" w:lineRule="exact"/>
        <w:rPr>
          <w:rFonts w:ascii="Courier New" w:cs="Courier New" w:eastAsia="Courier New" w:hAnsi="Courier New"/>
          <w:sz w:val="15"/>
          <w:szCs w:val="15"/>
          <w:color w:val="auto"/>
        </w:rPr>
      </w:pPr>
    </w:p>
    <w:p>
      <w:pPr>
        <w:jc w:val="both"/>
        <w:ind w:left="-818" w:right="2899" w:firstLine="818"/>
        <w:spacing w:after="0" w:line="249" w:lineRule="auto"/>
        <w:tabs>
          <w:tab w:leader="none" w:pos="37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EXERCISE. Any provision of the Plan to the contrary notwithstanding, no option granted pursuant to the Plan shall be exercisable at any time, in whole or in part, (i)prior to the shares of Common Stock subject to the option being authorized for listing on the New York Stock Exchange, or (ii)if issuance and delivery of the shares of Common Stock subject to the option would be in violation of any applicable laws or regulations.</w:t>
      </w:r>
    </w:p>
    <w:p>
      <w:pPr>
        <w:spacing w:after="0" w:line="176" w:lineRule="exact"/>
        <w:rPr>
          <w:sz w:val="20"/>
          <w:szCs w:val="20"/>
          <w:color w:val="auto"/>
        </w:rPr>
      </w:pPr>
    </w:p>
    <w:p>
      <w:pPr>
        <w:ind w:left="2742"/>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01"/>
          </w:cols>
          <w:pgMar w:left="1058" w:top="647" w:right="1440" w:bottom="1440" w:gutter="0" w:footer="0" w:header="0"/>
        </w:sectPr>
      </w:pPr>
    </w:p>
    <w:bookmarkStart w:id="61" w:name="page62"/>
    <w:bookmarkEnd w:id="61"/>
    <w:p>
      <w:pPr>
        <w:ind w:left="2380"/>
        <w:spacing w:after="0"/>
        <w:rPr>
          <w:sz w:val="20"/>
          <w:szCs w:val="20"/>
          <w:color w:val="auto"/>
        </w:rPr>
      </w:pPr>
      <w:r>
        <w:rPr>
          <w:rFonts w:ascii="Courier New" w:cs="Courier New" w:eastAsia="Courier New" w:hAnsi="Courier New"/>
          <w:sz w:val="15"/>
          <w:szCs w:val="15"/>
          <w:color w:val="auto"/>
        </w:rPr>
        <w:t>LOUISIANA-PACIFIC CORPORATION</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DIRECTORS' DEFERRED COMPENSATION PLAN</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Effective July 1, 1997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182" w:lineRule="exact"/>
        <w:rPr>
          <w:sz w:val="20"/>
          <w:szCs w:val="20"/>
          <w:color w:val="auto"/>
        </w:rPr>
      </w:pPr>
    </w:p>
    <w:p>
      <w:pPr>
        <w:ind w:left="6680"/>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ARTICLE I--PURPOSE; EFFECTIVE DATE</w:t>
      </w:r>
      <w:r>
        <w:rPr>
          <w:sz w:val="20"/>
          <w:szCs w:val="20"/>
          <w:color w:val="auto"/>
        </w:rPr>
        <w:tab/>
      </w:r>
      <w:r>
        <w:rPr>
          <w:rFonts w:ascii="Courier New" w:cs="Courier New" w:eastAsia="Courier New" w:hAnsi="Courier New"/>
          <w:sz w:val="15"/>
          <w:szCs w:val="15"/>
          <w:color w:val="auto"/>
        </w:rPr>
        <w:t>1</w:t>
      </w:r>
    </w:p>
    <w:p>
      <w:pPr>
        <w:spacing w:after="0" w:line="182"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ARTICLE II--DEFINITIONS</w:t>
      </w:r>
      <w:r>
        <w:rPr>
          <w:sz w:val="20"/>
          <w:szCs w:val="20"/>
          <w:color w:val="auto"/>
        </w:rPr>
        <w:tab/>
      </w:r>
      <w:r>
        <w:rPr>
          <w:rFonts w:ascii="Courier New" w:cs="Courier New" w:eastAsia="Courier New" w:hAnsi="Courier New"/>
          <w:sz w:val="15"/>
          <w:szCs w:val="15"/>
          <w:color w:val="auto"/>
        </w:rPr>
        <w:t>1</w:t>
      </w:r>
    </w:p>
    <w:p>
      <w:pPr>
        <w:spacing w:after="0" w:line="182"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2.1</w:t>
        <w:tab/>
        <w:t>Account</w:t>
      </w:r>
      <w:r>
        <w:rPr>
          <w:sz w:val="20"/>
          <w:szCs w:val="20"/>
          <w:color w:val="auto"/>
        </w:rPr>
        <w:tab/>
      </w:r>
      <w:r>
        <w:rPr>
          <w:rFonts w:ascii="Courier New" w:cs="Courier New" w:eastAsia="Courier New" w:hAnsi="Courier New"/>
          <w:sz w:val="15"/>
          <w:szCs w:val="15"/>
          <w:color w:val="auto"/>
        </w:rPr>
        <w:t>1</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2.2</w:t>
        <w:tab/>
        <w:t>Acquiring Person</w:t>
      </w:r>
      <w:r>
        <w:rPr>
          <w:sz w:val="20"/>
          <w:szCs w:val="20"/>
          <w:color w:val="auto"/>
        </w:rPr>
        <w:tab/>
      </w:r>
      <w:r>
        <w:rPr>
          <w:rFonts w:ascii="Courier New" w:cs="Courier New" w:eastAsia="Courier New" w:hAnsi="Courier New"/>
          <w:sz w:val="15"/>
          <w:szCs w:val="15"/>
          <w:color w:val="auto"/>
        </w:rPr>
        <w:t>1</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2.3</w:t>
        <w:tab/>
        <w:t>Actuarial Equivalent</w:t>
      </w:r>
      <w:r>
        <w:rPr>
          <w:sz w:val="20"/>
          <w:szCs w:val="20"/>
          <w:color w:val="auto"/>
        </w:rPr>
        <w:tab/>
      </w:r>
      <w:r>
        <w:rPr>
          <w:rFonts w:ascii="Courier New" w:cs="Courier New" w:eastAsia="Courier New" w:hAnsi="Courier New"/>
          <w:sz w:val="15"/>
          <w:szCs w:val="15"/>
          <w:color w:val="auto"/>
        </w:rPr>
        <w:t>2</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2.4</w:t>
        <w:tab/>
        <w:t>Beneficiary</w:t>
      </w:r>
      <w:r>
        <w:rPr>
          <w:sz w:val="20"/>
          <w:szCs w:val="20"/>
          <w:color w:val="auto"/>
        </w:rPr>
        <w:tab/>
      </w:r>
      <w:r>
        <w:rPr>
          <w:rFonts w:ascii="Courier New" w:cs="Courier New" w:eastAsia="Courier New" w:hAnsi="Courier New"/>
          <w:sz w:val="15"/>
          <w:szCs w:val="15"/>
          <w:color w:val="auto"/>
        </w:rPr>
        <w:t>2</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2.5</w:t>
        <w:tab/>
        <w:t>Board</w:t>
      </w:r>
      <w:r>
        <w:rPr>
          <w:sz w:val="20"/>
          <w:szCs w:val="20"/>
          <w:color w:val="auto"/>
        </w:rPr>
        <w:tab/>
      </w:r>
      <w:r>
        <w:rPr>
          <w:rFonts w:ascii="Courier New" w:cs="Courier New" w:eastAsia="Courier New" w:hAnsi="Courier New"/>
          <w:sz w:val="15"/>
          <w:szCs w:val="15"/>
          <w:color w:val="auto"/>
        </w:rPr>
        <w:t>2</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2.6</w:t>
        <w:tab/>
        <w:t>Change in Control</w:t>
      </w:r>
      <w:r>
        <w:rPr>
          <w:sz w:val="20"/>
          <w:szCs w:val="20"/>
          <w:color w:val="auto"/>
        </w:rPr>
        <w:tab/>
      </w:r>
      <w:r>
        <w:rPr>
          <w:rFonts w:ascii="Courier New" w:cs="Courier New" w:eastAsia="Courier New" w:hAnsi="Courier New"/>
          <w:sz w:val="15"/>
          <w:szCs w:val="15"/>
          <w:color w:val="auto"/>
        </w:rPr>
        <w:t>2</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2.7</w:t>
        <w:tab/>
        <w:t>Committee</w:t>
      </w:r>
      <w:r>
        <w:rPr>
          <w:sz w:val="20"/>
          <w:szCs w:val="20"/>
          <w:color w:val="auto"/>
        </w:rPr>
        <w:tab/>
      </w:r>
      <w:r>
        <w:rPr>
          <w:rFonts w:ascii="Courier New" w:cs="Courier New" w:eastAsia="Courier New" w:hAnsi="Courier New"/>
          <w:sz w:val="15"/>
          <w:szCs w:val="15"/>
          <w:color w:val="auto"/>
        </w:rPr>
        <w:t>3</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2.8</w:t>
        <w:tab/>
        <w:t>Compensation</w:t>
      </w:r>
      <w:r>
        <w:rPr>
          <w:sz w:val="20"/>
          <w:szCs w:val="20"/>
          <w:color w:val="auto"/>
        </w:rPr>
        <w:tab/>
      </w:r>
      <w:r>
        <w:rPr>
          <w:rFonts w:ascii="Courier New" w:cs="Courier New" w:eastAsia="Courier New" w:hAnsi="Courier New"/>
          <w:sz w:val="15"/>
          <w:szCs w:val="15"/>
          <w:color w:val="auto"/>
        </w:rPr>
        <w:t>3</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2.9</w:t>
        <w:tab/>
        <w:t>Corporation</w:t>
      </w:r>
      <w:r>
        <w:rPr>
          <w:sz w:val="20"/>
          <w:szCs w:val="20"/>
          <w:color w:val="auto"/>
        </w:rPr>
        <w:tab/>
      </w:r>
      <w:r>
        <w:rPr>
          <w:rFonts w:ascii="Courier New" w:cs="Courier New" w:eastAsia="Courier New" w:hAnsi="Courier New"/>
          <w:sz w:val="15"/>
          <w:szCs w:val="15"/>
          <w:color w:val="auto"/>
        </w:rPr>
        <w:t>3</w:t>
      </w:r>
    </w:p>
    <w:p>
      <w:pPr>
        <w:spacing w:after="0" w:line="6" w:lineRule="exact"/>
        <w:rPr>
          <w:sz w:val="20"/>
          <w:szCs w:val="20"/>
          <w:color w:val="auto"/>
        </w:rPr>
      </w:pPr>
    </w:p>
    <w:p>
      <w:pPr>
        <w:ind w:left="460"/>
        <w:spacing w:after="0"/>
        <w:tabs>
          <w:tab w:leader="dot" w:pos="6840" w:val="left"/>
        </w:tabs>
        <w:rPr>
          <w:sz w:val="20"/>
          <w:szCs w:val="20"/>
          <w:color w:val="auto"/>
        </w:rPr>
      </w:pPr>
      <w:r>
        <w:rPr>
          <w:rFonts w:ascii="Courier New" w:cs="Courier New" w:eastAsia="Courier New" w:hAnsi="Courier New"/>
          <w:sz w:val="15"/>
          <w:szCs w:val="15"/>
          <w:color w:val="auto"/>
        </w:rPr>
        <w:t>2.10 Deferral Commitment</w:t>
      </w:r>
      <w:r>
        <w:rPr>
          <w:sz w:val="20"/>
          <w:szCs w:val="20"/>
          <w:color w:val="auto"/>
        </w:rPr>
        <w:tab/>
      </w:r>
      <w:r>
        <w:rPr>
          <w:rFonts w:ascii="Courier New" w:cs="Courier New" w:eastAsia="Courier New" w:hAnsi="Courier New"/>
          <w:sz w:val="15"/>
          <w:szCs w:val="15"/>
          <w:color w:val="auto"/>
        </w:rPr>
        <w:t>3</w:t>
      </w:r>
    </w:p>
    <w:p>
      <w:pPr>
        <w:spacing w:after="0" w:line="6" w:lineRule="exact"/>
        <w:rPr>
          <w:sz w:val="20"/>
          <w:szCs w:val="20"/>
          <w:color w:val="auto"/>
        </w:rPr>
      </w:pPr>
    </w:p>
    <w:p>
      <w:pPr>
        <w:ind w:left="460"/>
        <w:spacing w:after="0"/>
        <w:tabs>
          <w:tab w:leader="dot" w:pos="6840" w:val="left"/>
        </w:tabs>
        <w:rPr>
          <w:sz w:val="20"/>
          <w:szCs w:val="20"/>
          <w:color w:val="auto"/>
        </w:rPr>
      </w:pPr>
      <w:r>
        <w:rPr>
          <w:rFonts w:ascii="Courier New" w:cs="Courier New" w:eastAsia="Courier New" w:hAnsi="Courier New"/>
          <w:sz w:val="15"/>
          <w:szCs w:val="15"/>
          <w:color w:val="auto"/>
        </w:rPr>
        <w:t>2.11 Deferral Period</w:t>
      </w:r>
      <w:r>
        <w:rPr>
          <w:sz w:val="20"/>
          <w:szCs w:val="20"/>
          <w:color w:val="auto"/>
        </w:rPr>
        <w:tab/>
      </w:r>
      <w:r>
        <w:rPr>
          <w:rFonts w:ascii="Courier New" w:cs="Courier New" w:eastAsia="Courier New" w:hAnsi="Courier New"/>
          <w:sz w:val="15"/>
          <w:szCs w:val="15"/>
          <w:color w:val="auto"/>
        </w:rPr>
        <w:t>4</w:t>
      </w:r>
    </w:p>
    <w:p>
      <w:pPr>
        <w:spacing w:after="0" w:line="6" w:lineRule="exact"/>
        <w:rPr>
          <w:sz w:val="20"/>
          <w:szCs w:val="20"/>
          <w:color w:val="auto"/>
        </w:rPr>
      </w:pPr>
    </w:p>
    <w:p>
      <w:pPr>
        <w:ind w:left="460"/>
        <w:spacing w:after="0"/>
        <w:tabs>
          <w:tab w:leader="dot" w:pos="6840" w:val="left"/>
        </w:tabs>
        <w:rPr>
          <w:sz w:val="20"/>
          <w:szCs w:val="20"/>
          <w:color w:val="auto"/>
        </w:rPr>
      </w:pPr>
      <w:r>
        <w:rPr>
          <w:rFonts w:ascii="Courier New" w:cs="Courier New" w:eastAsia="Courier New" w:hAnsi="Courier New"/>
          <w:sz w:val="15"/>
          <w:szCs w:val="15"/>
          <w:color w:val="auto"/>
        </w:rPr>
        <w:t>2.12 Determination Date</w:t>
      </w:r>
      <w:r>
        <w:rPr>
          <w:sz w:val="20"/>
          <w:szCs w:val="20"/>
          <w:color w:val="auto"/>
        </w:rPr>
        <w:tab/>
      </w:r>
      <w:r>
        <w:rPr>
          <w:rFonts w:ascii="Courier New" w:cs="Courier New" w:eastAsia="Courier New" w:hAnsi="Courier New"/>
          <w:sz w:val="15"/>
          <w:szCs w:val="15"/>
          <w:color w:val="auto"/>
        </w:rPr>
        <w:t>4</w:t>
      </w:r>
    </w:p>
    <w:p>
      <w:pPr>
        <w:spacing w:after="0" w:line="6" w:lineRule="exact"/>
        <w:rPr>
          <w:sz w:val="20"/>
          <w:szCs w:val="20"/>
          <w:color w:val="auto"/>
        </w:rPr>
      </w:pPr>
    </w:p>
    <w:p>
      <w:pPr>
        <w:ind w:left="460"/>
        <w:spacing w:after="0"/>
        <w:tabs>
          <w:tab w:leader="dot" w:pos="6840" w:val="left"/>
        </w:tabs>
        <w:rPr>
          <w:sz w:val="20"/>
          <w:szCs w:val="20"/>
          <w:color w:val="auto"/>
        </w:rPr>
      </w:pPr>
      <w:r>
        <w:rPr>
          <w:rFonts w:ascii="Courier New" w:cs="Courier New" w:eastAsia="Courier New" w:hAnsi="Courier New"/>
          <w:sz w:val="15"/>
          <w:szCs w:val="15"/>
          <w:color w:val="auto"/>
        </w:rPr>
        <w:t>2.13 Elective Deferred Compensation</w:t>
      </w:r>
      <w:r>
        <w:rPr>
          <w:sz w:val="20"/>
          <w:szCs w:val="20"/>
          <w:color w:val="auto"/>
        </w:rPr>
        <w:tab/>
      </w:r>
      <w:r>
        <w:rPr>
          <w:rFonts w:ascii="Courier New" w:cs="Courier New" w:eastAsia="Courier New" w:hAnsi="Courier New"/>
          <w:sz w:val="15"/>
          <w:szCs w:val="15"/>
          <w:color w:val="auto"/>
        </w:rPr>
        <w:t>4</w:t>
      </w:r>
    </w:p>
    <w:p>
      <w:pPr>
        <w:spacing w:after="0" w:line="6" w:lineRule="exact"/>
        <w:rPr>
          <w:sz w:val="20"/>
          <w:szCs w:val="20"/>
          <w:color w:val="auto"/>
        </w:rPr>
      </w:pPr>
    </w:p>
    <w:p>
      <w:pPr>
        <w:ind w:left="460"/>
        <w:spacing w:after="0"/>
        <w:tabs>
          <w:tab w:leader="dot" w:pos="6840" w:val="left"/>
        </w:tabs>
        <w:rPr>
          <w:sz w:val="20"/>
          <w:szCs w:val="20"/>
          <w:color w:val="auto"/>
        </w:rPr>
      </w:pPr>
      <w:r>
        <w:rPr>
          <w:rFonts w:ascii="Courier New" w:cs="Courier New" w:eastAsia="Courier New" w:hAnsi="Courier New"/>
          <w:sz w:val="15"/>
          <w:szCs w:val="15"/>
          <w:color w:val="auto"/>
        </w:rPr>
        <w:t>2.14 Financial Hardship</w:t>
      </w:r>
      <w:r>
        <w:rPr>
          <w:sz w:val="20"/>
          <w:szCs w:val="20"/>
          <w:color w:val="auto"/>
        </w:rPr>
        <w:tab/>
      </w:r>
      <w:r>
        <w:rPr>
          <w:rFonts w:ascii="Courier New" w:cs="Courier New" w:eastAsia="Courier New" w:hAnsi="Courier New"/>
          <w:sz w:val="15"/>
          <w:szCs w:val="15"/>
          <w:color w:val="auto"/>
        </w:rPr>
        <w:t>4</w:t>
      </w:r>
    </w:p>
    <w:p>
      <w:pPr>
        <w:spacing w:after="0" w:line="6" w:lineRule="exact"/>
        <w:rPr>
          <w:sz w:val="20"/>
          <w:szCs w:val="20"/>
          <w:color w:val="auto"/>
        </w:rPr>
      </w:pPr>
    </w:p>
    <w:p>
      <w:pPr>
        <w:ind w:left="460"/>
        <w:spacing w:after="0"/>
        <w:tabs>
          <w:tab w:leader="dot" w:pos="6840" w:val="left"/>
        </w:tabs>
        <w:rPr>
          <w:sz w:val="20"/>
          <w:szCs w:val="20"/>
          <w:color w:val="auto"/>
        </w:rPr>
      </w:pPr>
      <w:r>
        <w:rPr>
          <w:rFonts w:ascii="Courier New" w:cs="Courier New" w:eastAsia="Courier New" w:hAnsi="Courier New"/>
          <w:sz w:val="15"/>
          <w:szCs w:val="15"/>
          <w:color w:val="auto"/>
        </w:rPr>
        <w:t>2.15 Interest</w:t>
      </w:r>
      <w:r>
        <w:rPr>
          <w:sz w:val="20"/>
          <w:szCs w:val="20"/>
          <w:color w:val="auto"/>
        </w:rPr>
        <w:tab/>
      </w:r>
      <w:r>
        <w:rPr>
          <w:rFonts w:ascii="Courier New" w:cs="Courier New" w:eastAsia="Courier New" w:hAnsi="Courier New"/>
          <w:sz w:val="15"/>
          <w:szCs w:val="15"/>
          <w:color w:val="auto"/>
        </w:rPr>
        <w:t>4</w:t>
      </w:r>
    </w:p>
    <w:p>
      <w:pPr>
        <w:spacing w:after="0" w:line="6" w:lineRule="exact"/>
        <w:rPr>
          <w:sz w:val="20"/>
          <w:szCs w:val="20"/>
          <w:color w:val="auto"/>
        </w:rPr>
      </w:pPr>
    </w:p>
    <w:p>
      <w:pPr>
        <w:ind w:left="460"/>
        <w:spacing w:after="0"/>
        <w:tabs>
          <w:tab w:leader="dot" w:pos="6840" w:val="left"/>
        </w:tabs>
        <w:rPr>
          <w:sz w:val="20"/>
          <w:szCs w:val="20"/>
          <w:color w:val="auto"/>
        </w:rPr>
      </w:pPr>
      <w:r>
        <w:rPr>
          <w:rFonts w:ascii="Courier New" w:cs="Courier New" w:eastAsia="Courier New" w:hAnsi="Courier New"/>
          <w:sz w:val="15"/>
          <w:szCs w:val="15"/>
          <w:color w:val="auto"/>
        </w:rPr>
        <w:t>2.16 Participant</w:t>
      </w:r>
      <w:r>
        <w:rPr>
          <w:sz w:val="20"/>
          <w:szCs w:val="20"/>
          <w:color w:val="auto"/>
        </w:rPr>
        <w:tab/>
      </w:r>
      <w:r>
        <w:rPr>
          <w:rFonts w:ascii="Courier New" w:cs="Courier New" w:eastAsia="Courier New" w:hAnsi="Courier New"/>
          <w:sz w:val="15"/>
          <w:szCs w:val="15"/>
          <w:color w:val="auto"/>
        </w:rPr>
        <w:t>4</w:t>
      </w:r>
    </w:p>
    <w:p>
      <w:pPr>
        <w:spacing w:after="0" w:line="6" w:lineRule="exact"/>
        <w:rPr>
          <w:sz w:val="20"/>
          <w:szCs w:val="20"/>
          <w:color w:val="auto"/>
        </w:rPr>
      </w:pPr>
    </w:p>
    <w:p>
      <w:pPr>
        <w:ind w:left="460"/>
        <w:spacing w:after="0"/>
        <w:tabs>
          <w:tab w:leader="dot" w:pos="6840" w:val="left"/>
        </w:tabs>
        <w:rPr>
          <w:sz w:val="20"/>
          <w:szCs w:val="20"/>
          <w:color w:val="auto"/>
        </w:rPr>
      </w:pPr>
      <w:r>
        <w:rPr>
          <w:rFonts w:ascii="Courier New" w:cs="Courier New" w:eastAsia="Courier New" w:hAnsi="Courier New"/>
          <w:sz w:val="15"/>
          <w:szCs w:val="15"/>
          <w:color w:val="auto"/>
        </w:rPr>
        <w:t>2.17 Participation Agreement</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460"/>
        <w:spacing w:after="0"/>
        <w:tabs>
          <w:tab w:leader="dot" w:pos="6840" w:val="left"/>
        </w:tabs>
        <w:rPr>
          <w:sz w:val="20"/>
          <w:szCs w:val="20"/>
          <w:color w:val="auto"/>
        </w:rPr>
      </w:pPr>
      <w:r>
        <w:rPr>
          <w:rFonts w:ascii="Courier New" w:cs="Courier New" w:eastAsia="Courier New" w:hAnsi="Courier New"/>
          <w:sz w:val="15"/>
          <w:szCs w:val="15"/>
          <w:color w:val="auto"/>
        </w:rPr>
        <w:t>2.18 Plan Benefit</w:t>
      </w:r>
      <w:r>
        <w:rPr>
          <w:sz w:val="20"/>
          <w:szCs w:val="20"/>
          <w:color w:val="auto"/>
        </w:rPr>
        <w:tab/>
      </w:r>
      <w:r>
        <w:rPr>
          <w:rFonts w:ascii="Courier New" w:cs="Courier New" w:eastAsia="Courier New" w:hAnsi="Courier New"/>
          <w:sz w:val="15"/>
          <w:szCs w:val="15"/>
          <w:color w:val="auto"/>
        </w:rPr>
        <w:t>5</w:t>
      </w:r>
    </w:p>
    <w:p>
      <w:pPr>
        <w:spacing w:after="0" w:line="182"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ARTICLE III--PARTICIPATION AND DEFERRAL COMMITMENTS</w:t>
      </w:r>
      <w:r>
        <w:rPr>
          <w:sz w:val="20"/>
          <w:szCs w:val="20"/>
          <w:color w:val="auto"/>
        </w:rPr>
        <w:tab/>
      </w:r>
      <w:r>
        <w:rPr>
          <w:rFonts w:ascii="Courier New" w:cs="Courier New" w:eastAsia="Courier New" w:hAnsi="Courier New"/>
          <w:sz w:val="15"/>
          <w:szCs w:val="15"/>
          <w:color w:val="auto"/>
        </w:rPr>
        <w:t>5</w:t>
      </w:r>
    </w:p>
    <w:p>
      <w:pPr>
        <w:spacing w:after="0" w:line="182"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3.1</w:t>
        <w:tab/>
        <w:t>Eligibility and Participation</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3.2</w:t>
        <w:tab/>
        <w:t>Form of Deferral</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3.3</w:t>
        <w:tab/>
        <w:t>Elections for Part Years</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3.4</w:t>
        <w:tab/>
        <w:t>Limitation on Deferral</w:t>
      </w:r>
      <w:r>
        <w:rPr>
          <w:sz w:val="20"/>
          <w:szCs w:val="20"/>
          <w:color w:val="auto"/>
        </w:rPr>
        <w:tab/>
      </w:r>
      <w:r>
        <w:rPr>
          <w:rFonts w:ascii="Courier New" w:cs="Courier New" w:eastAsia="Courier New" w:hAnsi="Courier New"/>
          <w:sz w:val="15"/>
          <w:szCs w:val="15"/>
          <w:color w:val="auto"/>
        </w:rPr>
        <w:t>5</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3.5</w:t>
        <w:tab/>
        <w:t>Modification of Deferral Commitment</w:t>
      </w:r>
      <w:r>
        <w:rPr>
          <w:sz w:val="20"/>
          <w:szCs w:val="20"/>
          <w:color w:val="auto"/>
        </w:rPr>
        <w:tab/>
      </w:r>
      <w:r>
        <w:rPr>
          <w:rFonts w:ascii="Courier New" w:cs="Courier New" w:eastAsia="Courier New" w:hAnsi="Courier New"/>
          <w:sz w:val="15"/>
          <w:szCs w:val="15"/>
          <w:color w:val="auto"/>
        </w:rPr>
        <w:t>5</w:t>
      </w:r>
    </w:p>
    <w:p>
      <w:pPr>
        <w:spacing w:after="0" w:line="182"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ARTICLE IV--DEFERRED COMPENSATION ACCOUNT</w:t>
      </w:r>
      <w:r>
        <w:rPr>
          <w:sz w:val="20"/>
          <w:szCs w:val="20"/>
          <w:color w:val="auto"/>
        </w:rPr>
        <w:tab/>
      </w:r>
      <w:r>
        <w:rPr>
          <w:rFonts w:ascii="Courier New" w:cs="Courier New" w:eastAsia="Courier New" w:hAnsi="Courier New"/>
          <w:sz w:val="15"/>
          <w:szCs w:val="15"/>
          <w:color w:val="auto"/>
        </w:rPr>
        <w:t>6</w:t>
      </w:r>
    </w:p>
    <w:p>
      <w:pPr>
        <w:spacing w:after="0" w:line="182"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4.1</w:t>
        <w:tab/>
        <w:t>Accounts</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4.2</w:t>
        <w:tab/>
        <w:t>Initial Account Balance</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4.3</w:t>
        <w:tab/>
        <w:t>Elective Deferred Compensation</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4.4</w:t>
        <w:tab/>
        <w:t>Interest</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4.5</w:t>
        <w:tab/>
        <w:t>Determination of Accounts</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4.6</w:t>
        <w:tab/>
        <w:t>Vesting of Accounts</w:t>
      </w:r>
      <w:r>
        <w:rPr>
          <w:sz w:val="20"/>
          <w:szCs w:val="20"/>
          <w:color w:val="auto"/>
        </w:rPr>
        <w:tab/>
      </w:r>
      <w:r>
        <w:rPr>
          <w:rFonts w:ascii="Courier New" w:cs="Courier New" w:eastAsia="Courier New" w:hAnsi="Courier New"/>
          <w:sz w:val="15"/>
          <w:szCs w:val="15"/>
          <w:color w:val="auto"/>
        </w:rPr>
        <w:t>6</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4.7</w:t>
        <w:tab/>
        <w:t>Statement of Accounts</w:t>
      </w:r>
      <w:r>
        <w:rPr>
          <w:sz w:val="20"/>
          <w:szCs w:val="20"/>
          <w:color w:val="auto"/>
        </w:rPr>
        <w:tab/>
      </w:r>
      <w:r>
        <w:rPr>
          <w:rFonts w:ascii="Courier New" w:cs="Courier New" w:eastAsia="Courier New" w:hAnsi="Courier New"/>
          <w:sz w:val="15"/>
          <w:szCs w:val="15"/>
          <w:color w:val="auto"/>
        </w:rPr>
        <w:t>7</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42" w:right="1440" w:bottom="1440" w:gutter="0" w:footer="0" w:header="0"/>
        </w:sectPr>
      </w:pPr>
    </w:p>
    <w:bookmarkStart w:id="62" w:name="page63"/>
    <w:bookmarkEnd w:id="62"/>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359" w:lineRule="exact"/>
        <w:rPr>
          <w:sz w:val="20"/>
          <w:szCs w:val="20"/>
          <w:color w:val="auto"/>
        </w:rPr>
      </w:pPr>
    </w:p>
    <w:p>
      <w:pPr>
        <w:ind w:left="6680"/>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ARTICLE V--PLAN BENEFITS</w:t>
      </w:r>
      <w:r>
        <w:rPr>
          <w:sz w:val="20"/>
          <w:szCs w:val="20"/>
          <w:color w:val="auto"/>
        </w:rPr>
        <w:tab/>
      </w:r>
      <w:r>
        <w:rPr>
          <w:rFonts w:ascii="Courier New" w:cs="Courier New" w:eastAsia="Courier New" w:hAnsi="Courier New"/>
          <w:sz w:val="15"/>
          <w:szCs w:val="15"/>
          <w:color w:val="auto"/>
        </w:rPr>
        <w:t>7</w:t>
      </w:r>
    </w:p>
    <w:p>
      <w:pPr>
        <w:spacing w:after="0" w:line="182"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5.1</w:t>
        <w:tab/>
        <w:t>Plan Benefit</w:t>
      </w:r>
      <w:r>
        <w:rPr>
          <w:sz w:val="20"/>
          <w:szCs w:val="20"/>
          <w:color w:val="auto"/>
        </w:rPr>
        <w:tab/>
      </w:r>
      <w:r>
        <w:rPr>
          <w:rFonts w:ascii="Courier New" w:cs="Courier New" w:eastAsia="Courier New" w:hAnsi="Courier New"/>
          <w:sz w:val="15"/>
          <w:szCs w:val="15"/>
          <w:color w:val="auto"/>
        </w:rPr>
        <w:t>7</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5.2</w:t>
        <w:tab/>
        <w:t>Death Benefit</w:t>
      </w:r>
      <w:r>
        <w:rPr>
          <w:sz w:val="20"/>
          <w:szCs w:val="20"/>
          <w:color w:val="auto"/>
        </w:rPr>
        <w:tab/>
      </w:r>
      <w:r>
        <w:rPr>
          <w:rFonts w:ascii="Courier New" w:cs="Courier New" w:eastAsia="Courier New" w:hAnsi="Courier New"/>
          <w:sz w:val="15"/>
          <w:szCs w:val="15"/>
          <w:color w:val="auto"/>
        </w:rPr>
        <w:t>7</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5.3</w:t>
        <w:tab/>
        <w:t>In-Service Withdrawals</w:t>
      </w:r>
      <w:r>
        <w:rPr>
          <w:sz w:val="20"/>
          <w:szCs w:val="20"/>
          <w:color w:val="auto"/>
        </w:rPr>
        <w:tab/>
      </w:r>
      <w:r>
        <w:rPr>
          <w:rFonts w:ascii="Courier New" w:cs="Courier New" w:eastAsia="Courier New" w:hAnsi="Courier New"/>
          <w:sz w:val="15"/>
          <w:szCs w:val="15"/>
          <w:color w:val="auto"/>
        </w:rPr>
        <w:t>7</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5.4</w:t>
        <w:tab/>
        <w:t>Hardship Distributions</w:t>
      </w:r>
      <w:r>
        <w:rPr>
          <w:sz w:val="20"/>
          <w:szCs w:val="20"/>
          <w:color w:val="auto"/>
        </w:rPr>
        <w:tab/>
      </w:r>
      <w:r>
        <w:rPr>
          <w:rFonts w:ascii="Courier New" w:cs="Courier New" w:eastAsia="Courier New" w:hAnsi="Courier New"/>
          <w:sz w:val="15"/>
          <w:szCs w:val="15"/>
          <w:color w:val="auto"/>
        </w:rPr>
        <w:t>7</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5.5</w:t>
        <w:tab/>
        <w:t>Form of Benefit Payment</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5.6</w:t>
        <w:tab/>
        <w:t>Small Accounts</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5.7</w:t>
        <w:tab/>
        <w:t>Accelerated Distribution</w:t>
      </w:r>
      <w:r>
        <w:rPr>
          <w:sz w:val="20"/>
          <w:szCs w:val="20"/>
          <w:color w:val="auto"/>
        </w:rPr>
        <w:tab/>
      </w:r>
      <w:r>
        <w:rPr>
          <w:rFonts w:ascii="Courier New" w:cs="Courier New" w:eastAsia="Courier New" w:hAnsi="Courier New"/>
          <w:sz w:val="15"/>
          <w:szCs w:val="15"/>
          <w:color w:val="auto"/>
        </w:rPr>
        <w:t>8</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5.8</w:t>
        <w:tab/>
        <w:t>Payment to Guardian</w:t>
      </w:r>
      <w:r>
        <w:rPr>
          <w:sz w:val="20"/>
          <w:szCs w:val="20"/>
          <w:color w:val="auto"/>
        </w:rPr>
        <w:tab/>
      </w:r>
      <w:r>
        <w:rPr>
          <w:rFonts w:ascii="Courier New" w:cs="Courier New" w:eastAsia="Courier New" w:hAnsi="Courier New"/>
          <w:sz w:val="15"/>
          <w:szCs w:val="15"/>
          <w:color w:val="auto"/>
        </w:rPr>
        <w:t>8</w:t>
      </w:r>
    </w:p>
    <w:p>
      <w:pPr>
        <w:spacing w:after="0" w:line="182"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ARTICLE VI--BENEFICIARY DESIGNATION</w:t>
      </w:r>
      <w:r>
        <w:rPr>
          <w:sz w:val="20"/>
          <w:szCs w:val="20"/>
          <w:color w:val="auto"/>
        </w:rPr>
        <w:tab/>
      </w:r>
      <w:r>
        <w:rPr>
          <w:rFonts w:ascii="Courier New" w:cs="Courier New" w:eastAsia="Courier New" w:hAnsi="Courier New"/>
          <w:sz w:val="15"/>
          <w:szCs w:val="15"/>
          <w:color w:val="auto"/>
        </w:rPr>
        <w:t>9</w:t>
      </w:r>
    </w:p>
    <w:p>
      <w:pPr>
        <w:spacing w:after="0" w:line="182"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6.1</w:t>
        <w:tab/>
        <w:t>Beneficiary Designation</w:t>
      </w:r>
      <w:r>
        <w:rPr>
          <w:sz w:val="20"/>
          <w:szCs w:val="20"/>
          <w:color w:val="auto"/>
        </w:rPr>
        <w:tab/>
      </w:r>
      <w:r>
        <w:rPr>
          <w:rFonts w:ascii="Courier New" w:cs="Courier New" w:eastAsia="Courier New" w:hAnsi="Courier New"/>
          <w:sz w:val="15"/>
          <w:szCs w:val="15"/>
          <w:color w:val="auto"/>
        </w:rPr>
        <w:t>9</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6.2</w:t>
        <w:tab/>
        <w:t>Changing Beneficiary</w:t>
      </w:r>
      <w:r>
        <w:rPr>
          <w:sz w:val="20"/>
          <w:szCs w:val="20"/>
          <w:color w:val="auto"/>
        </w:rPr>
        <w:tab/>
      </w:r>
      <w:r>
        <w:rPr>
          <w:rFonts w:ascii="Courier New" w:cs="Courier New" w:eastAsia="Courier New" w:hAnsi="Courier New"/>
          <w:sz w:val="15"/>
          <w:szCs w:val="15"/>
          <w:color w:val="auto"/>
        </w:rPr>
        <w:t>9</w:t>
      </w:r>
    </w:p>
    <w:p>
      <w:pPr>
        <w:spacing w:after="0" w:line="6" w:lineRule="exact"/>
        <w:rPr>
          <w:sz w:val="20"/>
          <w:szCs w:val="20"/>
          <w:color w:val="auto"/>
        </w:rPr>
      </w:pPr>
    </w:p>
    <w:p>
      <w:pPr>
        <w:ind w:left="460"/>
        <w:spacing w:after="0"/>
        <w:tabs>
          <w:tab w:leader="none" w:pos="900" w:val="left"/>
          <w:tab w:leader="dot" w:pos="6840" w:val="left"/>
        </w:tabs>
        <w:rPr>
          <w:sz w:val="20"/>
          <w:szCs w:val="20"/>
          <w:color w:val="auto"/>
        </w:rPr>
      </w:pPr>
      <w:r>
        <w:rPr>
          <w:rFonts w:ascii="Courier New" w:cs="Courier New" w:eastAsia="Courier New" w:hAnsi="Courier New"/>
          <w:sz w:val="15"/>
          <w:szCs w:val="15"/>
          <w:color w:val="auto"/>
        </w:rPr>
        <w:t>6.3</w:t>
        <w:tab/>
        <w:t>Community Property</w:t>
      </w:r>
      <w:r>
        <w:rPr>
          <w:sz w:val="20"/>
          <w:szCs w:val="20"/>
          <w:color w:val="auto"/>
        </w:rPr>
        <w:tab/>
      </w:r>
      <w:r>
        <w:rPr>
          <w:rFonts w:ascii="Courier New" w:cs="Courier New" w:eastAsia="Courier New" w:hAnsi="Courier New"/>
          <w:sz w:val="15"/>
          <w:szCs w:val="15"/>
          <w:color w:val="auto"/>
        </w:rPr>
        <w:t>9</w:t>
      </w:r>
    </w:p>
    <w:p>
      <w:pPr>
        <w:spacing w:after="0" w:line="6"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6.4</w:t>
        <w:tab/>
        <w:t>No Beneficiary Designation</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6.5</w:t>
        <w:tab/>
        <w:t>Effect of Payment</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ARTICLE VII--ADMINISTRATION</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7.1</w:t>
        <w:tab/>
        <w:t>Committee; Duties</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7.2</w:t>
        <w:tab/>
        <w:t>Agents</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7.3</w:t>
        <w:tab/>
        <w:t>Binding Effect of Decisions</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7.4</w:t>
        <w:tab/>
        <w:t>Indemnity of Committee</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ARTICLE VIII--CLAIMS PROCEDURE</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8.1</w:t>
        <w:tab/>
        <w:t>Claim</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8.2</w:t>
        <w:tab/>
        <w:t>Denial of Claim</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8.3</w:t>
        <w:tab/>
        <w:t>Review of Claim</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8.4</w:t>
        <w:tab/>
        <w:t>Final Decision</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ARTICLE IX--AMENDMENT AND TERMINATION OF PLAN</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9.1</w:t>
        <w:tab/>
        <w:t>Amendment</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ind w:left="460"/>
        <w:spacing w:after="0"/>
        <w:tabs>
          <w:tab w:leader="none" w:pos="900" w:val="left"/>
          <w:tab w:leader="dot" w:pos="6760" w:val="left"/>
        </w:tabs>
        <w:rPr>
          <w:sz w:val="20"/>
          <w:szCs w:val="20"/>
          <w:color w:val="auto"/>
        </w:rPr>
      </w:pPr>
      <w:r>
        <w:rPr>
          <w:rFonts w:ascii="Courier New" w:cs="Courier New" w:eastAsia="Courier New" w:hAnsi="Courier New"/>
          <w:sz w:val="15"/>
          <w:szCs w:val="15"/>
          <w:color w:val="auto"/>
        </w:rPr>
        <w:t>9.2</w:t>
        <w:tab/>
        <w:t>Corporation's Right to Terminate</w:t>
      </w:r>
      <w:r>
        <w:rPr>
          <w:sz w:val="20"/>
          <w:szCs w:val="20"/>
          <w:color w:val="auto"/>
        </w:rPr>
        <w:tab/>
      </w:r>
      <w:r>
        <w:rPr>
          <w:rFonts w:ascii="Courier New" w:cs="Courier New" w:eastAsia="Courier New" w:hAnsi="Courier New"/>
          <w:sz w:val="15"/>
          <w:szCs w:val="15"/>
          <w:color w:val="auto"/>
        </w:rPr>
        <w:t>12</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47" w:right="1440" w:bottom="1440" w:gutter="0" w:footer="0" w:header="0"/>
        </w:sectPr>
      </w:pPr>
    </w:p>
    <w:bookmarkStart w:id="63" w:name="page64"/>
    <w:bookmarkEnd w:id="63"/>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6" w:lineRule="exact"/>
        <w:rPr>
          <w:sz w:val="20"/>
          <w:szCs w:val="20"/>
          <w:color w:val="auto"/>
        </w:rPr>
      </w:pPr>
    </w:p>
    <w:p>
      <w:pPr>
        <w:ind w:left="6680"/>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ARTICLE X--MISCELLANEOUS</w:t>
      </w:r>
      <w:r>
        <w:rPr>
          <w:sz w:val="20"/>
          <w:szCs w:val="20"/>
          <w:color w:val="auto"/>
        </w:rPr>
        <w:tab/>
      </w:r>
      <w:r>
        <w:rPr>
          <w:rFonts w:ascii="Courier New" w:cs="Courier New" w:eastAsia="Courier New" w:hAnsi="Courier New"/>
          <w:sz w:val="15"/>
          <w:szCs w:val="15"/>
          <w:color w:val="auto"/>
        </w:rPr>
        <w:t>12</w:t>
      </w:r>
    </w:p>
    <w:p>
      <w:pPr>
        <w:spacing w:after="0" w:line="182" w:lineRule="exact"/>
        <w:rPr>
          <w:sz w:val="20"/>
          <w:szCs w:val="20"/>
          <w:color w:val="auto"/>
        </w:rPr>
      </w:pPr>
    </w:p>
    <w:p>
      <w:pPr>
        <w:ind w:left="460"/>
        <w:spacing w:after="0"/>
        <w:tabs>
          <w:tab w:leader="none" w:pos="980" w:val="left"/>
          <w:tab w:leader="dot" w:pos="6760" w:val="left"/>
        </w:tabs>
        <w:rPr>
          <w:sz w:val="20"/>
          <w:szCs w:val="20"/>
          <w:color w:val="auto"/>
        </w:rPr>
      </w:pPr>
      <w:r>
        <w:rPr>
          <w:rFonts w:ascii="Courier New" w:cs="Courier New" w:eastAsia="Courier New" w:hAnsi="Courier New"/>
          <w:sz w:val="15"/>
          <w:szCs w:val="15"/>
          <w:color w:val="auto"/>
        </w:rPr>
        <w:t>10.1</w:t>
        <w:tab/>
        <w:t>Unfunded Plan</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ind w:left="460"/>
        <w:spacing w:after="0"/>
        <w:tabs>
          <w:tab w:leader="none" w:pos="980" w:val="left"/>
          <w:tab w:leader="dot" w:pos="6760" w:val="left"/>
        </w:tabs>
        <w:rPr>
          <w:sz w:val="20"/>
          <w:szCs w:val="20"/>
          <w:color w:val="auto"/>
        </w:rPr>
      </w:pPr>
      <w:r>
        <w:rPr>
          <w:rFonts w:ascii="Courier New" w:cs="Courier New" w:eastAsia="Courier New" w:hAnsi="Courier New"/>
          <w:sz w:val="15"/>
          <w:szCs w:val="15"/>
          <w:color w:val="auto"/>
        </w:rPr>
        <w:t>10.2</w:t>
        <w:tab/>
        <w:t>Unsecured General Creditor</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460"/>
        <w:spacing w:after="0"/>
        <w:tabs>
          <w:tab w:leader="none" w:pos="980" w:val="left"/>
          <w:tab w:leader="dot" w:pos="6760" w:val="left"/>
        </w:tabs>
        <w:rPr>
          <w:sz w:val="20"/>
          <w:szCs w:val="20"/>
          <w:color w:val="auto"/>
        </w:rPr>
      </w:pPr>
      <w:r>
        <w:rPr>
          <w:rFonts w:ascii="Courier New" w:cs="Courier New" w:eastAsia="Courier New" w:hAnsi="Courier New"/>
          <w:sz w:val="15"/>
          <w:szCs w:val="15"/>
          <w:color w:val="auto"/>
        </w:rPr>
        <w:t>10.3</w:t>
        <w:tab/>
        <w:t>Trust Fund</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460"/>
        <w:spacing w:after="0"/>
        <w:tabs>
          <w:tab w:leader="none" w:pos="980" w:val="left"/>
          <w:tab w:leader="dot" w:pos="6760" w:val="left"/>
        </w:tabs>
        <w:rPr>
          <w:sz w:val="20"/>
          <w:szCs w:val="20"/>
          <w:color w:val="auto"/>
        </w:rPr>
      </w:pPr>
      <w:r>
        <w:rPr>
          <w:rFonts w:ascii="Courier New" w:cs="Courier New" w:eastAsia="Courier New" w:hAnsi="Courier New"/>
          <w:sz w:val="15"/>
          <w:szCs w:val="15"/>
          <w:color w:val="auto"/>
        </w:rPr>
        <w:t>10.4</w:t>
        <w:tab/>
        <w:t>Nonassignability</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460"/>
        <w:spacing w:after="0"/>
        <w:tabs>
          <w:tab w:leader="none" w:pos="980" w:val="left"/>
          <w:tab w:leader="dot" w:pos="6760" w:val="left"/>
        </w:tabs>
        <w:rPr>
          <w:sz w:val="20"/>
          <w:szCs w:val="20"/>
          <w:color w:val="auto"/>
        </w:rPr>
      </w:pPr>
      <w:r>
        <w:rPr>
          <w:rFonts w:ascii="Courier New" w:cs="Courier New" w:eastAsia="Courier New" w:hAnsi="Courier New"/>
          <w:sz w:val="15"/>
          <w:szCs w:val="15"/>
          <w:color w:val="auto"/>
        </w:rPr>
        <w:t>10.5</w:t>
        <w:tab/>
        <w:t>Not a Contract of Future Service on Board</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460"/>
        <w:spacing w:after="0"/>
        <w:tabs>
          <w:tab w:leader="none" w:pos="980" w:val="left"/>
          <w:tab w:leader="dot" w:pos="6760" w:val="left"/>
        </w:tabs>
        <w:rPr>
          <w:sz w:val="20"/>
          <w:szCs w:val="20"/>
          <w:color w:val="auto"/>
        </w:rPr>
      </w:pPr>
      <w:r>
        <w:rPr>
          <w:rFonts w:ascii="Courier New" w:cs="Courier New" w:eastAsia="Courier New" w:hAnsi="Courier New"/>
          <w:sz w:val="15"/>
          <w:szCs w:val="15"/>
          <w:color w:val="auto"/>
        </w:rPr>
        <w:t>10.6</w:t>
        <w:tab/>
        <w:t>Protective Provisions</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460"/>
        <w:spacing w:after="0"/>
        <w:tabs>
          <w:tab w:leader="none" w:pos="980" w:val="left"/>
          <w:tab w:leader="dot" w:pos="6760" w:val="left"/>
        </w:tabs>
        <w:rPr>
          <w:sz w:val="20"/>
          <w:szCs w:val="20"/>
          <w:color w:val="auto"/>
        </w:rPr>
      </w:pPr>
      <w:r>
        <w:rPr>
          <w:rFonts w:ascii="Courier New" w:cs="Courier New" w:eastAsia="Courier New" w:hAnsi="Courier New"/>
          <w:sz w:val="15"/>
          <w:szCs w:val="15"/>
          <w:color w:val="auto"/>
        </w:rPr>
        <w:t>10.7</w:t>
        <w:tab/>
        <w:t>Terms</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460"/>
        <w:spacing w:after="0"/>
        <w:tabs>
          <w:tab w:leader="none" w:pos="980" w:val="left"/>
          <w:tab w:leader="dot" w:pos="6760" w:val="left"/>
        </w:tabs>
        <w:rPr>
          <w:sz w:val="20"/>
          <w:szCs w:val="20"/>
          <w:color w:val="auto"/>
        </w:rPr>
      </w:pPr>
      <w:r>
        <w:rPr>
          <w:rFonts w:ascii="Courier New" w:cs="Courier New" w:eastAsia="Courier New" w:hAnsi="Courier New"/>
          <w:sz w:val="15"/>
          <w:szCs w:val="15"/>
          <w:color w:val="auto"/>
        </w:rPr>
        <w:t>10.8</w:t>
        <w:tab/>
        <w:t>Captions</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ind w:left="460"/>
        <w:spacing w:after="0"/>
        <w:tabs>
          <w:tab w:leader="none" w:pos="980" w:val="left"/>
          <w:tab w:leader="dot" w:pos="6760" w:val="left"/>
        </w:tabs>
        <w:rPr>
          <w:sz w:val="20"/>
          <w:szCs w:val="20"/>
          <w:color w:val="auto"/>
        </w:rPr>
      </w:pPr>
      <w:r>
        <w:rPr>
          <w:rFonts w:ascii="Courier New" w:cs="Courier New" w:eastAsia="Courier New" w:hAnsi="Courier New"/>
          <w:sz w:val="15"/>
          <w:szCs w:val="15"/>
          <w:color w:val="auto"/>
        </w:rPr>
        <w:t>10.9</w:t>
        <w:tab/>
        <w:t>Governing Law; Arbitration</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ind w:left="460"/>
        <w:spacing w:after="0"/>
        <w:tabs>
          <w:tab w:leader="dot" w:pos="6760" w:val="left"/>
        </w:tabs>
        <w:rPr>
          <w:sz w:val="20"/>
          <w:szCs w:val="20"/>
          <w:color w:val="auto"/>
        </w:rPr>
      </w:pPr>
      <w:r>
        <w:rPr>
          <w:rFonts w:ascii="Courier New" w:cs="Courier New" w:eastAsia="Courier New" w:hAnsi="Courier New"/>
          <w:sz w:val="15"/>
          <w:szCs w:val="15"/>
          <w:color w:val="auto"/>
        </w:rPr>
        <w:t>10.10 Validity</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ind w:left="460"/>
        <w:spacing w:after="0"/>
        <w:tabs>
          <w:tab w:leader="dot" w:pos="6760" w:val="left"/>
        </w:tabs>
        <w:rPr>
          <w:sz w:val="20"/>
          <w:szCs w:val="20"/>
          <w:color w:val="auto"/>
        </w:rPr>
      </w:pPr>
      <w:r>
        <w:rPr>
          <w:rFonts w:ascii="Courier New" w:cs="Courier New" w:eastAsia="Courier New" w:hAnsi="Courier New"/>
          <w:sz w:val="15"/>
          <w:szCs w:val="15"/>
          <w:color w:val="auto"/>
        </w:rPr>
        <w:t>10.11 Notice</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ind w:left="460"/>
        <w:spacing w:after="0"/>
        <w:tabs>
          <w:tab w:leader="dot" w:pos="6760" w:val="left"/>
        </w:tabs>
        <w:rPr>
          <w:sz w:val="20"/>
          <w:szCs w:val="20"/>
          <w:color w:val="auto"/>
        </w:rPr>
      </w:pPr>
      <w:r>
        <w:rPr>
          <w:rFonts w:ascii="Courier New" w:cs="Courier New" w:eastAsia="Courier New" w:hAnsi="Courier New"/>
          <w:sz w:val="15"/>
          <w:szCs w:val="15"/>
          <w:color w:val="auto"/>
        </w:rPr>
        <w:t>10.12 Successors</w:t>
      </w:r>
      <w:r>
        <w:rPr>
          <w:sz w:val="20"/>
          <w:szCs w:val="20"/>
          <w:color w:val="auto"/>
        </w:rPr>
        <w:tab/>
      </w:r>
      <w:r>
        <w:rPr>
          <w:rFonts w:ascii="Courier New" w:cs="Courier New" w:eastAsia="Courier New" w:hAnsi="Courier New"/>
          <w:sz w:val="15"/>
          <w:szCs w:val="15"/>
          <w:color w:val="auto"/>
        </w:rPr>
        <w:t>14</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47" w:right="1440" w:bottom="1440" w:gutter="0" w:footer="0" w:header="0"/>
        </w:sectPr>
      </w:pPr>
    </w:p>
    <w:bookmarkStart w:id="64" w:name="page65"/>
    <w:bookmarkEnd w:id="64"/>
    <w:p>
      <w:pPr>
        <w:jc w:val="center"/>
        <w:ind w:right="2819"/>
        <w:spacing w:after="0"/>
        <w:rPr>
          <w:sz w:val="20"/>
          <w:szCs w:val="20"/>
          <w:color w:val="auto"/>
        </w:rPr>
      </w:pPr>
      <w:r>
        <w:rPr>
          <w:rFonts w:ascii="Courier New" w:cs="Courier New" w:eastAsia="Courier New" w:hAnsi="Courier New"/>
          <w:sz w:val="15"/>
          <w:szCs w:val="15"/>
          <w:color w:val="auto"/>
        </w:rPr>
        <w:t>LOUISIANA-PACIFIC CORPORATION</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DIRECTORS' DEFERRED COMPENSATION PLAN</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I--PURPOSE; EFFECTIVE DATE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purpose of this Directors' Deferred Compensation Plan (the"Plan") is to provide current tax planning opportunities as well as supplemental funds for retirement or death for Directors of Louisiana- Pacific Corporation (the "Corporation"). It is intended that the Plan will aid in attracting and retaining Directors of exceptional ability by providing them with these benefits. The Plan shall be effective as of July 1, 1997. The terms of this Plan supersede and replace the terms of the Louisiana-Pacific Corporation Director's Deferred Compensation Plan dated August 1, 1985 ("Prior Plan"), and, effective on and after July 1, 1997, the amount of any Director's deferred account under the Prior Plan, computed as of June 30, 1997, shall be subject to and governed by the terms of this Plan.</w:t>
      </w:r>
    </w:p>
    <w:p>
      <w:pPr>
        <w:spacing w:after="0" w:line="17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ARTICLE II--DEFINITIONS</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For the purposes of this Plan, the following terms shall have the meanings indicated unless the context clearly indicates otherwise: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Account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"Account" means an Account maintained by the Corporation in accordance with Article IV with respect to any deferral of Compensation pursuant to the Plan. A Participant's Account shall be utilized solely as a device for the determination and measurement of the amounts to be paid to the Participant pursuant to the Plan. A Participant's Account shall not constitute or be treated as a trust fund of any kind.</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Acquiring Person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"Acquiring Person" means any person or related person or related persons which constitute a "group" for purposes of Section 13(d) and Rule 13d-5 under the Securities Exchange Act of 1934 as amended (the "Exchange Act"); provided, however, that the term Acquiring Person shall not include:</w:t>
      </w:r>
    </w:p>
    <w:p>
      <w:pPr>
        <w:spacing w:after="0" w:line="176" w:lineRule="exact"/>
        <w:rPr>
          <w:sz w:val="20"/>
          <w:szCs w:val="20"/>
          <w:color w:val="auto"/>
        </w:rPr>
      </w:pPr>
    </w:p>
    <w:p>
      <w:pPr>
        <w:ind w:left="1640" w:hanging="363"/>
        <w:spacing w:after="0"/>
        <w:tabs>
          <w:tab w:leader="none" w:pos="16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or any of its Subsidiaries;</w:t>
      </w:r>
    </w:p>
    <w:p>
      <w:pPr>
        <w:spacing w:after="0" w:line="182" w:lineRule="exact"/>
        <w:rPr>
          <w:rFonts w:ascii="Courier New" w:cs="Courier New" w:eastAsia="Courier New" w:hAnsi="Courier New"/>
          <w:sz w:val="15"/>
          <w:szCs w:val="15"/>
          <w:color w:val="auto"/>
        </w:rPr>
      </w:pPr>
    </w:p>
    <w:p>
      <w:pPr>
        <w:ind w:right="2899" w:firstLine="1277"/>
        <w:spacing w:after="0" w:line="250" w:lineRule="auto"/>
        <w:tabs>
          <w:tab w:leader="none" w:pos="16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employee benefit plan or related trust of Corporation or any of its Subsidiaries;</w:t>
      </w:r>
    </w:p>
    <w:p>
      <w:pPr>
        <w:spacing w:after="0" w:line="174"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entity holding voting capital stock of Corporation for or pursuant to the terms of any such employee benefit plan; or</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solely because such person or group has voting power with respect to capital stock of Corporation arising from a revocable proxy or consent given in response to a public proxy or consent solicitation made pursuant to the Exchange 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1 - DIRECTORS' DEFERRED COMPENSATION PLAN</w:t>
      </w:r>
    </w:p>
    <w:p>
      <w:pPr>
        <w:sectPr>
          <w:pgSz w:w="11900" w:h="16838" w:orient="portrait"/>
          <w:cols w:equalWidth="0" w:num="1">
            <w:col w:w="10219"/>
          </w:cols>
          <w:pgMar w:left="240" w:top="470" w:right="1440" w:bottom="1440" w:gutter="0" w:footer="0" w:header="0"/>
        </w:sectPr>
      </w:pPr>
    </w:p>
    <w:bookmarkStart w:id="65" w:name="page66"/>
    <w:bookmarkEnd w:id="65"/>
    <w:p>
      <w:pPr>
        <w:spacing w:after="0"/>
        <w:tabs>
          <w:tab w:leader="none" w:pos="8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Actuarial Equivalent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"Actuarial Equivalent" means equivalence in value between two (2) or more forms and/or times of payment based on a determination by an actuary chosen by the Corporation, using sound actuarial assumptions at the time of such determination.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Beneficiary</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"Beneficiary" means the person, persons or entity entitled under Article VI to receive any Plan benefits payable after a Participant's death.</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Board</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"Board" means the Board of Directors of the Corporation.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Change in Control</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 "Change in Control" shall occur upon:</w:t>
      </w:r>
    </w:p>
    <w:p>
      <w:pPr>
        <w:spacing w:after="0" w:line="182" w:lineRule="exact"/>
        <w:rPr>
          <w:sz w:val="20"/>
          <w:szCs w:val="20"/>
          <w:color w:val="auto"/>
        </w:rPr>
      </w:pPr>
    </w:p>
    <w:p>
      <w:pPr>
        <w:jc w:val="both"/>
        <w:ind w:left="820" w:right="2899" w:firstLine="457"/>
        <w:spacing w:after="0" w:line="249" w:lineRule="auto"/>
        <w:tabs>
          <w:tab w:leader="none" w:pos="173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Acquiring Person of beneficial ownership (within the meaning of Rule 13d-3 under the Exchange Act) of twenty percent (20%) or more of the combined voting power of the then outstanding Voting Securities; provided, however, that for purposes of this paragraph (a), the following acquisitions will not constitute a Change in Control:</w:t>
      </w:r>
    </w:p>
    <w:p>
      <w:pPr>
        <w:spacing w:after="0" w:line="175" w:lineRule="exact"/>
        <w:rPr>
          <w:rFonts w:ascii="Courier New" w:cs="Courier New" w:eastAsia="Courier New" w:hAnsi="Courier New"/>
          <w:sz w:val="15"/>
          <w:szCs w:val="15"/>
          <w:color w:val="auto"/>
        </w:rPr>
      </w:pPr>
    </w:p>
    <w:p>
      <w:pPr>
        <w:ind w:left="2280" w:hanging="545"/>
        <w:spacing w:after="0"/>
        <w:tabs>
          <w:tab w:leader="none" w:pos="228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directly from Corporation;</w:t>
      </w:r>
    </w:p>
    <w:p>
      <w:pPr>
        <w:spacing w:after="0" w:line="182" w:lineRule="exact"/>
        <w:rPr>
          <w:rFonts w:ascii="Courier New" w:cs="Courier New" w:eastAsia="Courier New" w:hAnsi="Courier New"/>
          <w:sz w:val="15"/>
          <w:szCs w:val="15"/>
          <w:color w:val="auto"/>
        </w:rPr>
      </w:pPr>
    </w:p>
    <w:p>
      <w:pPr>
        <w:ind w:left="2280" w:hanging="545"/>
        <w:spacing w:after="0"/>
        <w:tabs>
          <w:tab w:leader="none" w:pos="228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Corporation;</w:t>
      </w:r>
    </w:p>
    <w:p>
      <w:pPr>
        <w:spacing w:after="0" w:line="182" w:lineRule="exact"/>
        <w:rPr>
          <w:rFonts w:ascii="Courier New" w:cs="Courier New" w:eastAsia="Courier New" w:hAnsi="Courier New"/>
          <w:sz w:val="15"/>
          <w:szCs w:val="15"/>
          <w:color w:val="auto"/>
        </w:rPr>
      </w:pPr>
    </w:p>
    <w:p>
      <w:pPr>
        <w:ind w:left="820" w:right="2899" w:firstLine="915"/>
        <w:spacing w:after="0" w:line="249" w:lineRule="auto"/>
        <w:tabs>
          <w:tab w:leader="none" w:pos="228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any employee benefit plan (or related trust) sponsored or maintained by Corporation or any corporation controlled by Corporation; or</w:t>
      </w:r>
    </w:p>
    <w:p>
      <w:pPr>
        <w:spacing w:after="0" w:line="175" w:lineRule="exact"/>
        <w:rPr>
          <w:rFonts w:ascii="Courier New" w:cs="Courier New" w:eastAsia="Courier New" w:hAnsi="Courier New"/>
          <w:sz w:val="15"/>
          <w:szCs w:val="15"/>
          <w:color w:val="auto"/>
        </w:rPr>
      </w:pPr>
    </w:p>
    <w:p>
      <w:pPr>
        <w:jc w:val="both"/>
        <w:ind w:left="820" w:right="2899" w:firstLine="915"/>
        <w:spacing w:after="0" w:line="249" w:lineRule="auto"/>
        <w:tabs>
          <w:tab w:leader="none" w:pos="228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any corporation pursuant to a transaction that complies with clauses (i), (ii), and (iii) of paragraph (c) of this definition of Change in Control; or</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8" w:lineRule="auto"/>
        <w:tabs>
          <w:tab w:leader="none" w:pos="164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twelve (12) consecutive calendar months, individuals who at the beginning of such period constitute the Board (the "Incumbent Board") cease for any reason to constitute at least a majority of the Board; provided, however, that any individual who becomes a director during the period whose election, or nomination for election, by Corporation's shareholders was approved by vote of at least a majority of the directors then constituting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3"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or sale or other disposition of all or substantially all of the assets of Corporation (a "Business Combination") in each case, unless, following such Business Combination: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2 - DIRECTORS' DEFERRED COMPENSATION PLAN</w:t>
      </w:r>
    </w:p>
    <w:p>
      <w:pPr>
        <w:sectPr>
          <w:pgSz w:w="11900" w:h="16838" w:orient="portrait"/>
          <w:cols w:equalWidth="0" w:num="1">
            <w:col w:w="10219"/>
          </w:cols>
          <w:pgMar w:left="240" w:top="647" w:right="1440" w:bottom="1440" w:gutter="0" w:footer="0" w:header="0"/>
        </w:sectPr>
      </w:pPr>
    </w:p>
    <w:bookmarkStart w:id="66" w:name="page67"/>
    <w:bookmarkEnd w:id="66"/>
    <w:p>
      <w:pPr>
        <w:jc w:val="both"/>
        <w:ind w:left="820" w:right="2899" w:firstLine="915"/>
        <w:spacing w:after="0" w:line="248" w:lineRule="auto"/>
        <w:tabs>
          <w:tab w:leader="none" w:pos="210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substantially all of the individuals and entities who were the beneficial owners of the Voting Securities outstanding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Corporation or all or substantially all of Corporation's assets either directly or through one (1) or more subsidiaries) in substantially the same proportions as their ownership, immediately prior to such Business Combination, of the Voting Securities;</w:t>
      </w:r>
    </w:p>
    <w:p>
      <w:pPr>
        <w:spacing w:after="0" w:line="183" w:lineRule="exact"/>
        <w:rPr>
          <w:rFonts w:ascii="Courier New" w:cs="Courier New" w:eastAsia="Courier New" w:hAnsi="Courier New"/>
          <w:sz w:val="15"/>
          <w:szCs w:val="15"/>
          <w:color w:val="auto"/>
        </w:rPr>
      </w:pPr>
    </w:p>
    <w:p>
      <w:pPr>
        <w:jc w:val="both"/>
        <w:ind w:left="820" w:right="2899" w:firstLine="915"/>
        <w:spacing w:after="0" w:line="249" w:lineRule="auto"/>
        <w:tabs>
          <w:tab w:leader="none" w:pos="219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(excluding any employee benefit plan, or related trust, of Corporation or such corporation resulting from such Business Combination) beneficially owns, directly or indirectly, twenty percent (20%)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w:t>
      </w:r>
    </w:p>
    <w:p>
      <w:pPr>
        <w:spacing w:after="0" w:line="175" w:lineRule="exact"/>
        <w:rPr>
          <w:rFonts w:ascii="Courier New" w:cs="Courier New" w:eastAsia="Courier New" w:hAnsi="Courier New"/>
          <w:sz w:val="15"/>
          <w:szCs w:val="15"/>
          <w:color w:val="auto"/>
        </w:rPr>
      </w:pPr>
    </w:p>
    <w:p>
      <w:pPr>
        <w:jc w:val="both"/>
        <w:ind w:left="820" w:right="2899" w:firstLine="915"/>
        <w:spacing w:after="0" w:line="249" w:lineRule="auto"/>
        <w:tabs>
          <w:tab w:leader="none" w:pos="228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w:t>
      </w:r>
    </w:p>
    <w:p>
      <w:pPr>
        <w:spacing w:after="0" w:line="176" w:lineRule="exact"/>
        <w:rPr>
          <w:sz w:val="20"/>
          <w:szCs w:val="20"/>
          <w:color w:val="auto"/>
        </w:rPr>
      </w:pPr>
    </w:p>
    <w:p>
      <w:pPr>
        <w:ind w:left="820" w:right="2899" w:firstLine="457"/>
        <w:spacing w:after="0" w:line="250" w:lineRule="auto"/>
        <w:tabs>
          <w:tab w:leader="none" w:pos="164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Corporation of any plan or proposal for the liquidation or dissolution of Corporation.</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Committee</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"Committee" means the Committee appointed by the Chief Executive Officer to administer the Plan pursuant to Article VII.</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Compensation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"Compensation" means Board and meeting fees payable to a Participant during the calendar year. Compensation does not include expense reimbursements, or any form of noncash compensation or benefits.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Corporation</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"Corporation" means Louisiana-Pacific Corporation, a Delaware corporation, or any successor to the business thereof.</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Deferral Commitment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"Deferral Commitment" means a Deferral Commitment made by a Participant pursuant to Article III and for which a Participation Agreement has been submitted by the Participant to the Committee.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3 - DIRECTORS' DEFERRED COMPENSATION PLAN</w:t>
      </w:r>
    </w:p>
    <w:p>
      <w:pPr>
        <w:sectPr>
          <w:pgSz w:w="11900" w:h="16838" w:orient="portrait"/>
          <w:cols w:equalWidth="0" w:num="1">
            <w:col w:w="10219"/>
          </w:cols>
          <w:pgMar w:left="240" w:top="647" w:right="1440" w:bottom="1440" w:gutter="0" w:footer="0" w:header="0"/>
        </w:sectPr>
      </w:pPr>
    </w:p>
    <w:bookmarkStart w:id="67" w:name="page68"/>
    <w:bookmarkEnd w:id="67"/>
    <w:p>
      <w:pPr>
        <w:ind w:left="6"/>
        <w:spacing w:after="0"/>
        <w:tabs>
          <w:tab w:leader="none" w:pos="806"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Deferral Period</w:t>
      </w:r>
    </w:p>
    <w:p>
      <w:pPr>
        <w:spacing w:after="0" w:line="182" w:lineRule="exact"/>
        <w:rPr>
          <w:sz w:val="20"/>
          <w:szCs w:val="20"/>
          <w:color w:val="auto"/>
        </w:rPr>
      </w:pPr>
    </w:p>
    <w:p>
      <w:pPr>
        <w:ind w:left="6" w:right="2899" w:firstLine="824"/>
        <w:spacing w:after="0" w:line="248" w:lineRule="auto"/>
        <w:rPr>
          <w:sz w:val="20"/>
          <w:szCs w:val="20"/>
          <w:color w:val="auto"/>
        </w:rPr>
      </w:pPr>
      <w:r>
        <w:rPr>
          <w:rFonts w:ascii="Courier New" w:cs="Courier New" w:eastAsia="Courier New" w:hAnsi="Courier New"/>
          <w:sz w:val="15"/>
          <w:szCs w:val="15"/>
          <w:color w:val="auto"/>
        </w:rPr>
        <w:t>"Deferral Period" means the period over which a Participant has elected to defer a portion of his or her Compensation. The Deferral Period shall be one</w:t>
      </w:r>
    </w:p>
    <w:p>
      <w:pPr>
        <w:spacing w:after="0" w:line="1" w:lineRule="exact"/>
        <w:rPr>
          <w:sz w:val="20"/>
          <w:szCs w:val="20"/>
          <w:color w:val="auto"/>
        </w:rPr>
      </w:pPr>
    </w:p>
    <w:p>
      <w:pPr>
        <w:jc w:val="both"/>
        <w:ind w:left="6" w:right="2899" w:hanging="6"/>
        <w:spacing w:after="0" w:line="249" w:lineRule="auto"/>
        <w:tabs>
          <w:tab w:leader="none" w:pos="46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calendar year. The initial Deferral Period shall be from July 1, 1997 through December 31, 1997. The Deferral Period may be modified pursuant to Section 3.3 or Section 3.5.</w:t>
      </w:r>
    </w:p>
    <w:p>
      <w:pPr>
        <w:spacing w:after="0" w:line="17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Determination Date</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"Determination Date" means the last day of each calendar month.</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5"/>
          <w:szCs w:val="15"/>
          <w:color w:val="auto"/>
        </w:rPr>
        <w:t>Elective Deferred Compensation</w:t>
      </w:r>
    </w:p>
    <w:p>
      <w:pPr>
        <w:spacing w:after="0" w:line="182" w:lineRule="exact"/>
        <w:rPr>
          <w:sz w:val="20"/>
          <w:szCs w:val="20"/>
          <w:color w:val="auto"/>
        </w:rPr>
      </w:pPr>
    </w:p>
    <w:p>
      <w:pPr>
        <w:jc w:val="both"/>
        <w:ind w:left="6" w:right="2899" w:firstLine="824"/>
        <w:spacing w:after="0" w:line="250" w:lineRule="auto"/>
        <w:rPr>
          <w:sz w:val="20"/>
          <w:szCs w:val="20"/>
          <w:color w:val="auto"/>
        </w:rPr>
      </w:pPr>
      <w:r>
        <w:rPr>
          <w:rFonts w:ascii="Courier New" w:cs="Courier New" w:eastAsia="Courier New" w:hAnsi="Courier New"/>
          <w:sz w:val="15"/>
          <w:szCs w:val="15"/>
          <w:color w:val="auto"/>
        </w:rPr>
        <w:t>"Elective Deferred Compensation" means the amount of Compensation that a Participant elects to defer pursuant to a Deferral Commitment.</w:t>
      </w:r>
    </w:p>
    <w:p>
      <w:pPr>
        <w:spacing w:after="0" w:line="175"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Financial Hardship</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"Financial Hardship" means severe financial hardship to the Participant resulting from a sudden and unexpected illness or accident of the Participant or of a dependent (as defined in Section 152(a) of the Internal Revenue Code) of the Participant, loss of the Participant's property due to casualty, or other similar extraordinary and unforeseeable circumstances arising as a result of events beyond the control of the Participant. The circumstances that will constitute an unforeseeable emergency will depend upon the facts of each case, but in any case, payment may not be made to the extent that such hardship is or may be relieved:</w:t>
      </w:r>
    </w:p>
    <w:p>
      <w:pPr>
        <w:spacing w:after="0" w:line="352" w:lineRule="exact"/>
        <w:rPr>
          <w:sz w:val="20"/>
          <w:szCs w:val="20"/>
          <w:color w:val="auto"/>
        </w:rPr>
      </w:pPr>
    </w:p>
    <w:p>
      <w:pPr>
        <w:ind w:left="1746" w:hanging="463"/>
        <w:spacing w:after="0"/>
        <w:tabs>
          <w:tab w:leader="none" w:pos="174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reimbursement   or  compensation  by  insurance  or</w:t>
      </w:r>
    </w:p>
    <w:p>
      <w:pPr>
        <w:spacing w:after="0" w:line="6"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w:t>
      </w:r>
    </w:p>
    <w:p>
      <w:pPr>
        <w:spacing w:after="0" w:line="182" w:lineRule="exact"/>
        <w:rPr>
          <w:rFonts w:ascii="Courier New" w:cs="Courier New" w:eastAsia="Courier New" w:hAnsi="Courier New"/>
          <w:sz w:val="15"/>
          <w:szCs w:val="15"/>
          <w:color w:val="auto"/>
        </w:rPr>
      </w:pPr>
    </w:p>
    <w:p>
      <w:pPr>
        <w:jc w:val="both"/>
        <w:ind w:left="826" w:right="2899" w:firstLine="457"/>
        <w:spacing w:after="0" w:line="249" w:lineRule="auto"/>
        <w:tabs>
          <w:tab w:leader="none" w:pos="174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liquidation of the Participant's assets, to the extent the liquidation of such assets would not itself cause severe financial hardship;</w:t>
      </w:r>
    </w:p>
    <w:p>
      <w:pPr>
        <w:spacing w:after="0" w:line="175" w:lineRule="exact"/>
        <w:rPr>
          <w:rFonts w:ascii="Courier New" w:cs="Courier New" w:eastAsia="Courier New" w:hAnsi="Courier New"/>
          <w:sz w:val="15"/>
          <w:szCs w:val="15"/>
          <w:color w:val="auto"/>
        </w:rPr>
      </w:pPr>
    </w:p>
    <w:p>
      <w:pPr>
        <w:ind w:left="1746" w:hanging="463"/>
        <w:spacing w:after="0"/>
        <w:tabs>
          <w:tab w:leader="none" w:pos="174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cessation of deferrals under the Plan;</w:t>
      </w:r>
    </w:p>
    <w:p>
      <w:pPr>
        <w:spacing w:after="0" w:line="182" w:lineRule="exact"/>
        <w:rPr>
          <w:rFonts w:ascii="Courier New" w:cs="Courier New" w:eastAsia="Courier New" w:hAnsi="Courier New"/>
          <w:sz w:val="15"/>
          <w:szCs w:val="15"/>
          <w:color w:val="auto"/>
        </w:rPr>
      </w:pPr>
    </w:p>
    <w:p>
      <w:pPr>
        <w:ind w:left="1746" w:hanging="463"/>
        <w:spacing w:after="0"/>
        <w:tabs>
          <w:tab w:leader="none" w:pos="174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borrowing from commercial sources on reasonable commercial</w:t>
      </w:r>
    </w:p>
    <w:p>
      <w:pPr>
        <w:spacing w:after="0" w:line="6"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terms.</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5"/>
          <w:szCs w:val="15"/>
          <w:color w:val="auto"/>
        </w:rPr>
        <w:t>Interest</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"Interest" on a Determination Date shall be equal to the monthly equivalent of the annual yield plus two (2) percentage points of the Moody's Average Corporate Bond Yield Index for the preceding calendar month as published by Moody's Investor Service, Inc. (or any successor thereto) or, if such index is no longer published, a substantially similar index selected by the Board.</w:t>
      </w:r>
    </w:p>
    <w:p>
      <w:pPr>
        <w:spacing w:after="0" w:line="17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5"/>
          <w:szCs w:val="15"/>
          <w:color w:val="auto"/>
        </w:rPr>
        <w:t>Participant</w:t>
      </w:r>
    </w:p>
    <w:p>
      <w:pPr>
        <w:spacing w:after="0" w:line="182" w:lineRule="exact"/>
        <w:rPr>
          <w:sz w:val="20"/>
          <w:szCs w:val="20"/>
          <w:color w:val="auto"/>
        </w:rPr>
      </w:pPr>
    </w:p>
    <w:p>
      <w:pPr>
        <w:jc w:val="both"/>
        <w:ind w:left="6" w:right="2899" w:firstLine="824"/>
        <w:spacing w:after="0" w:line="250" w:lineRule="auto"/>
        <w:rPr>
          <w:sz w:val="20"/>
          <w:szCs w:val="20"/>
          <w:color w:val="auto"/>
        </w:rPr>
      </w:pPr>
      <w:r>
        <w:rPr>
          <w:rFonts w:ascii="Courier New" w:cs="Courier New" w:eastAsia="Courier New" w:hAnsi="Courier New"/>
          <w:sz w:val="15"/>
          <w:szCs w:val="15"/>
          <w:color w:val="auto"/>
        </w:rPr>
        <w:t>"Participant" means any individual who is participating or has participated in the Plan as provided in Article III.</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PAGE 4 - DIRECTORS' DEFERRED COMPENSATION PLAN</w:t>
      </w:r>
    </w:p>
    <w:p>
      <w:pPr>
        <w:sectPr>
          <w:pgSz w:w="11900" w:h="16838" w:orient="portrait"/>
          <w:cols w:equalWidth="0" w:num="1">
            <w:col w:w="10225"/>
          </w:cols>
          <w:pgMar w:left="234" w:top="647" w:right="1440" w:bottom="1440" w:gutter="0" w:footer="0" w:header="0"/>
        </w:sectPr>
      </w:pPr>
    </w:p>
    <w:bookmarkStart w:id="68" w:name="page69"/>
    <w:bookmarkEnd w:id="68"/>
    <w:p>
      <w:pPr>
        <w:spacing w:after="0"/>
        <w:tabs>
          <w:tab w:leader="none" w:pos="800" w:val="left"/>
        </w:tabs>
        <w:rPr>
          <w:sz w:val="20"/>
          <w:szCs w:val="20"/>
          <w:color w:val="auto"/>
        </w:rPr>
      </w:pPr>
      <w:r>
        <w:rPr>
          <w:rFonts w:ascii="Courier New" w:cs="Courier New" w:eastAsia="Courier New" w:hAnsi="Courier New"/>
          <w:sz w:val="15"/>
          <w:szCs w:val="15"/>
          <w:color w:val="auto"/>
        </w:rPr>
        <w:t>2.17</w:t>
      </w:r>
      <w:r>
        <w:rPr>
          <w:sz w:val="20"/>
          <w:szCs w:val="20"/>
          <w:color w:val="auto"/>
        </w:rPr>
        <w:tab/>
      </w:r>
      <w:r>
        <w:rPr>
          <w:rFonts w:ascii="Courier New" w:cs="Courier New" w:eastAsia="Courier New" w:hAnsi="Courier New"/>
          <w:sz w:val="15"/>
          <w:szCs w:val="15"/>
          <w:color w:val="auto"/>
        </w:rPr>
        <w:t>Participation Agreement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"Participation Agreement" means the agreement submitted by a Participant to the Committee prior to the beginning of the Deferral Period, with respect to one or more Deferral Commitments made for such Deferral Period.</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2.18</w:t>
      </w:r>
      <w:r>
        <w:rPr>
          <w:sz w:val="20"/>
          <w:szCs w:val="20"/>
          <w:color w:val="auto"/>
        </w:rPr>
        <w:tab/>
      </w:r>
      <w:r>
        <w:rPr>
          <w:rFonts w:ascii="Courier New" w:cs="Courier New" w:eastAsia="Courier New" w:hAnsi="Courier New"/>
          <w:sz w:val="15"/>
          <w:szCs w:val="15"/>
          <w:color w:val="auto"/>
        </w:rPr>
        <w:t>Plan Benefit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"Plan Benefit" means the benefit payable to a Participant as calculated in Article V.</w:t>
      </w:r>
    </w:p>
    <w:p>
      <w:pPr>
        <w:spacing w:after="0" w:line="17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ARTICLE III--PARTICIPATION AND DEFERRAL COMMITMENTS</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Eligibility and Participation</w:t>
      </w:r>
    </w:p>
    <w:p>
      <w:pPr>
        <w:spacing w:after="0" w:line="182" w:lineRule="exact"/>
        <w:rPr>
          <w:sz w:val="20"/>
          <w:szCs w:val="20"/>
          <w:color w:val="auto"/>
        </w:rPr>
      </w:pPr>
    </w:p>
    <w:p>
      <w:pPr>
        <w:ind w:left="820" w:right="2899" w:firstLine="457"/>
        <w:spacing w:after="0" w:line="250" w:lineRule="auto"/>
        <w:tabs>
          <w:tab w:leader="none" w:pos="173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Eligibility to participate in the Plan shall be limited to the Directors of the Corporation.</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73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An eligible Director who elects to participate in the Plan with respect to any Deferral Period must submit a Participation Agreement to the Committee prior to the Deferral Period.</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73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PART-YEAR PARTICIPATION. In the event that a Director first becomes eligible to participate during a Deferral Period, a Participation Agreement must be submitted to the Committee no later than thirty (30) days following notification of the Director of eligibility to participate. Such Participation Agreement shall be effective only with regard to Compensation earned or payable following the submission of the Participation Agreement to the Committee.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Form of Deferral</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DEFERRAL COMMITMENT. A Participant may elect to defer any portion of his or her compensation for the Deferral Period. The amount to be deferred shall be stated as a percentage or dollar amount and may not be less than two thousand four hundred dollars ($2,400) per year.</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Elections for Part Years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event a Director becomes eligible to participate in the Plan at any time other than January 1 of any calendar year, the amount which must be completed under the appropriate minimum Deferral Commitment stated in Section 3.2 during the initial partial year of participation shall be the pro-rata portion based upon complete months left in the initial calendar year.</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Limitation of Deferral</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Participant may defer up to one hundred percent (100%) of the Participant's Compensation. However, the Committee may impose another maximum deferral amount or increase the minimum deferral amount under Section 3.2 from time to time by giving written notice to all Participants, provided, however, that no such changes may affect a Deferral Commitment made prior to the Committee's action.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Modification of Deferral Commitment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5 - DIRECTORS' DEFERRED COMPENSATION PLAN</w:t>
      </w:r>
    </w:p>
    <w:p>
      <w:pPr>
        <w:sectPr>
          <w:pgSz w:w="11900" w:h="16838" w:orient="portrait"/>
          <w:cols w:equalWidth="0" w:num="1">
            <w:col w:w="10219"/>
          </w:cols>
          <w:pgMar w:left="240" w:top="647" w:right="1440" w:bottom="1440" w:gutter="0" w:footer="0" w:header="0"/>
        </w:sectPr>
      </w:pPr>
    </w:p>
    <w:bookmarkStart w:id="69" w:name="page70"/>
    <w:bookmarkEnd w:id="69"/>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Deferral Commitment shall be irrevocable except that the Committee may permit a Participant to reduce the amount to be deferred, or waive the remainder of the Deferral Commitment, upon a finding that the Participant has suffered a Financial Hardship. If a Participant ceases receiving Compensation during a Deferral Period due to Disability, the Deferral Commitment shall cease at that time.</w:t>
      </w:r>
    </w:p>
    <w:p>
      <w:pPr>
        <w:spacing w:after="0" w:line="17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ARTICLE IV--DEFERRED COMPENSATION ACCOUNT</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Accounts</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For recordkeeping purposes only, an Account shall be maintained for each Participant.</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Initial Account Balance</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Each Participant shall be deemed to have an initial balance in his Account equal to the balance (if any) in the Prior Plan as of June 30, 1997.</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Elective Deferred Compensation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Participant's Elective Deferred Compensation shall be credited to the Participant's Account as the corresponding nondeferred portion of the Compensation becomes or would have become payable. Any withholding of taxes or other amounts with respect to deferred Compensation that is required by state, federal, or local law shall be withheld from the Participant's nondeferred Compensation to the maximum extent possible with any excess being withheld from the Participant's Account.</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Interest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Accounts shall be credited monthly with the appropriate Interest earned based on the interest rates specified in Section 2.15. Interest earned shall be calculated as of each Determination Date based upon the average daily balance of the Account since the preceding Determination Date and shall be credited to the Participant's Accounts at that time.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Determination of Accounts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Each Participant's Account as of each Determination Date shall consist of the balance of the Participant's Accounts as of the immediately preceding Determination Date, plus the Participant's Elective Deferred Compensation credited, and the appropriate Interest earned, minus the amount of any withdrawals or distributions made since the immediately preceding Determination Date.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Vesting of Accounts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Each Participant shall be one hundred percent (100%) vested at all times in the amount of Compensation elected to be deferred under the Plan and Interest thereon.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6 - DIRECTORS' DEFERRED COMPENSATION PLAN</w:t>
      </w:r>
    </w:p>
    <w:p>
      <w:pPr>
        <w:sectPr>
          <w:pgSz w:w="11900" w:h="16838" w:orient="portrait"/>
          <w:cols w:equalWidth="0" w:num="1">
            <w:col w:w="10219"/>
          </w:cols>
          <w:pgMar w:left="240" w:top="647" w:right="1440" w:bottom="1440" w:gutter="0" w:footer="0" w:header="0"/>
        </w:sectPr>
      </w:pPr>
    </w:p>
    <w:bookmarkStart w:id="70" w:name="page71"/>
    <w:bookmarkEnd w:id="70"/>
    <w:p>
      <w:pPr>
        <w:spacing w:after="0"/>
        <w:tabs>
          <w:tab w:leader="none" w:pos="80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Statement of Accounts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Committee shall submit to each Participant, within one hundred twenty (120) days after the close of each calendar year and at such other time as determined by the Committee, a statement setting forth the balance to the credit of each Account maintained for a Participant.</w:t>
      </w:r>
    </w:p>
    <w:p>
      <w:pPr>
        <w:spacing w:after="0" w:line="17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V--PLAN BENEFITS</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Plan Benefit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Participant terminates service on the Board for any reason other than death, the Corporation shall pay a Plan benefit equal to the Participant's Account as determined in accordance with Article IV.</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Death Benefit</w:t>
      </w:r>
    </w:p>
    <w:p>
      <w:pPr>
        <w:spacing w:after="0" w:line="182" w:lineRule="exact"/>
        <w:rPr>
          <w:sz w:val="20"/>
          <w:szCs w:val="20"/>
          <w:color w:val="auto"/>
        </w:rPr>
      </w:pPr>
    </w:p>
    <w:p>
      <w:pPr>
        <w:ind w:left="820"/>
        <w:spacing w:after="0"/>
        <w:tabs>
          <w:tab w:leader="none" w:pos="1720" w:val="left"/>
          <w:tab w:leader="none" w:pos="2820" w:val="left"/>
          <w:tab w:leader="none" w:pos="4100" w:val="left"/>
          <w:tab w:leader="none" w:pos="4560" w:val="left"/>
          <w:tab w:leader="none" w:pos="5740" w:val="left"/>
          <w:tab w:leader="none" w:pos="6380" w:val="left"/>
        </w:tabs>
        <w:rPr>
          <w:sz w:val="20"/>
          <w:szCs w:val="20"/>
          <w:color w:val="auto"/>
        </w:rPr>
      </w:pPr>
      <w:r>
        <w:rPr>
          <w:rFonts w:ascii="Courier New" w:cs="Courier New" w:eastAsia="Courier New" w:hAnsi="Courier New"/>
          <w:sz w:val="15"/>
          <w:szCs w:val="15"/>
          <w:color w:val="auto"/>
        </w:rPr>
        <w:t>Upon the</w:t>
        <w:tab/>
        <w:t>death of a</w:t>
        <w:tab/>
        <w:t>Participant,</w:t>
        <w:tab/>
        <w:t>the</w:t>
        <w:tab/>
        <w:t>Corporation</w:t>
        <w:tab/>
        <w:t>shall</w:t>
        <w:tab/>
        <w:t>pay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 Beneficiary an amount determined as follows:</w:t>
      </w:r>
    </w:p>
    <w:p>
      <w:pPr>
        <w:spacing w:after="0" w:line="182" w:lineRule="exact"/>
        <w:rPr>
          <w:sz w:val="20"/>
          <w:szCs w:val="20"/>
          <w:color w:val="auto"/>
        </w:rPr>
      </w:pPr>
    </w:p>
    <w:p>
      <w:pPr>
        <w:jc w:val="both"/>
        <w:ind w:left="820" w:right="2899" w:firstLine="457"/>
        <w:spacing w:after="0" w:line="249" w:lineRule="auto"/>
        <w:tabs>
          <w:tab w:leader="none" w:pos="164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POSTTERMINATION. If the Participant dies after termination of service on the Board, the amount payable shall be equal to the remaining unpaid balance of the Participant's Account.</w:t>
      </w:r>
    </w:p>
    <w:p>
      <w:pPr>
        <w:spacing w:after="0" w:line="175" w:lineRule="exact"/>
        <w:rPr>
          <w:rFonts w:ascii="Courier New" w:cs="Courier New" w:eastAsia="Courier New" w:hAnsi="Courier New"/>
          <w:sz w:val="15"/>
          <w:szCs w:val="15"/>
          <w:color w:val="auto"/>
        </w:rPr>
      </w:pPr>
    </w:p>
    <w:p>
      <w:pPr>
        <w:ind w:left="820" w:right="2899" w:firstLine="457"/>
        <w:spacing w:after="0" w:line="252" w:lineRule="auto"/>
        <w:tabs>
          <w:tab w:leader="none" w:pos="164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PRETERMINATION. If the Participant dies prior to termination of service, the amount payable shall be the Participant's Account balance.</w:t>
      </w:r>
    </w:p>
    <w:p>
      <w:pPr>
        <w:spacing w:after="0" w:line="34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In-Service Withdrawals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Participants shall be permitted to elect to withdraw amounts from their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 subject to the following restrictions:</w:t>
      </w:r>
    </w:p>
    <w:p>
      <w:pPr>
        <w:spacing w:after="0" w:line="182" w:lineRule="exact"/>
        <w:rPr>
          <w:sz w:val="20"/>
          <w:szCs w:val="20"/>
          <w:color w:val="auto"/>
        </w:rPr>
      </w:pPr>
    </w:p>
    <w:p>
      <w:pPr>
        <w:ind w:left="820" w:right="2899" w:firstLine="457"/>
        <w:spacing w:after="0" w:line="248" w:lineRule="auto"/>
        <w:tabs>
          <w:tab w:leader="none" w:pos="1645"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WITHDRAW. An election to make an in-service withdrawal must be made at the same time the Participant enters into a Participation Agreement for a Deferral Commitment. The date of the in-service withdrawal cannot be earlier than five (5) years after the date the Deferral Period begins under the Deferral Commitment. Such election may be modified no later than the end of the calendar year two</w:t>
      </w:r>
    </w:p>
    <w:p>
      <w:pPr>
        <w:spacing w:after="0" w:line="3" w:lineRule="exact"/>
        <w:rPr>
          <w:rFonts w:ascii="Courier New" w:cs="Courier New" w:eastAsia="Courier New" w:hAnsi="Courier New"/>
          <w:sz w:val="15"/>
          <w:szCs w:val="15"/>
          <w:color w:val="auto"/>
        </w:rPr>
      </w:pPr>
    </w:p>
    <w:p>
      <w:pPr>
        <w:ind w:left="820" w:right="2899" w:hanging="2"/>
        <w:spacing w:after="0" w:line="250" w:lineRule="auto"/>
        <w:tabs>
          <w:tab w:leader="none" w:pos="127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calendar years prior to the calendar year the Participant was scheduled to receive the benefits.</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WITHDRAWAL. The amount which a Participant can elect to withdraw with respect to any Deferral Commitment shall be limited to one hundred percent (100%) of the amount of such Deferral Commitment plus interest.</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IN-SERVICE WITHDRAWAL PAYMENT. The amount elected to be withdrawn shall be paid in a lump sum unless the Committee approves an alternative form of payment at the time elected by the Participant in the Participation Agreement wherein he or she elected the in-service withdrawal.</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Hardship Distributions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Upon a finding that a Participant has suffered a Financial Hardship or a Disability, the Committee may, in its sole discretion, make distributions from the Participant's Account prior to the time specified for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7 - DIRECTORS' DEFERRED COMPENSATION PLAN</w:t>
      </w:r>
    </w:p>
    <w:p>
      <w:pPr>
        <w:sectPr>
          <w:pgSz w:w="11900" w:h="16838" w:orient="portrait"/>
          <w:cols w:equalWidth="0" w:num="1">
            <w:col w:w="10219"/>
          </w:cols>
          <w:pgMar w:left="240" w:top="647" w:right="1440" w:bottom="1440" w:gutter="0" w:footer="0" w:header="0"/>
        </w:sectPr>
      </w:pPr>
    </w:p>
    <w:bookmarkStart w:id="71" w:name="page72"/>
    <w:bookmarkEnd w:id="71"/>
    <w:p>
      <w:pPr>
        <w:jc w:val="both"/>
        <w:ind w:right="2899"/>
        <w:spacing w:after="0" w:line="249" w:lineRule="auto"/>
        <w:rPr>
          <w:sz w:val="20"/>
          <w:szCs w:val="20"/>
          <w:color w:val="auto"/>
        </w:rPr>
      </w:pPr>
      <w:r>
        <w:rPr>
          <w:rFonts w:ascii="Courier New" w:cs="Courier New" w:eastAsia="Courier New" w:hAnsi="Courier New"/>
          <w:sz w:val="15"/>
          <w:szCs w:val="15"/>
          <w:color w:val="auto"/>
        </w:rPr>
        <w:t>payment of benefits under the Plan. The amount of such distribution shall be limited to the amount reasonably necessary to meet the Participant's requirements during the Financial Hardship or Disability.</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Form of Benefit Payment</w:t>
      </w:r>
    </w:p>
    <w:p>
      <w:pPr>
        <w:spacing w:after="0" w:line="182" w:lineRule="exact"/>
        <w:rPr>
          <w:sz w:val="20"/>
          <w:szCs w:val="20"/>
          <w:color w:val="auto"/>
        </w:rPr>
      </w:pPr>
    </w:p>
    <w:p>
      <w:pPr>
        <w:ind w:left="820" w:right="2899" w:firstLine="457"/>
        <w:spacing w:after="0" w:line="249" w:lineRule="auto"/>
        <w:tabs>
          <w:tab w:leader="none" w:pos="164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Plan Benefits other than In-Service Withdrawals or Hardship Distributions shall be paid in the form selected by the Participant at the time of the Deferral Commitment from among the following alternatives:</w:t>
      </w:r>
    </w:p>
    <w:p>
      <w:pPr>
        <w:spacing w:after="0" w:line="175" w:lineRule="exact"/>
        <w:rPr>
          <w:rFonts w:ascii="Courier New" w:cs="Courier New" w:eastAsia="Courier New" w:hAnsi="Courier New"/>
          <w:sz w:val="15"/>
          <w:szCs w:val="15"/>
          <w:color w:val="auto"/>
        </w:rPr>
      </w:pPr>
    </w:p>
    <w:p>
      <w:pPr>
        <w:ind w:left="2280" w:hanging="545"/>
        <w:spacing w:after="0"/>
        <w:tabs>
          <w:tab w:leader="none" w:pos="228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Lump sum payment</w:t>
      </w:r>
    </w:p>
    <w:p>
      <w:pPr>
        <w:spacing w:after="0" w:line="182" w:lineRule="exact"/>
        <w:rPr>
          <w:rFonts w:ascii="Courier New" w:cs="Courier New" w:eastAsia="Courier New" w:hAnsi="Courier New"/>
          <w:sz w:val="15"/>
          <w:szCs w:val="15"/>
          <w:color w:val="auto"/>
        </w:rPr>
      </w:pPr>
    </w:p>
    <w:p>
      <w:pPr>
        <w:ind w:left="820" w:right="2899" w:firstLine="915"/>
        <w:spacing w:after="0" w:line="250" w:lineRule="auto"/>
        <w:tabs>
          <w:tab w:leader="none" w:pos="228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equal annual installments of the Account and Interest amortized over a period of five (5) years</w:t>
      </w:r>
    </w:p>
    <w:p>
      <w:pPr>
        <w:spacing w:after="0" w:line="174" w:lineRule="exact"/>
        <w:rPr>
          <w:rFonts w:ascii="Courier New" w:cs="Courier New" w:eastAsia="Courier New" w:hAnsi="Courier New"/>
          <w:sz w:val="15"/>
          <w:szCs w:val="15"/>
          <w:color w:val="auto"/>
        </w:rPr>
      </w:pPr>
    </w:p>
    <w:p>
      <w:pPr>
        <w:ind w:left="820" w:right="2979" w:firstLine="915"/>
        <w:spacing w:after="0" w:line="250" w:lineRule="auto"/>
        <w:tabs>
          <w:tab w:leader="none" w:pos="228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equal annual installments of the Account and Interest amortized over a period of ten (10) years</w:t>
      </w:r>
    </w:p>
    <w:p>
      <w:pPr>
        <w:spacing w:after="0" w:line="174" w:lineRule="exact"/>
        <w:rPr>
          <w:rFonts w:ascii="Courier New" w:cs="Courier New" w:eastAsia="Courier New" w:hAnsi="Courier New"/>
          <w:sz w:val="15"/>
          <w:szCs w:val="15"/>
          <w:color w:val="auto"/>
        </w:rPr>
      </w:pPr>
    </w:p>
    <w:p>
      <w:pPr>
        <w:ind w:left="820" w:right="2899" w:firstLine="915"/>
        <w:spacing w:after="0" w:line="250" w:lineRule="auto"/>
        <w:tabs>
          <w:tab w:leader="none" w:pos="228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equal annual installments of the Account and Interest amortized over a period of fifteen (15) years</w:t>
      </w:r>
    </w:p>
    <w:p>
      <w:pPr>
        <w:spacing w:after="0" w:line="174" w:lineRule="exact"/>
        <w:rPr>
          <w:rFonts w:ascii="Courier New" w:cs="Courier New" w:eastAsia="Courier New" w:hAnsi="Courier New"/>
          <w:sz w:val="15"/>
          <w:szCs w:val="15"/>
          <w:color w:val="auto"/>
        </w:rPr>
      </w:pPr>
    </w:p>
    <w:p>
      <w:pPr>
        <w:ind w:left="820" w:right="2979" w:firstLine="915"/>
        <w:spacing w:after="0" w:line="250" w:lineRule="auto"/>
        <w:tabs>
          <w:tab w:leader="none" w:pos="228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method that is the Actuarial Equivalent of the Participant's appropriate Account balance</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shall commence as elected by the Participant, which shall be either within sixty-five (65) days of termination or in January following the Participant's termination.</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modify the form or timing of benefit payment as long as such modification is made before the end of the calendar year two (2) calendar years prior to when the Participant's benefits were scheduled to commence had the modification not been made.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Small Accounts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Notwithstanding Section 5.5(a), if a Participant's Account is less than twenty thousand dollars ($20,000), the Committee may, in its sole discretion, pay the Participant in a lump sum.</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5"/>
          <w:szCs w:val="15"/>
          <w:color w:val="auto"/>
        </w:rPr>
        <w:t>Accelerated Distribution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Notwithstanding any other provision of the Plan, at any time, a Participant shall be entitled to receive, upon written request to the Committee, a lump-sum distribution equal to ninety percent (90%) of the vested Account balance as of the Determination Date immediately preceding the date on which the Committee receives the written request. The remaining balance shall be forfeited by the Participant and the Participant will not be allowed to participate in the Plan in the future. The amount payable under this section shall be paid in a lump sum within thirty (30) days following the receipt of the notice by the Committee from the Participant.</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Payment to Guardian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Plan benefit is payable to a minor or a person declared incompetent or to a person incapable of handling the disposition of his or her property, the Committee may direct payment of such Plan Benefit to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8 - DIRECTORS' DEFERRED COMPENSATION PLAN</w:t>
      </w:r>
    </w:p>
    <w:p>
      <w:pPr>
        <w:sectPr>
          <w:pgSz w:w="11900" w:h="16838" w:orient="portrait"/>
          <w:cols w:equalWidth="0" w:num="1">
            <w:col w:w="10219"/>
          </w:cols>
          <w:pgMar w:left="240" w:top="647" w:right="1440" w:bottom="1440" w:gutter="0" w:footer="0" w:header="0"/>
        </w:sectPr>
      </w:pPr>
    </w:p>
    <w:bookmarkStart w:id="72" w:name="page73"/>
    <w:bookmarkEnd w:id="72"/>
    <w:p>
      <w:pPr>
        <w:jc w:val="both"/>
        <w:ind w:right="2899"/>
        <w:spacing w:after="0" w:line="249" w:lineRule="auto"/>
        <w:rPr>
          <w:sz w:val="20"/>
          <w:szCs w:val="20"/>
          <w:color w:val="auto"/>
        </w:rPr>
      </w:pPr>
      <w:r>
        <w:rPr>
          <w:rFonts w:ascii="Courier New" w:cs="Courier New" w:eastAsia="Courier New" w:hAnsi="Courier New"/>
          <w:sz w:val="15"/>
          <w:szCs w:val="15"/>
          <w:color w:val="auto"/>
        </w:rPr>
        <w:t>the guardian, legal representative, or person having the care and custody of such minor, incompetent, or person. The Committee may require proof of incompetency, minority, incapacity or guardianship as it may deem appropriate prior to distribution of the Plan Benefit. Such distribution shall completely discharge the Committee from all liability with respect to such benefit.</w:t>
      </w:r>
    </w:p>
    <w:p>
      <w:pPr>
        <w:spacing w:after="0" w:line="17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VI--BENEFICIARY DESIGNATION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Beneficiary Designation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Subject to Section 6.3, each Participant shall have the right, at any time, to designate one or more persons or an entity as Beneficiary (both primary as well as secondary) to whom benefits under the Plan shall be paid in the event of Participant's death prior to complete distribution of the Participant's Account. Each Beneficiary designation shall be in a written form prescribed by the Committee and shall be effective only when filed with the Committee during the Participant's lifetime.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Changing Beneficiary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Subject to Section 6.3, any Beneficiary designation may be changed by a Participant without the consent of the previously named Beneficiary by the filing of a new designation with the Committee. The filing of a new designation shall cancel all designations previously filed. If a Participant's Compensation is community property, any Beneficiary designation shall be valid or effective only as permitted by applicable law.</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Community Property</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If the Participant resides in a community property state, the following rules shall apply:</w:t>
      </w:r>
    </w:p>
    <w:p>
      <w:pPr>
        <w:spacing w:after="0" w:line="175" w:lineRule="exact"/>
        <w:rPr>
          <w:sz w:val="20"/>
          <w:szCs w:val="20"/>
          <w:color w:val="auto"/>
        </w:rPr>
      </w:pPr>
    </w:p>
    <w:p>
      <w:pPr>
        <w:jc w:val="both"/>
        <w:ind w:left="820" w:right="2899" w:firstLine="457"/>
        <w:spacing w:after="0" w:line="249" w:lineRule="auto"/>
        <w:tabs>
          <w:tab w:leader="none" w:pos="173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by a married Participant of a Beneficiary other than the Participant's spouse shall not be effective unless the spouse executes a written consent that acknowledges the effect of the designation, or it is established the consent cannot be obtained because the spouse cannot be located.</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73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married Participant's Beneficiary designation may be changed by a Participant with the consent of the Participant's spouse as provided for in Section 6.3(a) by the filing of a new designation with the Committee.</w:t>
      </w:r>
    </w:p>
    <w:p>
      <w:pPr>
        <w:spacing w:after="0" w:line="175" w:lineRule="exact"/>
        <w:rPr>
          <w:rFonts w:ascii="Courier New" w:cs="Courier New" w:eastAsia="Courier New" w:hAnsi="Courier New"/>
          <w:sz w:val="15"/>
          <w:szCs w:val="15"/>
          <w:color w:val="auto"/>
        </w:rPr>
      </w:pPr>
    </w:p>
    <w:p>
      <w:pPr>
        <w:ind w:left="820" w:right="2899" w:firstLine="457"/>
        <w:spacing w:after="0" w:line="250" w:lineRule="auto"/>
        <w:tabs>
          <w:tab w:leader="none" w:pos="173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marital status changes after the Participant has designated a Beneficiary, the following shall apply:</w:t>
      </w:r>
    </w:p>
    <w:p>
      <w:pPr>
        <w:spacing w:after="0" w:line="174" w:lineRule="exact"/>
        <w:rPr>
          <w:rFonts w:ascii="Courier New" w:cs="Courier New" w:eastAsia="Courier New" w:hAnsi="Courier New"/>
          <w:sz w:val="15"/>
          <w:szCs w:val="15"/>
          <w:color w:val="auto"/>
        </w:rPr>
      </w:pPr>
    </w:p>
    <w:p>
      <w:pPr>
        <w:jc w:val="both"/>
        <w:ind w:left="820" w:right="2899" w:firstLine="915"/>
        <w:spacing w:after="0" w:line="249" w:lineRule="auto"/>
        <w:tabs>
          <w:tab w:leader="none" w:pos="2194"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is married at the time of death but was unmarried when the designation was made, the designation shall be void unless the spouse has consented to it in the manner prescribed in Section 6.3(a).</w:t>
      </w:r>
    </w:p>
    <w:p>
      <w:pPr>
        <w:spacing w:after="0" w:line="175" w:lineRule="exact"/>
        <w:rPr>
          <w:rFonts w:ascii="Courier New" w:cs="Courier New" w:eastAsia="Courier New" w:hAnsi="Courier New"/>
          <w:sz w:val="15"/>
          <w:szCs w:val="15"/>
          <w:color w:val="auto"/>
        </w:rPr>
      </w:pPr>
    </w:p>
    <w:p>
      <w:pPr>
        <w:ind w:left="820" w:right="2899" w:firstLine="915"/>
        <w:spacing w:after="0" w:line="250" w:lineRule="auto"/>
        <w:tabs>
          <w:tab w:leader="none" w:pos="2194"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is unmarried at the time of death but was married when the designation was made:</w:t>
      </w:r>
    </w:p>
    <w:p>
      <w:pPr>
        <w:spacing w:after="0" w:line="174" w:lineRule="exact"/>
        <w:rPr>
          <w:rFonts w:ascii="Courier New" w:cs="Courier New" w:eastAsia="Courier New" w:hAnsi="Courier New"/>
          <w:sz w:val="15"/>
          <w:szCs w:val="15"/>
          <w:color w:val="auto"/>
        </w:rPr>
      </w:pPr>
    </w:p>
    <w:p>
      <w:pPr>
        <w:jc w:val="both"/>
        <w:ind w:left="1280" w:right="2899" w:firstLine="913"/>
        <w:spacing w:after="0" w:line="249" w:lineRule="auto"/>
        <w:tabs>
          <w:tab w:leader="none" w:pos="2471"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shall be void if the spouse was named as Beneficiary unless Participant had submitted a change of beneficiary listing the former spouse as the beneficiary.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9 - DIRECTORS' DEFERRED COMPENSATION PLAN</w:t>
      </w:r>
    </w:p>
    <w:p>
      <w:pPr>
        <w:sectPr>
          <w:pgSz w:w="11900" w:h="16838" w:orient="portrait"/>
          <w:cols w:equalWidth="0" w:num="1">
            <w:col w:w="10219"/>
          </w:cols>
          <w:pgMar w:left="240" w:top="647" w:right="1440" w:bottom="1440" w:gutter="0" w:footer="0" w:header="0"/>
        </w:sectPr>
      </w:pPr>
    </w:p>
    <w:bookmarkStart w:id="73" w:name="page74"/>
    <w:bookmarkEnd w:id="73"/>
    <w:p>
      <w:pPr>
        <w:ind w:left="1280" w:right="2899" w:firstLine="913"/>
        <w:spacing w:after="0" w:line="250" w:lineRule="auto"/>
        <w:tabs>
          <w:tab w:leader="none" w:pos="247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shall remain valid if a nonspouse Beneficiary was named.</w:t>
      </w:r>
    </w:p>
    <w:p>
      <w:pPr>
        <w:spacing w:after="0" w:line="175" w:lineRule="exact"/>
        <w:rPr>
          <w:sz w:val="20"/>
          <w:szCs w:val="20"/>
          <w:color w:val="auto"/>
        </w:rPr>
      </w:pPr>
    </w:p>
    <w:p>
      <w:pPr>
        <w:jc w:val="both"/>
        <w:ind w:left="820" w:right="2899" w:firstLine="916"/>
        <w:spacing w:after="0" w:line="249" w:lineRule="auto"/>
        <w:rPr>
          <w:sz w:val="20"/>
          <w:szCs w:val="20"/>
          <w:color w:val="auto"/>
        </w:rPr>
      </w:pPr>
      <w:r>
        <w:rPr>
          <w:rFonts w:ascii="Courier New" w:cs="Courier New" w:eastAsia="Courier New" w:hAnsi="Courier New"/>
          <w:sz w:val="15"/>
          <w:szCs w:val="15"/>
          <w:color w:val="auto"/>
        </w:rPr>
        <w:t>(iii)If the Participant was married when the designation was made and is married to a different spouse at death, the designation shall be void unless the new spouse has consented to it in the manner prescribed above.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No Beneficiary Designation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absence of an effective Beneficiary Designation, or if all designated Beneficiaries predecease the Participant or dies prior to complete distribution of the Participant's benefits, then the Participant's designated Beneficiary shall be deemed to be the person in the first of the following classes in which there is a survivor:</w:t>
      </w:r>
    </w:p>
    <w:p>
      <w:pPr>
        <w:spacing w:after="0" w:line="176" w:lineRule="exact"/>
        <w:rPr>
          <w:sz w:val="20"/>
          <w:szCs w:val="20"/>
          <w:color w:val="auto"/>
        </w:rPr>
      </w:pPr>
    </w:p>
    <w:p>
      <w:pPr>
        <w:ind w:left="1640" w:hanging="363"/>
        <w:spacing w:after="0"/>
        <w:tabs>
          <w:tab w:leader="none" w:pos="16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spouse;</w:t>
      </w:r>
    </w:p>
    <w:p>
      <w:pPr>
        <w:spacing w:after="0" w:line="182"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children, except that if any of the children predeceases the Participant but leaves issue surviving, then such issue shall take by right of representation the share the parent would have taken if living;</w:t>
      </w:r>
    </w:p>
    <w:p>
      <w:pPr>
        <w:spacing w:after="0" w:line="175" w:lineRule="exact"/>
        <w:rPr>
          <w:rFonts w:ascii="Courier New" w:cs="Courier New" w:eastAsia="Courier New" w:hAnsi="Courier New"/>
          <w:sz w:val="15"/>
          <w:szCs w:val="15"/>
          <w:color w:val="auto"/>
        </w:rPr>
      </w:pPr>
    </w:p>
    <w:p>
      <w:pPr>
        <w:ind w:left="1640" w:hanging="363"/>
        <w:spacing w:after="0"/>
        <w:tabs>
          <w:tab w:leader="none" w:pos="16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estate.</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Effect of Payment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The payment to the deemed Beneficiary shall completely discharge the Corporation's obligations under the Plan.</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VII--ADMINISTRATION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Committee; Duties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Plan shall be administered by the Committee, which shall consist of not less than three (3) persons appointed by the Chief Executive Officer and which may include the CEO as a member. The Committee shall have the authority to make, amend, interpret and enforce all appropriate rules and regulations for the administration of the Plan and decide or resolve any and all questions, including interpretations of the Plan, as may arise in connection with the Plan. A majority vote of the Committee members shall control any decision. Members of the Committee may be Participants under the Plan.</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Agents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Committee may, from time to time, employ other agents and delegate to them such administrative duties as it sees fit, and may from time to time consult with counsel who may be counsel to the Corporation.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Binding Effect of Decisions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decision or action of the Committee with respect to any question arising out of or in connection with the administration, interpretation and application of the Plan and the rules and regulations promulgated hereunder shall be final, conclusive and binding upon all persons having any interest in the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10 - DIRECTORS' DEFERRED COMPENSATION PLAN</w:t>
      </w:r>
    </w:p>
    <w:p>
      <w:pPr>
        <w:sectPr>
          <w:pgSz w:w="11900" w:h="16838" w:orient="portrait"/>
          <w:cols w:equalWidth="0" w:num="1">
            <w:col w:w="10219"/>
          </w:cols>
          <w:pgMar w:left="240" w:top="647" w:right="1440" w:bottom="1440" w:gutter="0" w:footer="0" w:header="0"/>
        </w:sectPr>
      </w:pPr>
    </w:p>
    <w:bookmarkStart w:id="74" w:name="page75"/>
    <w:bookmarkEnd w:id="74"/>
    <w:p>
      <w:pPr>
        <w:spacing w:after="0"/>
        <w:tabs>
          <w:tab w:leader="none" w:pos="80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Indemnity of Committee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Corporation shall indemnify and hold harmless the members of the Committee against any and all claims, loss, damage, expense or liability arising from any action or failure to act with respect to the Plan, except in the case of gross negligence or willful misconduct.</w:t>
      </w:r>
    </w:p>
    <w:p>
      <w:pPr>
        <w:spacing w:after="0" w:line="17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VIII--CLAIMS PROCEDURE</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Claim</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Any person claiming a benefit, requesting an interpretation or ruling under the Plan, or requesting information under the Plan shall present the request in writing to the Committee, which shall respond in writing as soon as practicable.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Denial of Claim</w:t>
      </w:r>
    </w:p>
    <w:p>
      <w:pPr>
        <w:spacing w:after="0" w:line="182" w:lineRule="exact"/>
        <w:rPr>
          <w:sz w:val="20"/>
          <w:szCs w:val="20"/>
          <w:color w:val="auto"/>
        </w:rPr>
      </w:pPr>
    </w:p>
    <w:p>
      <w:pPr>
        <w:jc w:val="right"/>
        <w:ind w:right="2899"/>
        <w:spacing w:after="0"/>
        <w:tabs>
          <w:tab w:leader="none" w:pos="3180" w:val="left"/>
          <w:tab w:leader="none" w:pos="2000" w:val="left"/>
        </w:tabs>
        <w:rPr>
          <w:sz w:val="20"/>
          <w:szCs w:val="20"/>
          <w:color w:val="auto"/>
        </w:rPr>
      </w:pPr>
      <w:r>
        <w:rPr>
          <w:rFonts w:ascii="Courier New" w:cs="Courier New" w:eastAsia="Courier New" w:hAnsi="Courier New"/>
          <w:sz w:val="15"/>
          <w:szCs w:val="15"/>
          <w:color w:val="auto"/>
        </w:rPr>
        <w:t>If the claim or request is denied,</w:t>
        <w:tab/>
        <w:t>the written</w:t>
        <w:tab/>
        <w:t>notice of denial shall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w:t>
      </w:r>
    </w:p>
    <w:p>
      <w:pPr>
        <w:spacing w:after="0" w:line="182" w:lineRule="exact"/>
        <w:rPr>
          <w:sz w:val="20"/>
          <w:szCs w:val="20"/>
          <w:color w:val="auto"/>
        </w:rPr>
      </w:pPr>
    </w:p>
    <w:p>
      <w:pPr>
        <w:ind w:left="820" w:right="2899" w:firstLine="457"/>
        <w:spacing w:after="0" w:line="250" w:lineRule="auto"/>
        <w:tabs>
          <w:tab w:leader="none" w:pos="164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for denial, with specific reference to the Plan provisions on which the denial is based.</w:t>
      </w:r>
    </w:p>
    <w:p>
      <w:pPr>
        <w:spacing w:after="0" w:line="174"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required and an explanation of why it is necessary.</w:t>
      </w:r>
    </w:p>
    <w:p>
      <w:pPr>
        <w:spacing w:after="0" w:line="174" w:lineRule="exact"/>
        <w:rPr>
          <w:rFonts w:ascii="Courier New" w:cs="Courier New" w:eastAsia="Courier New" w:hAnsi="Courier New"/>
          <w:sz w:val="15"/>
          <w:szCs w:val="15"/>
          <w:color w:val="auto"/>
        </w:rPr>
      </w:pPr>
    </w:p>
    <w:p>
      <w:pPr>
        <w:ind w:left="1640" w:hanging="363"/>
        <w:spacing w:after="0"/>
        <w:tabs>
          <w:tab w:leader="none" w:pos="1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explanation of the Plan's claim review procedure.</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Review of Claim</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Any person whose claim or request is denied or who has not received a response within thirty (30) days may request review by notice given in writing to the Committee. The claim or request shall be reviewed by the Committee which may, but shall not be required to, grant the claimant a hearing. On review, the claimant may have representation, examine pertinent documents, and submit issues and comments in writing.</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Final Decision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decision on review shall normally be made within sixty (60) days. If an extension of time is required for a hearing or other special circumstances, the claimant shall be notified and the time limit shall be one hundred twenty (120) days. The decision shall be in writing and shall state the reasons and the relevant Plan provisions. All decisions on review shall be final and bind all parties concerned.</w:t>
      </w:r>
    </w:p>
    <w:p>
      <w:pPr>
        <w:spacing w:after="0" w:line="17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ARTICLE IX--AMENDMENT AND TERMINATION OF PLAN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Amendment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11 - DIRECTORS' DEFERRED COMPENSATION PLAN</w:t>
      </w:r>
    </w:p>
    <w:p>
      <w:pPr>
        <w:sectPr>
          <w:pgSz w:w="11900" w:h="16838" w:orient="portrait"/>
          <w:cols w:equalWidth="0" w:num="1">
            <w:col w:w="10219"/>
          </w:cols>
          <w:pgMar w:left="240" w:top="646" w:right="1440" w:bottom="1440" w:gutter="0" w:footer="0" w:header="0"/>
        </w:sectPr>
      </w:pPr>
    </w:p>
    <w:bookmarkStart w:id="75" w:name="page76"/>
    <w:bookmarkEnd w:id="75"/>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Corporation may at any time amend the Plan in whole or in part; provided, however, that any such amendment that would materially increase the benefits provided under the Plan shall be subject to the prior approval of the Board. Provided, further, that no amendment shall be effective to decrease or restrict the amount accrued to the date of Amendment in any Account maintained under the Plan. Changes in the definition of "Interest" shall be subject to the following restrictions:</w:t>
      </w:r>
    </w:p>
    <w:p>
      <w:pPr>
        <w:spacing w:after="0" w:line="175" w:lineRule="exact"/>
        <w:rPr>
          <w:sz w:val="20"/>
          <w:szCs w:val="20"/>
          <w:color w:val="auto"/>
        </w:rPr>
      </w:pPr>
    </w:p>
    <w:p>
      <w:pPr>
        <w:jc w:val="both"/>
        <w:ind w:left="820" w:right="2899" w:firstLine="457"/>
        <w:spacing w:after="0" w:line="249" w:lineRule="auto"/>
        <w:tabs>
          <w:tab w:leader="none" w:pos="164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 change shall not become effective before the first day of the calendar year which follows the adoption of the amendment and at least thirty (30) days written notice of the amendment to the Participant.</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Any change in the definition of Interest after a Change in Control shall apply only to those amounts credited to the Participant's Account as a result of Deferral Commitments made after the Change in Control.</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Corporation's Right to Terminate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Corporation may at any time partially or completely terminate the Plan if, in its judgment, the tax, accounting or other effects of the continuance of the Plan, or potential payments thereunder would not be in the best interests of the Corporation.</w:t>
      </w:r>
    </w:p>
    <w:p>
      <w:pPr>
        <w:spacing w:after="0" w:line="176" w:lineRule="exact"/>
        <w:rPr>
          <w:sz w:val="20"/>
          <w:szCs w:val="20"/>
          <w:color w:val="auto"/>
        </w:rPr>
      </w:pPr>
    </w:p>
    <w:p>
      <w:pPr>
        <w:jc w:val="both"/>
        <w:ind w:left="820" w:right="2899" w:firstLine="457"/>
        <w:spacing w:after="0" w:line="249" w:lineRule="auto"/>
        <w:tabs>
          <w:tab w:leader="none" w:pos="164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TERMINATION. The Corporation may partially terminate the Plan by instructing the Committee not to accept any additional Deferral Commitments. In the event of such a Partial Termination, the Plan shall continue to operate and be effective with regard to Deferral Commitments entered into prior to the effective date of such Partial Termination.</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TERMINATION. The Corporation may completely terminate the Plan by instructing the Committee not to accept any additional Deferral Commitments, and by terminating all ongoing Deferral Commitments. In the event of Complete Termination, the Plan shall cease to operate and the Corporation shall pay out to each Participant their Account as if the Participant had terminated service as of the effective date of the Complete Termination. Payments shall be made in equal annual installments over the period listed below, based on the Account balance: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rPr>
              <w:t>RETIREMENT ACCOUNT BALANCE</w:t>
            </w:r>
          </w:p>
        </w:tc>
        <w:tc>
          <w:tcPr>
            <w:tcW w:w="22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PAYOUT PERIOD</w:t>
            </w:r>
          </w:p>
        </w:tc>
      </w:tr>
      <w:tr>
        <w:trPr>
          <w:trHeight w:val="176"/>
        </w:trPr>
        <w:tc>
          <w:tcPr>
            <w:tcW w:w="580" w:type="dxa"/>
            <w:vAlign w:val="bottom"/>
          </w:tcPr>
          <w:p>
            <w:pPr>
              <w:spacing w:after="0"/>
              <w:rPr>
                <w:sz w:val="15"/>
                <w:szCs w:val="15"/>
                <w:color w:val="auto"/>
              </w:rPr>
            </w:pPr>
          </w:p>
        </w:tc>
        <w:tc>
          <w:tcPr>
            <w:tcW w:w="6740" w:type="dxa"/>
            <w:vAlign w:val="bottom"/>
            <w:gridSpan w:val="3"/>
          </w:tcPr>
          <w:p>
            <w:pPr>
              <w:ind w:left="240"/>
              <w:spacing w:after="0"/>
              <w:rPr>
                <w:sz w:val="20"/>
                <w:szCs w:val="20"/>
                <w:color w:val="auto"/>
              </w:rPr>
            </w:pPr>
            <w:r>
              <w:rPr>
                <w:rFonts w:ascii="Courier New" w:cs="Courier New" w:eastAsia="Courier New" w:hAnsi="Courier New"/>
                <w:sz w:val="15"/>
                <w:szCs w:val="15"/>
                <w:color w:val="auto"/>
              </w:rPr>
              <w:t>-----------------------------------------------------------------------</w:t>
            </w:r>
          </w:p>
        </w:tc>
      </w:tr>
      <w:tr>
        <w:trPr>
          <w:trHeight w:val="176"/>
        </w:trPr>
        <w:tc>
          <w:tcPr>
            <w:tcW w:w="580" w:type="dxa"/>
            <w:vAlign w:val="bottom"/>
          </w:tcPr>
          <w:p>
            <w:pPr>
              <w:spacing w:after="0"/>
              <w:rPr>
                <w:sz w:val="15"/>
                <w:szCs w:val="15"/>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rPr>
              <w:t>Less than $10,000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r>
      <w:tr>
        <w:trPr>
          <w:trHeight w:val="176"/>
        </w:trPr>
        <w:tc>
          <w:tcPr>
            <w:tcW w:w="580" w:type="dxa"/>
            <w:vAlign w:val="bottom"/>
          </w:tcPr>
          <w:p>
            <w:pPr>
              <w:spacing w:after="0"/>
              <w:rPr>
                <w:sz w:val="15"/>
                <w:szCs w:val="15"/>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rPr>
              <w:t>$10,000 but less than $50,000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80" w:type="dxa"/>
            <w:vAlign w:val="bottom"/>
          </w:tcPr>
          <w:p>
            <w:pPr>
              <w:spacing w:after="0"/>
              <w:rPr>
                <w:sz w:val="15"/>
                <w:szCs w:val="15"/>
                <w:color w:val="auto"/>
              </w:rPr>
            </w:pP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rPr>
              <w:t>More than $50,000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80" w:type="dxa"/>
            <w:vAlign w:val="bottom"/>
          </w:tcPr>
          <w:p>
            <w:pPr>
              <w:spacing w:after="0"/>
              <w:rPr>
                <w:sz w:val="15"/>
                <w:szCs w:val="15"/>
                <w:color w:val="auto"/>
              </w:rPr>
            </w:pPr>
          </w:p>
        </w:tc>
        <w:tc>
          <w:tcPr>
            <w:tcW w:w="6740" w:type="dxa"/>
            <w:vAlign w:val="bottom"/>
            <w:gridSpan w:val="3"/>
          </w:tcPr>
          <w:p>
            <w:pPr>
              <w:ind w:left="240"/>
              <w:spacing w:after="0"/>
              <w:rPr>
                <w:sz w:val="20"/>
                <w:szCs w:val="20"/>
                <w:color w:val="auto"/>
              </w:rPr>
            </w:pPr>
            <w:r>
              <w:rPr>
                <w:rFonts w:ascii="Courier New" w:cs="Courier New" w:eastAsia="Courier New" w:hAnsi="Courier New"/>
                <w:sz w:val="15"/>
                <w:szCs w:val="15"/>
                <w:color w:val="auto"/>
              </w:rPr>
              <w:t>=======================================================================</w:t>
            </w:r>
          </w:p>
        </w:tc>
      </w:tr>
      <w:tr>
        <w:trPr>
          <w:trHeight w:val="352"/>
        </w:trPr>
        <w:tc>
          <w:tcPr>
            <w:tcW w:w="580" w:type="dxa"/>
            <w:vAlign w:val="bottom"/>
          </w:tcPr>
          <w:p>
            <w:pPr>
              <w:spacing w:after="0"/>
              <w:rPr>
                <w:sz w:val="24"/>
                <w:szCs w:val="24"/>
                <w:color w:val="auto"/>
              </w:rPr>
            </w:pPr>
          </w:p>
        </w:tc>
        <w:tc>
          <w:tcPr>
            <w:tcW w:w="4500" w:type="dxa"/>
            <w:vAlign w:val="bottom"/>
          </w:tcPr>
          <w:p>
            <w:pPr>
              <w:ind w:left="1980"/>
              <w:spacing w:after="0"/>
              <w:rPr>
                <w:sz w:val="20"/>
                <w:szCs w:val="20"/>
                <w:color w:val="auto"/>
              </w:rPr>
            </w:pPr>
            <w:r>
              <w:rPr>
                <w:rFonts w:ascii="Courier New" w:cs="Courier New" w:eastAsia="Courier New" w:hAnsi="Courier New"/>
                <w:sz w:val="15"/>
                <w:szCs w:val="15"/>
                <w:color w:val="auto"/>
              </w:rPr>
              <w:t>ARTICLE X--MISCELLANEOUS</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52"/>
        </w:trPr>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10.1</w:t>
            </w:r>
          </w:p>
        </w:tc>
        <w:tc>
          <w:tcPr>
            <w:tcW w:w="4500" w:type="dxa"/>
            <w:vAlign w:val="bottom"/>
          </w:tcPr>
          <w:p>
            <w:pPr>
              <w:ind w:left="240"/>
              <w:spacing w:after="0"/>
              <w:rPr>
                <w:sz w:val="20"/>
                <w:szCs w:val="20"/>
                <w:color w:val="auto"/>
              </w:rPr>
            </w:pPr>
            <w:r>
              <w:rPr>
                <w:rFonts w:ascii="Courier New" w:cs="Courier New" w:eastAsia="Courier New" w:hAnsi="Courier New"/>
                <w:sz w:val="15"/>
                <w:szCs w:val="15"/>
                <w:color w:val="auto"/>
              </w:rPr>
              <w:t>Unfunded Plan</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81"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Plan is intended to be an unfunded plan maintained solely for Directors and is not an employee benefit plan within the meaning of the Employee Retirement Income Security Act of 1974, as amended ("ERISA"), and as such is not intended to be covered by ERISA. In the event of such termination, all ongoing Deferral Commitments shall terminate, no additional Deferral Commitments will be accepted by the Committee, and the amount of each Participant's vested Account balance shall be distributed to such Participant at such time and in such manner as the Committee, in its sole discretion, determines.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12 - DIRECTORS' DEFERRED COMPENSATION PLAN</w:t>
      </w:r>
    </w:p>
    <w:p>
      <w:pPr>
        <w:sectPr>
          <w:pgSz w:w="11900" w:h="16838" w:orient="portrait"/>
          <w:cols w:equalWidth="0" w:num="1">
            <w:col w:w="10219"/>
          </w:cols>
          <w:pgMar w:left="240" w:top="647" w:right="1440" w:bottom="1440" w:gutter="0" w:footer="0" w:header="0"/>
        </w:sectPr>
      </w:pPr>
    </w:p>
    <w:bookmarkStart w:id="76" w:name="page77"/>
    <w:bookmarkEnd w:id="76"/>
    <w:p>
      <w:pPr>
        <w:spacing w:after="0"/>
        <w:tabs>
          <w:tab w:leader="none" w:pos="8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Unsecured General Creditor</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event of Corporation's insolvency, Participants and their Beneficiaries, heirs, successors, and assigns shall have no legal or equitable rights, interest or claims in any property or assets of the Corporation, nor shall they be Beneficiaries of, or have any rights, claims or interests in any life insurance policies, annuity contracts or the proceeds therefrom owned or which may be acquired by the Corporation. In that event, any and all of the Corporation's assets and policies shall be, and remain, the general, unpledged, unrestricted assets of the Corporation. The Corporation's obligation under the Plan shall be that of an unfunded and unsecured promise of the Corporation to pay money in the future.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Trust Fund</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Corporation shall be responsible for the payment of all benefits provided under the Plan. At its discretion, the Corporation may establish one or more trusts, with such trustees as the Board may approve, for the purpose of providing for the payment of such benefits. Such trust or trusts may be irrevocable, but the assets thereof shall be subject to the claims of the Corporation's creditors. To the extent any benefits provided under the Plan are actually paid from any such trust, the Corporation shall have no further obligation with respect thereto, but to the extent not so paid, such benefits shall remain the obligation of, and shall be paid by, the Corporation.</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Nonassignability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Not a Contract of Future Service on Board</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terms and conditions of the Plan shall not be deemed to constitute a contract of future service between the Corporation and the Participant, and the Participant (or his or her Beneficiary) shall have no rights against the Corporation except as may otherwise be specifically provided herein. Moreover, nothing in the Plan shall be deemed to give a Participant the right to be retained in the service of the Corporation.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Protective Provisions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Participant will cooperate with the Corporation by furnishing any and all information requested by the Corporation, in order to facilitate the payment of benefits hereunder, and by taking such physical examinations as the Corporation may deem necessary and taking such other action as may be requested by the Corporation.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Terms</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Whenever any words are used herein in the masculine, they shall be construed as though they were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13 - DIRECTORS' DEFERRED COMPENSATION PLAN</w:t>
      </w:r>
    </w:p>
    <w:p>
      <w:pPr>
        <w:sectPr>
          <w:pgSz w:w="11900" w:h="16838" w:orient="portrait"/>
          <w:cols w:equalWidth="0" w:num="1">
            <w:col w:w="10219"/>
          </w:cols>
          <w:pgMar w:left="240" w:top="647" w:right="1440" w:bottom="1440" w:gutter="0" w:footer="0" w:header="0"/>
        </w:sectPr>
      </w:pPr>
    </w:p>
    <w:bookmarkStart w:id="77" w:name="page78"/>
    <w:bookmarkEnd w:id="77"/>
    <w:p>
      <w:pPr>
        <w:jc w:val="both"/>
        <w:ind w:right="2899"/>
        <w:spacing w:after="0" w:line="249" w:lineRule="auto"/>
        <w:rPr>
          <w:sz w:val="20"/>
          <w:szCs w:val="20"/>
          <w:color w:val="auto"/>
        </w:rPr>
      </w:pPr>
      <w:r>
        <w:rPr>
          <w:rFonts w:ascii="Courier New" w:cs="Courier New" w:eastAsia="Courier New" w:hAnsi="Courier New"/>
          <w:sz w:val="15"/>
          <w:szCs w:val="15"/>
          <w:color w:val="auto"/>
        </w:rPr>
        <w:t>used in the feminine in all cases where they would so apply; and wherever any words are used herein in the singular or in the plural, they shall be construed as though they were used in the plural or the singular, as the case may be, in all cases where they would so apply.</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Captions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captions of the articles, sections and paragraphs of the Plan are for convenience only and shall not control or affect the meaning or construction of any of its provisions.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Governing Law; Arbitration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provisions of the Plan shall be construed and interpreted according to the laws of the State of Oregon. Any dispute or claim that arises out of or that relates to the Plan or to the interpretation, breach, or enforcement of the Plan, must be resolved by mandatory arbitration in accordance with the then effective arbitration rules of Arbitration Service of Portland, Inc., and any judgment upon the award rendered pursuant to such arbitration may be entered in any court having jurisdiction thereof</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Validity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case any provision of the Plan shall be held illegal or invalid for any reason, said illegality or invalidity shall not affect the remaining parts hereof, but the Plan shall be construed and enforced as if such illegal and invalid provision had never been inserted herein.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Notice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Any notice or filing required or permitted to be given to the Committee under the Plan shall be sufficient if in writing and hand delivered, or sent by registered or certified mail, to any member of the Committee or the Secretary of the Corporation. Such notice shall be deemed given as of the date of delivery or, if delivery is made by mail, as of the date shown on the postmark on the receipt for registration or certification.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Successors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provisions of the Plan shall bind and inure to the benefit of the Corporation and its successors and assigns. The term successors as used herein shall include any corporate or other business entity which shall, whether by merger, consolidation, purchase or otherwise acquire all or substantially all of the business and assets of the Corporation, and successors of any such corporation or other business entity.</w:t>
      </w:r>
    </w:p>
    <w:p>
      <w:pPr>
        <w:spacing w:after="0" w:line="352" w:lineRule="exact"/>
        <w:rPr>
          <w:sz w:val="20"/>
          <w:szCs w:val="20"/>
          <w:color w:val="auto"/>
        </w:rPr>
      </w:pPr>
    </w:p>
    <w:tbl>
      <w:tblPr>
        <w:tblLayout w:type="fixed"/>
        <w:tblInd w:w="274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5"/>
                <w:szCs w:val="15"/>
                <w:color w:val="auto"/>
              </w:rPr>
              <w:t>LOUISIANA-PACIFIC CORPORATION</w:t>
            </w:r>
          </w:p>
        </w:tc>
      </w:tr>
      <w:tr>
        <w:trPr>
          <w:trHeight w:val="352"/>
        </w:trPr>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By:</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/s/ Mark A. Suwyn</w:t>
            </w:r>
          </w:p>
        </w:tc>
      </w:tr>
      <w:tr>
        <w:trPr>
          <w:trHeight w:val="176"/>
        </w:trPr>
        <w:tc>
          <w:tcPr>
            <w:tcW w:w="640" w:type="dxa"/>
            <w:vAlign w:val="bottom"/>
          </w:tcPr>
          <w:p>
            <w:pPr>
              <w:spacing w:after="0"/>
              <w:rPr>
                <w:sz w:val="15"/>
                <w:szCs w:val="15"/>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705"/>
        </w:trPr>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By:</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/s/ Anton C. Kirchhof</w:t>
            </w:r>
          </w:p>
        </w:tc>
      </w:tr>
      <w:tr>
        <w:trPr>
          <w:trHeight w:val="176"/>
        </w:trPr>
        <w:tc>
          <w:tcPr>
            <w:tcW w:w="640" w:type="dxa"/>
            <w:vAlign w:val="bottom"/>
          </w:tcPr>
          <w:p>
            <w:pPr>
              <w:spacing w:after="0"/>
              <w:rPr>
                <w:sz w:val="15"/>
                <w:szCs w:val="15"/>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Secretary</w:t>
            </w:r>
          </w:p>
        </w:tc>
      </w:tr>
      <w:tr>
        <w:trPr>
          <w:trHeight w:val="529"/>
        </w:trPr>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Dated:</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March 13, 1998</w:t>
            </w:r>
          </w:p>
        </w:tc>
      </w:tr>
      <w:tr>
        <w:trPr>
          <w:trHeight w:val="176"/>
        </w:trPr>
        <w:tc>
          <w:tcPr>
            <w:tcW w:w="640" w:type="dxa"/>
            <w:vAlign w:val="bottom"/>
          </w:tcPr>
          <w:p>
            <w:pPr>
              <w:spacing w:after="0"/>
              <w:rPr>
                <w:sz w:val="15"/>
                <w:szCs w:val="15"/>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14 - DIRECTORS' DEFERRED COMPENSATION PLAN</w:t>
      </w:r>
    </w:p>
    <w:p>
      <w:pPr>
        <w:sectPr>
          <w:pgSz w:w="11900" w:h="16838" w:orient="portrait"/>
          <w:cols w:equalWidth="0" w:num="1">
            <w:col w:w="10219"/>
          </w:cols>
          <w:pgMar w:left="240" w:top="470" w:right="1440" w:bottom="1440" w:gutter="0" w:footer="0" w:header="0"/>
        </w:sectPr>
      </w:pPr>
    </w:p>
    <w:bookmarkStart w:id="78" w:name="page79"/>
    <w:bookmarkEnd w:id="78"/>
    <w:p>
      <w:pPr>
        <w:ind w:left="2380"/>
        <w:spacing w:after="0"/>
        <w:rPr>
          <w:sz w:val="20"/>
          <w:szCs w:val="20"/>
          <w:color w:val="auto"/>
        </w:rPr>
      </w:pPr>
      <w:r>
        <w:rPr>
          <w:rFonts w:ascii="Courier New" w:cs="Courier New" w:eastAsia="Courier New" w:hAnsi="Courier New"/>
          <w:sz w:val="15"/>
          <w:szCs w:val="15"/>
          <w:color w:val="auto"/>
        </w:rPr>
        <w:t>LOUISIANA-PACIFIC CORPORATION</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SUPPLEMENTAL EXECUTIVE RETIREMENT PLAN</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Effective July 1, 1997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60" w:type="dxa"/>
            <w:vAlign w:val="bottom"/>
          </w:tcPr>
          <w:p>
            <w:pPr>
              <w:jc w:val="right"/>
              <w:ind w:right="2404"/>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52"/>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I--PURPOSE; EFFECTIVE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2"/>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II--DEFINITIONS........................................................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2"/>
        </w:trPr>
        <w:tc>
          <w:tcPr>
            <w:tcW w:w="3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Acquiring Person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Actuarial Equivalent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Beneficiary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Change in Control..........................................................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Committee..................................................................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Corporation................................................................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Deferred Retirement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Disability.................................................................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2.10</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Early Retirement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2.11</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Employer..................................................................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2.12</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Final Average 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2.13</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Final 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2.14</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Involuntarily Terminated..................................................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2.15</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Normal Retirement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2.16</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Participant...............................................................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2.17</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Participation Agreement...................................................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2.18</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Qualified Retirement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2.19</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Retirement................................................................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2.20</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Spouse....................................................................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2.21</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Supplemental Retirement Benefit...........................................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2.22</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Target Retirement Percentage..............................................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2.23</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Years of Credited Service.................................................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2.24</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Years of Participation....................................................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2"/>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III--PARTICIPATION AND VESTING.........................................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2"/>
        </w:trPr>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Eligibility and Participation..............................................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Vesting....................................................................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Cessation of Eligibility...................................................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2"/>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IV--PRERETIREMENT SURVIVOR BENEFIT.....................................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2"/>
        </w:trPr>
        <w:tc>
          <w:tcPr>
            <w:tcW w:w="3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Pretermination Survivor Benefit............................................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2"/>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w:t>
            </w:r>
          </w:p>
        </w:tc>
      </w:tr>
    </w:tbl>
    <w:p>
      <w:pPr>
        <w:sectPr>
          <w:pgSz w:w="11900" w:h="16838" w:orient="portrait"/>
          <w:cols w:equalWidth="0" w:num="1">
            <w:col w:w="10219"/>
          </w:cols>
          <w:pgMar w:left="240" w:top="141" w:right="1440" w:bottom="1440" w:gutter="0" w:footer="0" w:header="0"/>
        </w:sectPr>
      </w:pPr>
    </w:p>
    <w:bookmarkStart w:id="79" w:name="page80"/>
    <w:bookmarkEnd w:id="79"/>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ARTICLE V--SUPPLEMENTAL RETIREMENT BENEFITS</w:t>
      </w:r>
      <w:r>
        <w:rPr>
          <w:sz w:val="20"/>
          <w:szCs w:val="20"/>
          <w:color w:val="auto"/>
        </w:rPr>
        <w:tab/>
      </w:r>
      <w:r>
        <w:rPr>
          <w:rFonts w:ascii="Courier New" w:cs="Courier New" w:eastAsia="Courier New" w:hAnsi="Courier New"/>
          <w:sz w:val="13"/>
          <w:szCs w:val="13"/>
          <w:color w:val="auto"/>
        </w:rPr>
        <w:t>6</w:t>
      </w:r>
    </w:p>
    <w:p>
      <w:pPr>
        <w:spacing w:after="0" w:line="182"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5.1 Normal Retirement Benefit</w:t>
      </w:r>
      <w:r>
        <w:rPr>
          <w:sz w:val="20"/>
          <w:szCs w:val="20"/>
          <w:color w:val="auto"/>
        </w:rPr>
        <w:tab/>
      </w:r>
      <w:r>
        <w:rPr>
          <w:rFonts w:ascii="Courier New" w:cs="Courier New" w:eastAsia="Courier New" w:hAnsi="Courier New"/>
          <w:sz w:val="13"/>
          <w:szCs w:val="13"/>
          <w:color w:val="auto"/>
        </w:rPr>
        <w:t>6</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5.2 Deferred Retirement Benefit</w:t>
      </w:r>
      <w:r>
        <w:rPr>
          <w:sz w:val="20"/>
          <w:szCs w:val="20"/>
          <w:color w:val="auto"/>
        </w:rPr>
        <w:tab/>
      </w:r>
      <w:r>
        <w:rPr>
          <w:rFonts w:ascii="Courier New" w:cs="Courier New" w:eastAsia="Courier New" w:hAnsi="Courier New"/>
          <w:sz w:val="13"/>
          <w:szCs w:val="13"/>
          <w:color w:val="auto"/>
        </w:rPr>
        <w:t>6</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5.3 Early Retirement Benefit</w:t>
      </w:r>
      <w:r>
        <w:rPr>
          <w:sz w:val="20"/>
          <w:szCs w:val="20"/>
          <w:color w:val="auto"/>
        </w:rPr>
        <w:tab/>
      </w:r>
      <w:r>
        <w:rPr>
          <w:rFonts w:ascii="Courier New" w:cs="Courier New" w:eastAsia="Courier New" w:hAnsi="Courier New"/>
          <w:sz w:val="13"/>
          <w:szCs w:val="13"/>
          <w:color w:val="auto"/>
        </w:rPr>
        <w:t>6</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5.4 Early Termination Retirement Benefit</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5.5 Change in Control Benefits</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5.6 Minimum Benefit</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5.7 Disability Retirement Benefit</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5.8 Payment of Benefits</w:t>
      </w:r>
      <w:r>
        <w:rPr>
          <w:sz w:val="20"/>
          <w:szCs w:val="20"/>
          <w:color w:val="auto"/>
        </w:rPr>
        <w:tab/>
      </w:r>
      <w:r>
        <w:rPr>
          <w:rFonts w:ascii="Courier New" w:cs="Courier New" w:eastAsia="Courier New" w:hAnsi="Courier New"/>
          <w:sz w:val="13"/>
          <w:szCs w:val="13"/>
          <w:color w:val="auto"/>
        </w:rPr>
        <w:t>8</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5.9 Accelerated Distribution</w:t>
      </w:r>
      <w:r>
        <w:rPr>
          <w:sz w:val="20"/>
          <w:szCs w:val="20"/>
          <w:color w:val="auto"/>
        </w:rPr>
        <w:tab/>
      </w:r>
      <w:r>
        <w:rPr>
          <w:rFonts w:ascii="Courier New" w:cs="Courier New" w:eastAsia="Courier New" w:hAnsi="Courier New"/>
          <w:sz w:val="13"/>
          <w:szCs w:val="13"/>
          <w:color w:val="auto"/>
        </w:rPr>
        <w:t>8</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5.10 Excise Tax and Lost Benefit Makeup</w:t>
      </w:r>
      <w:r>
        <w:rPr>
          <w:sz w:val="20"/>
          <w:szCs w:val="20"/>
          <w:color w:val="auto"/>
        </w:rPr>
        <w:tab/>
      </w:r>
      <w:r>
        <w:rPr>
          <w:rFonts w:ascii="Courier New" w:cs="Courier New" w:eastAsia="Courier New" w:hAnsi="Courier New"/>
          <w:sz w:val="13"/>
          <w:szCs w:val="13"/>
          <w:color w:val="auto"/>
        </w:rPr>
        <w:t>9</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5.11 Withholding; Payroll Taxes</w:t>
      </w:r>
      <w:r>
        <w:rPr>
          <w:sz w:val="20"/>
          <w:szCs w:val="20"/>
          <w:color w:val="auto"/>
        </w:rPr>
        <w:tab/>
      </w:r>
      <w:r>
        <w:rPr>
          <w:rFonts w:ascii="Courier New" w:cs="Courier New" w:eastAsia="Courier New" w:hAnsi="Courier New"/>
          <w:sz w:val="13"/>
          <w:szCs w:val="13"/>
          <w:color w:val="auto"/>
        </w:rPr>
        <w:t>9</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5.12 Payment to Guardian</w:t>
      </w:r>
      <w:r>
        <w:rPr>
          <w:sz w:val="20"/>
          <w:szCs w:val="20"/>
          <w:color w:val="auto"/>
        </w:rPr>
        <w:tab/>
      </w:r>
      <w:r>
        <w:rPr>
          <w:rFonts w:ascii="Courier New" w:cs="Courier New" w:eastAsia="Courier New" w:hAnsi="Courier New"/>
          <w:sz w:val="13"/>
          <w:szCs w:val="13"/>
          <w:color w:val="auto"/>
        </w:rPr>
        <w:t>9</w:t>
      </w:r>
    </w:p>
    <w:p>
      <w:pPr>
        <w:spacing w:after="0" w:line="182"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ARTICLE VI--BENEFICIARY DESIGNATION</w:t>
      </w:r>
      <w:r>
        <w:rPr>
          <w:sz w:val="20"/>
          <w:szCs w:val="20"/>
          <w:color w:val="auto"/>
        </w:rPr>
        <w:tab/>
      </w:r>
      <w:r>
        <w:rPr>
          <w:rFonts w:ascii="Courier New" w:cs="Courier New" w:eastAsia="Courier New" w:hAnsi="Courier New"/>
          <w:sz w:val="13"/>
          <w:szCs w:val="13"/>
          <w:color w:val="auto"/>
        </w:rPr>
        <w:t>9</w:t>
      </w:r>
    </w:p>
    <w:p>
      <w:pPr>
        <w:spacing w:after="0" w:line="182"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6.1 Beneficiary Designation</w:t>
      </w:r>
      <w:r>
        <w:rPr>
          <w:sz w:val="20"/>
          <w:szCs w:val="20"/>
          <w:color w:val="auto"/>
        </w:rPr>
        <w:tab/>
      </w:r>
      <w:r>
        <w:rPr>
          <w:rFonts w:ascii="Courier New" w:cs="Courier New" w:eastAsia="Courier New" w:hAnsi="Courier New"/>
          <w:sz w:val="13"/>
          <w:szCs w:val="13"/>
          <w:color w:val="auto"/>
        </w:rPr>
        <w:t>9</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6.2 Changing Beneficiary</w:t>
      </w:r>
      <w:r>
        <w:rPr>
          <w:sz w:val="20"/>
          <w:szCs w:val="20"/>
          <w:color w:val="auto"/>
        </w:rPr>
        <w:tab/>
      </w:r>
      <w:r>
        <w:rPr>
          <w:rFonts w:ascii="Courier New" w:cs="Courier New" w:eastAsia="Courier New" w:hAnsi="Courier New"/>
          <w:sz w:val="13"/>
          <w:szCs w:val="13"/>
          <w:color w:val="auto"/>
        </w:rPr>
        <w:t>9</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6.3 Community Property</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6.4 No Beneficiary Designation</w:t>
      </w:r>
      <w:r>
        <w:rPr>
          <w:sz w:val="20"/>
          <w:szCs w:val="20"/>
          <w:color w:val="auto"/>
        </w:rPr>
        <w:tab/>
      </w:r>
      <w:r>
        <w:rPr>
          <w:rFonts w:ascii="Courier New" w:cs="Courier New" w:eastAsia="Courier New" w:hAnsi="Courier New"/>
          <w:sz w:val="15"/>
          <w:szCs w:val="15"/>
          <w:color w:val="auto"/>
        </w:rPr>
        <w:t>10</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ARTICLE VII--ADMINISTRATION</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7.1 Committee; Duties</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7.2 Agents</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7.3 Binding Effect of Decisions</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7.4 Indemnity of Committee</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7.5 Binding Effect of Decisions</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7.6 Indemnity of Committee</w:t>
      </w:r>
      <w:r>
        <w:rPr>
          <w:sz w:val="20"/>
          <w:szCs w:val="20"/>
          <w:color w:val="auto"/>
        </w:rPr>
        <w:tab/>
      </w:r>
      <w:r>
        <w:rPr>
          <w:rFonts w:ascii="Courier New" w:cs="Courier New" w:eastAsia="Courier New" w:hAnsi="Courier New"/>
          <w:sz w:val="15"/>
          <w:szCs w:val="15"/>
          <w:color w:val="auto"/>
        </w:rPr>
        <w:t>12</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ARTICLE VIII--CLAIMS PROCEDURE</w:t>
      </w:r>
      <w:r>
        <w:rPr>
          <w:sz w:val="20"/>
          <w:szCs w:val="20"/>
          <w:color w:val="auto"/>
        </w:rPr>
        <w:tab/>
      </w:r>
      <w:r>
        <w:rPr>
          <w:rFonts w:ascii="Courier New" w:cs="Courier New" w:eastAsia="Courier New" w:hAnsi="Courier New"/>
          <w:sz w:val="15"/>
          <w:szCs w:val="15"/>
          <w:color w:val="auto"/>
        </w:rPr>
        <w:t>12</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8.1 Claim</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8.2 Denial of Claim</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8.3 Review of Claim</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8.4 Final Decision</w:t>
      </w:r>
      <w:r>
        <w:rPr>
          <w:sz w:val="20"/>
          <w:szCs w:val="20"/>
          <w:color w:val="auto"/>
        </w:rPr>
        <w:tab/>
      </w:r>
      <w:r>
        <w:rPr>
          <w:rFonts w:ascii="Courier New" w:cs="Courier New" w:eastAsia="Courier New" w:hAnsi="Courier New"/>
          <w:sz w:val="15"/>
          <w:szCs w:val="15"/>
          <w:color w:val="auto"/>
        </w:rPr>
        <w:t>12</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ARTICLE IX--TERMINATION, SUSPENSION OR AMENDMENT</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9.1 Termination, Suspension or Amendment of Plan</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46" w:right="1440" w:bottom="1440" w:gutter="0" w:footer="0" w:header="0"/>
        </w:sectPr>
      </w:pPr>
    </w:p>
    <w:bookmarkStart w:id="80" w:name="page81"/>
    <w:bookmarkEnd w:id="80"/>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ARTICLE X--MISCELLANEOUS</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10.1 Unfunded Plan</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10.2 Unsecured General Creditor</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10.3 Trust Fund</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10.4 Nonassignability</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10.5 Not a Contract of Employment</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10.6 Protective Provisions</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10.7 Terms</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10.8 Captions</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10.9 Governing Law; Arbitration</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10.10 Validity</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10.ll Notice</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10.12 Successors</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47" w:right="1440" w:bottom="1440" w:gutter="0" w:footer="0" w:header="0"/>
        </w:sectPr>
      </w:pPr>
    </w:p>
    <w:bookmarkStart w:id="81" w:name="page82"/>
    <w:bookmarkEnd w:id="81"/>
    <w:p>
      <w:pPr>
        <w:ind w:left="2380"/>
        <w:spacing w:after="0"/>
        <w:rPr>
          <w:sz w:val="20"/>
          <w:szCs w:val="20"/>
          <w:color w:val="auto"/>
        </w:rPr>
      </w:pPr>
      <w:r>
        <w:rPr>
          <w:rFonts w:ascii="Courier New" w:cs="Courier New" w:eastAsia="Courier New" w:hAnsi="Courier New"/>
          <w:sz w:val="15"/>
          <w:szCs w:val="15"/>
          <w:color w:val="auto"/>
        </w:rPr>
        <w:t>LOUISIANA-PACIFIC CORPORATION</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SUPPLEMENTAL EXECUTIVE RETIREMENT PLAN</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I--PURPOSE; EFFECTIVE DATE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purpose of this Supplemental Executive Retirement Plan (the "Plan") is to provide supplemental retirement and death benefits for certain key employees of Louisiana-Pacific Corporation (the "Corporation"). It is intended that the Plan will aid in retaining and attracting employees of exceptional ability by providing them with these benefits. This Plan shall be effective as of July 1, 1997.</w:t>
      </w:r>
    </w:p>
    <w:p>
      <w:pPr>
        <w:spacing w:after="0" w:line="17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ARTICLE II--DEFINITIONS</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For the purposes of this Plan, the following terms shall have the meanings indicated, unless the context clearly indicates otherwise: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Acquiring Person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"Acquiring Person" means any person or related person or related persons which constitute a "group" for purposes of Section 13(d) and Rule 13d-5 under the Securities Exchange Act of 1934, as amended (the "Exchange Act"); provided, however, that the term Acquiring Person shall not include:</w:t>
      </w:r>
    </w:p>
    <w:p>
      <w:pPr>
        <w:spacing w:after="0" w:line="176" w:lineRule="exact"/>
        <w:rPr>
          <w:sz w:val="20"/>
          <w:szCs w:val="20"/>
          <w:color w:val="auto"/>
        </w:rPr>
      </w:pPr>
    </w:p>
    <w:p>
      <w:pPr>
        <w:ind w:left="1640" w:hanging="363"/>
        <w:spacing w:after="0"/>
        <w:tabs>
          <w:tab w:leader="none" w:pos="16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or any of its Subsidiaries;</w:t>
      </w:r>
    </w:p>
    <w:p>
      <w:pPr>
        <w:spacing w:after="0" w:line="182"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employee benefit plan or related trust of Corporation or any of its Subsidiaries;</w:t>
      </w:r>
    </w:p>
    <w:p>
      <w:pPr>
        <w:spacing w:after="0" w:line="174"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entity holding voting capital stock of Corporation for or pursuant to the terms of any such employee benefit plan; or</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solely because such person or group has voting power with respect to capital stock of Corporation arising from a revocable proxy or consent given in response to a public proxy or consent solicitation made pursuant to the Exchange Act.</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Actuarial Equivalent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"Actuarial Equivalent" means equivalence in value between two (2) or more forms and/or times of payment based on a determination by an actuary chosen by the Corporation, using sound actuarial assumptions at the time of such determination.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Beneficiary</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"Beneficiary" means the person, persons or entity entitled under Article VI to receive any Plan benefits payable after a Participant's death.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1-SUPPLEMENTAL EXECUTIVE RETIREMENT PLAN</w:t>
      </w:r>
    </w:p>
    <w:p>
      <w:pPr>
        <w:sectPr>
          <w:pgSz w:w="11900" w:h="16838" w:orient="portrait"/>
          <w:cols w:equalWidth="0" w:num="1">
            <w:col w:w="10219"/>
          </w:cols>
          <w:pgMar w:left="240" w:top="646" w:right="1440" w:bottom="1440" w:gutter="0" w:footer="0" w:header="0"/>
        </w:sectPr>
      </w:pPr>
    </w:p>
    <w:bookmarkStart w:id="82" w:name="page83"/>
    <w:bookmarkEnd w:id="82"/>
    <w:p>
      <w:pPr>
        <w:spacing w:after="0"/>
        <w:tabs>
          <w:tab w:leader="none" w:pos="8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Change in Control</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 "Change in Control" shall occur upon:</w:t>
      </w:r>
    </w:p>
    <w:p>
      <w:pPr>
        <w:spacing w:after="0" w:line="182" w:lineRule="exact"/>
        <w:rPr>
          <w:sz w:val="20"/>
          <w:szCs w:val="20"/>
          <w:color w:val="auto"/>
        </w:rPr>
      </w:pPr>
    </w:p>
    <w:p>
      <w:pPr>
        <w:jc w:val="both"/>
        <w:ind w:left="820" w:right="2899" w:firstLine="457"/>
        <w:spacing w:after="0" w:line="249" w:lineRule="auto"/>
        <w:tabs>
          <w:tab w:leader="none" w:pos="173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Acquiring Person of beneficial ownership (within the meaning of Rule 13d-3 under the Exchange Act) of twenty percent (20%) or more of the combined voting power of the then outstanding securities which vote generally in the election of directors ("Voting Securities"); provided, however, that for purposes of this paragraph (a), the following acquisitions will not constitute a Change in Control:</w:t>
      </w:r>
    </w:p>
    <w:p>
      <w:pPr>
        <w:spacing w:after="0" w:line="175" w:lineRule="exact"/>
        <w:rPr>
          <w:rFonts w:ascii="Courier New" w:cs="Courier New" w:eastAsia="Courier New" w:hAnsi="Courier New"/>
          <w:sz w:val="15"/>
          <w:szCs w:val="15"/>
          <w:color w:val="auto"/>
        </w:rPr>
      </w:pPr>
    </w:p>
    <w:p>
      <w:pPr>
        <w:ind w:left="2100" w:hanging="365"/>
        <w:spacing w:after="0"/>
        <w:tabs>
          <w:tab w:leader="none" w:pos="210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directly from Corporation;</w:t>
      </w:r>
    </w:p>
    <w:p>
      <w:pPr>
        <w:spacing w:after="0" w:line="182" w:lineRule="exact"/>
        <w:rPr>
          <w:rFonts w:ascii="Courier New" w:cs="Courier New" w:eastAsia="Courier New" w:hAnsi="Courier New"/>
          <w:sz w:val="15"/>
          <w:szCs w:val="15"/>
          <w:color w:val="auto"/>
        </w:rPr>
      </w:pPr>
    </w:p>
    <w:p>
      <w:pPr>
        <w:ind w:left="2200" w:hanging="465"/>
        <w:spacing w:after="0"/>
        <w:tabs>
          <w:tab w:leader="none" w:pos="220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Corporation;</w:t>
      </w:r>
    </w:p>
    <w:p>
      <w:pPr>
        <w:spacing w:after="0" w:line="182" w:lineRule="exact"/>
        <w:rPr>
          <w:rFonts w:ascii="Courier New" w:cs="Courier New" w:eastAsia="Courier New" w:hAnsi="Courier New"/>
          <w:sz w:val="15"/>
          <w:szCs w:val="15"/>
          <w:color w:val="auto"/>
        </w:rPr>
      </w:pPr>
    </w:p>
    <w:p>
      <w:pPr>
        <w:jc w:val="both"/>
        <w:ind w:left="1280" w:right="2899" w:firstLine="455"/>
        <w:spacing w:after="0" w:line="249" w:lineRule="auto"/>
        <w:tabs>
          <w:tab w:leader="none" w:pos="2379"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any employee benefit plan (or related trust) sponsored or maintained by Corporation or any corporation controlled by Corporation; or</w:t>
      </w:r>
    </w:p>
    <w:p>
      <w:pPr>
        <w:spacing w:after="0" w:line="175" w:lineRule="exact"/>
        <w:rPr>
          <w:rFonts w:ascii="Courier New" w:cs="Courier New" w:eastAsia="Courier New" w:hAnsi="Courier New"/>
          <w:sz w:val="15"/>
          <w:szCs w:val="15"/>
          <w:color w:val="auto"/>
        </w:rPr>
      </w:pPr>
    </w:p>
    <w:p>
      <w:pPr>
        <w:jc w:val="both"/>
        <w:ind w:left="1280" w:right="2899" w:firstLine="455"/>
        <w:spacing w:after="0" w:line="249" w:lineRule="auto"/>
        <w:tabs>
          <w:tab w:leader="none" w:pos="2288"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any corporation pursuant to a transaction that complies with clauses (i), (ii), and (iii) of paragraph (c) of this definition of Change in Control; or</w:t>
      </w:r>
    </w:p>
    <w:p>
      <w:pPr>
        <w:spacing w:after="0" w:line="175" w:lineRule="exact"/>
        <w:rPr>
          <w:rFonts w:ascii="Courier New" w:cs="Courier New" w:eastAsia="Courier New" w:hAnsi="Courier New"/>
          <w:sz w:val="15"/>
          <w:szCs w:val="15"/>
          <w:color w:val="auto"/>
        </w:rPr>
      </w:pPr>
    </w:p>
    <w:p>
      <w:pPr>
        <w:ind w:left="820" w:right="2899" w:firstLine="457"/>
        <w:spacing w:after="0" w:line="248" w:lineRule="auto"/>
        <w:tabs>
          <w:tab w:leader="none" w:pos="164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twelve (12) consecutive calendar months, individuals who at the beginning of such period constitute the Board (the "Incumbent Board") cease for any reason to constitute at least a majority of the Board; provided, however, that any individual who becomes a director during the period whose election, or nomination for election, by Corporation's shareholders was approved by a vote of at least a majority of the directors then constituting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(as such term is used in Section 3(d) and 14(d) of the Exchange Act) other than the Board; or</w:t>
      </w:r>
    </w:p>
    <w:p>
      <w:pPr>
        <w:spacing w:after="0" w:line="18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or sale or other disposition of all or substantially all of the assets of Corporation (a "Business Combination") in each case, unless, following such Business Combination:</w:t>
      </w:r>
    </w:p>
    <w:p>
      <w:pPr>
        <w:spacing w:after="0" w:line="175" w:lineRule="exact"/>
        <w:rPr>
          <w:rFonts w:ascii="Courier New" w:cs="Courier New" w:eastAsia="Courier New" w:hAnsi="Courier New"/>
          <w:sz w:val="15"/>
          <w:szCs w:val="15"/>
          <w:color w:val="auto"/>
        </w:rPr>
      </w:pPr>
    </w:p>
    <w:p>
      <w:pPr>
        <w:jc w:val="both"/>
        <w:ind w:left="1280" w:right="2899" w:firstLine="455"/>
        <w:spacing w:after="0" w:line="248" w:lineRule="auto"/>
        <w:tabs>
          <w:tab w:leader="none" w:pos="2104"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substantially all of the individuals and entities who were the beneficial owners of the Voting Securities outstanding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Corporation or all or substantially all of Corporation's assets either directly or through one (1) or more subsidiaries) in substantially the same proportions as their ownership, immediately prior to such Business Combination, of the Voting Securities;</w:t>
      </w:r>
    </w:p>
    <w:p>
      <w:pPr>
        <w:spacing w:after="0" w:line="184" w:lineRule="exact"/>
        <w:rPr>
          <w:rFonts w:ascii="Courier New" w:cs="Courier New" w:eastAsia="Courier New" w:hAnsi="Courier New"/>
          <w:sz w:val="15"/>
          <w:szCs w:val="15"/>
          <w:color w:val="auto"/>
        </w:rPr>
      </w:pPr>
    </w:p>
    <w:p>
      <w:pPr>
        <w:jc w:val="both"/>
        <w:ind w:left="1280" w:right="2899" w:firstLine="455"/>
        <w:spacing w:after="0" w:line="249" w:lineRule="auto"/>
        <w:tabs>
          <w:tab w:leader="none" w:pos="2196"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(excluding any employee benefit plan, or related trust, of Corporation or such corporation resulting from such Business Combination) beneficially owns, directly or indirectly, twenty percent (20%) or more of, respectively, the then outstanding shares of common stock of the corporation resulting from such Business Combination or the combined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2-SUPPLEMENTAL EXECUTIVE RETIREMENT PLAN</w:t>
      </w:r>
    </w:p>
    <w:p>
      <w:pPr>
        <w:sectPr>
          <w:pgSz w:w="11900" w:h="16838" w:orient="portrait"/>
          <w:cols w:equalWidth="0" w:num="1">
            <w:col w:w="10219"/>
          </w:cols>
          <w:pgMar w:left="240" w:top="646" w:right="1440" w:bottom="1440" w:gutter="0" w:footer="0" w:header="0"/>
        </w:sectPr>
      </w:pPr>
    </w:p>
    <w:bookmarkStart w:id="83" w:name="page84"/>
    <w:bookmarkEnd w:id="83"/>
    <w:p>
      <w:pPr>
        <w:jc w:val="both"/>
        <w:ind w:left="1280" w:right="2899"/>
        <w:spacing w:after="0" w:line="249" w:lineRule="auto"/>
        <w:rPr>
          <w:sz w:val="20"/>
          <w:szCs w:val="20"/>
          <w:color w:val="auto"/>
        </w:rPr>
      </w:pPr>
      <w:r>
        <w:rPr>
          <w:rFonts w:ascii="Courier New" w:cs="Courier New" w:eastAsia="Courier New" w:hAnsi="Courier New"/>
          <w:sz w:val="15"/>
          <w:szCs w:val="15"/>
          <w:color w:val="auto"/>
        </w:rPr>
        <w:t>voting power of the then outstanding voting securities of such corporation except to the extent that such ownership existed prior to the Business Combination; and</w:t>
      </w:r>
    </w:p>
    <w:p>
      <w:pPr>
        <w:spacing w:after="0" w:line="176" w:lineRule="exact"/>
        <w:rPr>
          <w:sz w:val="20"/>
          <w:szCs w:val="20"/>
          <w:color w:val="auto"/>
        </w:rPr>
      </w:pPr>
    </w:p>
    <w:p>
      <w:pPr>
        <w:jc w:val="both"/>
        <w:ind w:left="1280" w:right="2899" w:firstLine="455"/>
        <w:spacing w:after="0" w:line="249" w:lineRule="auto"/>
        <w:tabs>
          <w:tab w:leader="none" w:pos="228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75"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Corporation of any plan or proposal for the liquidation or dissolution of Corporation.</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Committee</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"Committee" means the Committee appointed by the Chief Executive Officer to administer the Plan pursuant to Article VII.</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Compensation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"Compensation" means base pay and annual incentives paid to a Participant during the calendar year, before reduction for amounts deferred under the Louisiana-Pacific Executive Deferred Compensation Plan or any other salary reduction program. Compensation does not include expense reimbursements, any form of noncash Compensation or benefits, group life insurance premiums, or any other payments or benefits other than normal Compensation.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Corporation</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"Corporation" means Louisiana-Pacific Corporation, a Delaware corporation, or any successor to the business thereof.</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Deferred Retirement Date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"Deferred Retirement Date" means the first day of the month coincident with or next following the Participant's severance of employment if it occurs after the Participant's Normal Retirement Date.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Disability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"Disability" means a physical or mental condition which, in the opinion of the Committee, prevents an employee from satisfactorily performing employee's usual duties for Employer. The Committee's decision as to Disability will be based upon medical reports and/or evidence satisfactory to the Committee. In no event shall a Disability be deemed to occur or to continue after a Participant's Normal Retirement Date.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Early Retirement Date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"Early Retirement Date" means the date on which the Participant terminates employment if it occurs on or after the first day of the month coincidental with or next following a Participant's attainment of age fifty-five (55) and completion of five (5) Years of Participation, but prior to his Normal Retirement Date.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Employer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3-SUPPLEMENTAL EXECUTIVE RETIREMENT PLAN</w:t>
      </w:r>
    </w:p>
    <w:p>
      <w:pPr>
        <w:sectPr>
          <w:pgSz w:w="11900" w:h="16838" w:orient="portrait"/>
          <w:cols w:equalWidth="0" w:num="1">
            <w:col w:w="10219"/>
          </w:cols>
          <w:pgMar w:left="240" w:top="647" w:right="1440" w:bottom="1440" w:gutter="0" w:footer="0" w:header="0"/>
        </w:sectPr>
      </w:pPr>
    </w:p>
    <w:bookmarkStart w:id="84" w:name="page85"/>
    <w:bookmarkEnd w:id="84"/>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"Employer" means the Corporation and any affiliated or subsidiary corporation of the Corporation which is incorporated under the laws of any state of the United States.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Final Average Compensation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"Final Average Compensation" means the Participant's Compensation during the sixty (60) consecutive calendar months out of the last one hundred twenty (120) months of employment with the Employer in which the Participant's Compensation is the highest divided by sixty (60).</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5"/>
          <w:szCs w:val="15"/>
          <w:color w:val="auto"/>
        </w:rPr>
        <w:t>Final Compensation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"Final Compensation" means a Participant's base pay for the twelve (12) months prior to termination of employment with the Employer, plus the average annual incentive paid the last three (3) years, divided by twelve (12). If the Participant has not been a Participant in the Employer's annual incentive plan for three (3) full years or been an employee for a full twelve (12) months, then the preceding determination shall be adjusted pro rata.</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Involuntarily Terminated</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"Involuntarily Terminated" means a Participant is discharged or resigns in response to a change in day-to-day duties, or reduction in Compensation or benefits, to a downward change of title, or to a relocation requested by Employer.</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5"/>
          <w:szCs w:val="15"/>
          <w:color w:val="auto"/>
        </w:rPr>
        <w:t>Normal Retirement Date</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"Normal Retirement Date" means the first day of the month coincident with or next following the Participant's attainment of age sixty-two (62).</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5"/>
          <w:szCs w:val="15"/>
          <w:color w:val="auto"/>
        </w:rPr>
        <w:t>Participant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"Participant" means any individual who is participating or has participated in this Plan as provided in Article III.</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2.17</w:t>
      </w:r>
      <w:r>
        <w:rPr>
          <w:sz w:val="20"/>
          <w:szCs w:val="20"/>
          <w:color w:val="auto"/>
        </w:rPr>
        <w:tab/>
      </w:r>
      <w:r>
        <w:rPr>
          <w:rFonts w:ascii="Courier New" w:cs="Courier New" w:eastAsia="Courier New" w:hAnsi="Courier New"/>
          <w:sz w:val="15"/>
          <w:szCs w:val="15"/>
          <w:color w:val="auto"/>
        </w:rPr>
        <w:t>Participation Agreement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"Participation Agreement" means the agreement filed by a Participant which acknowledges assent to the terms of the Plan.</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2.18</w:t>
      </w:r>
      <w:r>
        <w:rPr>
          <w:sz w:val="20"/>
          <w:szCs w:val="20"/>
          <w:color w:val="auto"/>
        </w:rPr>
        <w:tab/>
      </w:r>
      <w:r>
        <w:rPr>
          <w:rFonts w:ascii="Courier New" w:cs="Courier New" w:eastAsia="Courier New" w:hAnsi="Courier New"/>
          <w:sz w:val="15"/>
          <w:szCs w:val="15"/>
          <w:color w:val="auto"/>
        </w:rPr>
        <w:t>Qualified Retirement Plan</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"Qualified Retirement Plan" means the Louisiana-Pacific Corporation Salaried Employees' Stock Ownership Trust and any successor thereof.</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2.19</w:t>
      </w:r>
      <w:r>
        <w:rPr>
          <w:sz w:val="20"/>
          <w:szCs w:val="20"/>
          <w:color w:val="auto"/>
        </w:rPr>
        <w:tab/>
      </w:r>
      <w:r>
        <w:rPr>
          <w:rFonts w:ascii="Courier New" w:cs="Courier New" w:eastAsia="Courier New" w:hAnsi="Courier New"/>
          <w:sz w:val="15"/>
          <w:szCs w:val="15"/>
          <w:color w:val="auto"/>
        </w:rPr>
        <w:t>Retirement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"Retirement" means a Participant's separation from employment with the Employer at the Participant's Early Retirement Date, Normal Retirement Date, or Deferred Retirement Date.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2.20</w:t>
      </w:r>
      <w:r>
        <w:rPr>
          <w:sz w:val="20"/>
          <w:szCs w:val="20"/>
          <w:color w:val="auto"/>
        </w:rPr>
        <w:tab/>
      </w:r>
      <w:r>
        <w:rPr>
          <w:rFonts w:ascii="Courier New" w:cs="Courier New" w:eastAsia="Courier New" w:hAnsi="Courier New"/>
          <w:sz w:val="15"/>
          <w:szCs w:val="15"/>
          <w:color w:val="auto"/>
        </w:rPr>
        <w:t>Spouse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4-SUPPLEMENTAL EXECUTIVE RETIREMENT PLAN</w:t>
      </w:r>
    </w:p>
    <w:p>
      <w:pPr>
        <w:sectPr>
          <w:pgSz w:w="11900" w:h="16838" w:orient="portrait"/>
          <w:cols w:equalWidth="0" w:num="1">
            <w:col w:w="10219"/>
          </w:cols>
          <w:pgMar w:left="240" w:top="647" w:right="1440" w:bottom="1440" w:gutter="0" w:footer="0" w:header="0"/>
        </w:sectPr>
      </w:pPr>
    </w:p>
    <w:bookmarkStart w:id="85" w:name="page86"/>
    <w:bookmarkEnd w:id="85"/>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"Spouse" means a Participant's wife or husband who is lawfully married to the Participant at the time of the Participant's death.</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5"/>
          <w:szCs w:val="15"/>
          <w:color w:val="auto"/>
        </w:rPr>
        <w:t>Supplemental Retirement Benefit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"Supplemental Retirement Benefit" means the benefit determined under Article V of this Plan.</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5"/>
          <w:szCs w:val="15"/>
          <w:color w:val="auto"/>
        </w:rPr>
        <w:t>Target Retirement Percentage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"Target Retirement Percentage" means the percentage of Final Average Compensation which will be used as a target from which other forms of retirement benefits are subtracted, as provided in Article V, to arrive at the amount of the Supplemental Retirement Benefit actually payable to a Participant. This percentage shall equal fifty percent (50%) multiplied by a fraction, the numerator of which is the Participant's Years of Credited Service, not to exceed fifteen (15), and the denominator of which is fifteen (15). The adjusted Target Retirement Percentage shall be rounded to four (4) decimal places.</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2.23</w:t>
      </w:r>
      <w:r>
        <w:rPr>
          <w:sz w:val="20"/>
          <w:szCs w:val="20"/>
          <w:color w:val="auto"/>
        </w:rPr>
        <w:tab/>
      </w:r>
      <w:r>
        <w:rPr>
          <w:rFonts w:ascii="Courier New" w:cs="Courier New" w:eastAsia="Courier New" w:hAnsi="Courier New"/>
          <w:sz w:val="15"/>
          <w:szCs w:val="15"/>
          <w:color w:val="auto"/>
        </w:rPr>
        <w:t>Years of Credited Service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"Years of Credited Service" means the number of years of credited vesting service determined under the provisions of the Employer's Qualified Retirement Plan.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2.24</w:t>
      </w:r>
      <w:r>
        <w:rPr>
          <w:sz w:val="20"/>
          <w:szCs w:val="20"/>
          <w:color w:val="auto"/>
        </w:rPr>
        <w:tab/>
      </w:r>
      <w:r>
        <w:rPr>
          <w:rFonts w:ascii="Courier New" w:cs="Courier New" w:eastAsia="Courier New" w:hAnsi="Courier New"/>
          <w:sz w:val="15"/>
          <w:szCs w:val="15"/>
          <w:color w:val="auto"/>
        </w:rPr>
        <w:t>Years of Participation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"Years of Participation" means the number of twelve (12) month periods the Participant has been a Participant in the Plan as set out in Section 3.1(b) of this Plan. For the initial Participants, as set out in Appendix A, Years of Participation shall be measured from January 1, 1997.</w:t>
      </w:r>
    </w:p>
    <w:p>
      <w:pPr>
        <w:spacing w:after="0" w:line="17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ARTICLE III--PARTICIPATION AND VESTING</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Eligibility and Participation</w:t>
      </w:r>
    </w:p>
    <w:p>
      <w:pPr>
        <w:spacing w:after="0" w:line="182" w:lineRule="exact"/>
        <w:rPr>
          <w:sz w:val="20"/>
          <w:szCs w:val="20"/>
          <w:color w:val="auto"/>
        </w:rPr>
      </w:pPr>
    </w:p>
    <w:p>
      <w:pPr>
        <w:ind w:left="820" w:right="2899" w:firstLine="457"/>
        <w:spacing w:after="0" w:line="250" w:lineRule="auto"/>
        <w:tabs>
          <w:tab w:leader="none" w:pos="173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Eligibility to participate in the Plan shall be limited to those employees who are designated by the Committee.</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73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An employee's participation in the Plan shall be effective upon notification of the employee of his status as a Participant by the Committee. Participation in the Plan shall continue until such time as the Participant terminates employment with the Employer, and as long thereafter as the Participant is eligible to receive benefits under this Plan.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Vesting</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Each Participant shall be one hundred percent (100%) vested in benefits under this Plan after completing five (5) Years of Participation in the Plan. The preceding notwithstanding, each Participant shall be one hundred percent (100%) vested in benefits under this Plan upon death, Disability or a Change in Control.</w:t>
      </w:r>
    </w:p>
    <w:p>
      <w:pPr>
        <w:spacing w:after="0" w:line="35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Cessation of Eligibility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5-SUPPLEMENTAL EXECUTIVE RETIREMENT PLAN</w:t>
      </w:r>
    </w:p>
    <w:p>
      <w:pPr>
        <w:sectPr>
          <w:pgSz w:w="11900" w:h="16838" w:orient="portrait"/>
          <w:cols w:equalWidth="0" w:num="1">
            <w:col w:w="10219"/>
          </w:cols>
          <w:pgMar w:left="240" w:top="647" w:right="1440" w:bottom="1440" w:gutter="0" w:footer="0" w:header="0"/>
        </w:sectPr>
      </w:pPr>
    </w:p>
    <w:bookmarkStart w:id="86" w:name="page87"/>
    <w:bookmarkEnd w:id="86"/>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Notwithstanding Section 3.1(b) of this Plan, if a Participant ceases to be designated by the Committee as eligible to participate in the Plan, by reason of a change in employment status or otherwise, participation herein and eligibility to receive benefits hereunder shall be limited to the Participant's interest in such benefits as of the date designated by the Committee.</w:t>
      </w:r>
    </w:p>
    <w:p>
      <w:pPr>
        <w:spacing w:after="0" w:line="17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ARTICLE IV--PRERETIREMENT SURVIVOR BENEFIT</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Pretermination Survivor Benefit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Participant dies while employed by the Employer, the Employer shall pay a supplemental survivor benefit to the Participant's Spouse. The amount of this benefit shall be equal to one-half (1/2) of the monthly accrued Supplemental Retirement Benefit payable monthly for the life of the Spouse.</w:t>
      </w:r>
    </w:p>
    <w:p>
      <w:pPr>
        <w:spacing w:after="0" w:line="35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ARTICLE V--SUPPLEMENTAL RETIREMENT BENEFITS</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Normal Retirement Benefit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Participant retires on their Normal Retirement Date, the Employer shall pay to the Participant a monthly Supplemental Retirement Benefit equal to the Target Retirement Percentage multiplied by the Participant's Final Average Compensation, less</w:t>
      </w:r>
    </w:p>
    <w:p>
      <w:pPr>
        <w:spacing w:after="0" w:line="176" w:lineRule="exact"/>
        <w:rPr>
          <w:sz w:val="20"/>
          <w:szCs w:val="20"/>
          <w:color w:val="auto"/>
        </w:rPr>
      </w:pPr>
    </w:p>
    <w:p>
      <w:pPr>
        <w:ind w:left="820" w:right="2979" w:firstLine="457"/>
        <w:spacing w:after="0" w:line="250" w:lineRule="auto"/>
        <w:tabs>
          <w:tab w:leader="none" w:pos="164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Fifty percent (50%) of the Participant's primary Social Security benefit determined at age sixty-two (62), and</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Participant's Qualified Retirement Plan balance converted to a monthly life annuity. Such conversion shall be at the PBGC immediate annuity rate;</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times the vesting percentage determined under Section 3.2 of this Plan.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Deferred Retirement Benefit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Participant retires at a Deferred Retirement Date, the Employer shall pay to the Participant a Supplemental Retirement Benefit calculated pursuant to Section 5.1, except that 5.1(a) and 5.1(b) shall be measured at the Participant's date of termination.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Early Retirement Benefit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Participant retires at an Early Retirement Date, the Employer shall pay to the Participant a monthly Supplemental Retirement Benefit equal to the Target Retirement Percentage multiplied by the Participant's Final Average Compensation, less</w:t>
      </w:r>
    </w:p>
    <w:p>
      <w:pPr>
        <w:spacing w:after="0" w:line="176" w:lineRule="exact"/>
        <w:rPr>
          <w:sz w:val="20"/>
          <w:szCs w:val="20"/>
          <w:color w:val="auto"/>
        </w:rPr>
      </w:pPr>
    </w:p>
    <w:p>
      <w:pPr>
        <w:ind w:left="820" w:right="2899" w:firstLine="457"/>
        <w:spacing w:after="0" w:line="250" w:lineRule="auto"/>
        <w:tabs>
          <w:tab w:leader="none" w:pos="164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Fifty percent (50%) of the Participant's primary Social Security benefit projected to be paid at age sixty-two (62) based on the then current law and assuming no future increases in Compensation, and</w:t>
      </w:r>
    </w:p>
    <w:p>
      <w:pPr>
        <w:spacing w:after="0" w:line="349"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Participant's Qualified Retirement Plan balance at termination converted to a life annuity using the PBGC immediate annuity rate;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6-SUPPLEMENTAL EXECUTIVE RETIREMENT PLAN</w:t>
      </w:r>
    </w:p>
    <w:p>
      <w:pPr>
        <w:sectPr>
          <w:pgSz w:w="11900" w:h="16838" w:orient="portrait"/>
          <w:cols w:equalWidth="0" w:num="1">
            <w:col w:w="10219"/>
          </w:cols>
          <w:pgMar w:left="240" w:top="646" w:right="1440" w:bottom="1440" w:gutter="0" w:footer="0" w:header="0"/>
        </w:sectPr>
      </w:pPr>
    </w:p>
    <w:bookmarkStart w:id="87" w:name="page88"/>
    <w:bookmarkEnd w:id="87"/>
    <w:p>
      <w:pPr>
        <w:jc w:val="right"/>
        <w:ind w:right="2899"/>
        <w:spacing w:after="0"/>
        <w:rPr>
          <w:sz w:val="20"/>
          <w:szCs w:val="20"/>
          <w:color w:val="auto"/>
        </w:rPr>
      </w:pPr>
      <w:r>
        <w:rPr>
          <w:rFonts w:ascii="Courier New" w:cs="Courier New" w:eastAsia="Courier New" w:hAnsi="Courier New"/>
          <w:sz w:val="15"/>
          <w:szCs w:val="15"/>
          <w:color w:val="auto"/>
        </w:rPr>
        <w:t>times the vesting percentage determined under Section 3.2 of this Plan.</w:t>
      </w:r>
    </w:p>
    <w:p>
      <w:pPr>
        <w:spacing w:after="0" w:line="182"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If a Participant retires with the approval of the Committee, the above Early Retirement Benefit shall be reduced by three percent (3%) for each year by which the benefit commencement date precedes the Participant's sixty-second (62nd) birthday (prorated for partial years on a monthly basis). If a Participant retires without the approval of the Committee, the above Early Retirement Benefit shall be reduced by five percent (5%) for each year by which the benefit commencement date precedes the Participant's sixty-second (62nd) birthday (prorated for partial years on a monthly basis). For Participants who retire without approval of the Committee, this benefit shall be further reduced by a fraction equal to the Participant's Actual Years of Service at termination over Years of Service the Participant would have had at age sixty-two (62). The Participant may elect to delay the receipt of Early Retirement benefits if the election is filed ninety (90) days before termination. Benefits may not be delayed beyond age sixty-five (65).</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Early Termination Retirement Benefit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Participant terminates employment prior to Early Retirement, the Employer shall pay to the Participant a monthly Supplemental Retirement Benefit equal to the product of (a) times (b) times (c) where:</w:t>
      </w:r>
    </w:p>
    <w:p>
      <w:pPr>
        <w:spacing w:after="0" w:line="176" w:lineRule="exact"/>
        <w:rPr>
          <w:sz w:val="20"/>
          <w:szCs w:val="20"/>
          <w:color w:val="auto"/>
        </w:rPr>
      </w:pPr>
    </w:p>
    <w:p>
      <w:pPr>
        <w:ind w:left="820" w:right="2979" w:firstLine="457"/>
        <w:spacing w:after="0" w:line="250" w:lineRule="auto"/>
        <w:tabs>
          <w:tab w:leader="none" w:pos="164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an amount equal to the Target Retirement Percentage multiplied by the Participant's Final Average Compensation, less</w:t>
      </w:r>
    </w:p>
    <w:p>
      <w:pPr>
        <w:spacing w:after="0" w:line="174" w:lineRule="exact"/>
        <w:rPr>
          <w:rFonts w:ascii="Courier New" w:cs="Courier New" w:eastAsia="Courier New" w:hAnsi="Courier New"/>
          <w:sz w:val="15"/>
          <w:szCs w:val="15"/>
          <w:color w:val="auto"/>
        </w:rPr>
      </w:pPr>
    </w:p>
    <w:p>
      <w:pPr>
        <w:ind w:left="1280" w:right="2899" w:firstLine="455"/>
        <w:spacing w:after="0" w:line="250" w:lineRule="auto"/>
        <w:tabs>
          <w:tab w:leader="none" w:pos="2104"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Fifty percent (50%) of the Participant's primary Social Security benefit determined at age sixty-two (62), and</w:t>
      </w:r>
    </w:p>
    <w:p>
      <w:pPr>
        <w:spacing w:after="0" w:line="174" w:lineRule="exact"/>
        <w:rPr>
          <w:rFonts w:ascii="Courier New" w:cs="Courier New" w:eastAsia="Courier New" w:hAnsi="Courier New"/>
          <w:sz w:val="15"/>
          <w:szCs w:val="15"/>
          <w:color w:val="auto"/>
        </w:rPr>
      </w:pPr>
    </w:p>
    <w:p>
      <w:pPr>
        <w:jc w:val="both"/>
        <w:ind w:left="1280" w:right="2899" w:firstLine="455"/>
        <w:spacing w:after="0" w:line="249" w:lineRule="auto"/>
        <w:tabs>
          <w:tab w:leader="none" w:pos="2196"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Qualified Retirement Plan balance at age sixty-two (62) converted to life annuity using the PBGC immediate annuity rate;</w:t>
      </w:r>
    </w:p>
    <w:p>
      <w:pPr>
        <w:spacing w:after="0" w:line="175" w:lineRule="exact"/>
        <w:rPr>
          <w:rFonts w:ascii="Courier New" w:cs="Courier New" w:eastAsia="Courier New" w:hAnsi="Courier New"/>
          <w:sz w:val="15"/>
          <w:szCs w:val="15"/>
          <w:color w:val="auto"/>
        </w:rPr>
      </w:pPr>
    </w:p>
    <w:p>
      <w:pPr>
        <w:ind w:left="1640" w:hanging="363"/>
        <w:spacing w:after="0"/>
        <w:tabs>
          <w:tab w:leader="none" w:pos="16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vesting percentage determined under Section 3.2 of this</w:t>
      </w:r>
    </w:p>
    <w:p>
      <w:pPr>
        <w:spacing w:after="0" w:line="6"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 and</w:t>
      </w:r>
    </w:p>
    <w:p>
      <w:pPr>
        <w:spacing w:after="0" w:line="182"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fraction equal to the Participant's Years of Service at termination over Years of Service the Participant would have had at age sixty-two (62).</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Change in Control Benefits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Participant is Involuntarily Terminated within thirty-six (36) months of a Change in Control, such Participant shall be granted two (2) extra Years of Service under the Plan, and the greater of Final Compensation or Final Average Compensation shall be used in determining the Participant's benefit. For such Involuntarily Terminated Participants, benefits shall be payable at the later of age fifty-five (55) or their date of termination. Such benefit shall be calculated pursuant to Section 5.3 and as if the Participant Retired with the approval of the Committee. In Section 5.3(b), the measurement date of the Qualified Retirement Plan balance shall be the date benefits commence.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Minimum Benefit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All Participants shall receive a minimum benefit under this Plan equal to any benefit payable from the Louisiana-Pacific Supplemental Benefit Plan, payable in the form of a life annuity.</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5"/>
          <w:szCs w:val="15"/>
          <w:color w:val="auto"/>
        </w:rPr>
        <w:t>Disability Retirement Benefit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7-SUPPLEMENTAL EXECUTIVE RETIREMENT PLAN</w:t>
      </w:r>
    </w:p>
    <w:p>
      <w:pPr>
        <w:sectPr>
          <w:pgSz w:w="11900" w:h="16838" w:orient="portrait"/>
          <w:cols w:equalWidth="0" w:num="1">
            <w:col w:w="10219"/>
          </w:cols>
          <w:pgMar w:left="240" w:top="647" w:right="1440" w:bottom="1440" w:gutter="0" w:footer="0" w:header="0"/>
        </w:sectPr>
      </w:pPr>
    </w:p>
    <w:bookmarkStart w:id="88" w:name="page89"/>
    <w:bookmarkEnd w:id="88"/>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person terminates employment prior to Normal Retirement as a result of Disability, the Employer shall pay to the Participant a Supplemental Retirement Benefit commencing at the Participant's Normal Retirement Date equal to the amount the Participant would have received at such time under the Normal Retirement provisions of this Article. For purposes of this calculation, Years of Credited Service and Years of Participation shall continue to accrue during the period of Disability and the Participant's Final Average Compensation shall be based only on the amounts earned during the sixty (60) months prior to Disability if this provides the Participant with a greater benefit.</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Payment of Benefits</w:t>
      </w:r>
    </w:p>
    <w:p>
      <w:pPr>
        <w:spacing w:after="0" w:line="182" w:lineRule="exact"/>
        <w:rPr>
          <w:sz w:val="20"/>
          <w:szCs w:val="20"/>
          <w:color w:val="auto"/>
        </w:rPr>
      </w:pPr>
    </w:p>
    <w:p>
      <w:pPr>
        <w:jc w:val="both"/>
        <w:ind w:left="820" w:right="2899" w:firstLine="457"/>
        <w:spacing w:after="0" w:line="249" w:lineRule="auto"/>
        <w:tabs>
          <w:tab w:leader="none" w:pos="16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BENEFIT PAYMENTS. The normal form of benefit payment shall be a life annuity. Any other form of benefit elected by the Participant shall be the Actuarial Equivalent to a life annuity. At the time of enrollment the Participant shall elect the form of benefit payment. The form of benefit payments available to the Participant shall be:</w:t>
      </w:r>
    </w:p>
    <w:p>
      <w:pPr>
        <w:spacing w:after="0" w:line="175" w:lineRule="exact"/>
        <w:rPr>
          <w:rFonts w:ascii="Courier New" w:cs="Courier New" w:eastAsia="Courier New" w:hAnsi="Courier New"/>
          <w:sz w:val="15"/>
          <w:szCs w:val="15"/>
          <w:color w:val="auto"/>
        </w:rPr>
      </w:pPr>
    </w:p>
    <w:p>
      <w:pPr>
        <w:ind w:left="2280" w:hanging="545"/>
        <w:spacing w:after="0"/>
        <w:tabs>
          <w:tab w:leader="none" w:pos="228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Annuity.</w:t>
      </w:r>
    </w:p>
    <w:p>
      <w:pPr>
        <w:spacing w:after="0" w:line="182" w:lineRule="exact"/>
        <w:rPr>
          <w:rFonts w:ascii="Courier New" w:cs="Courier New" w:eastAsia="Courier New" w:hAnsi="Courier New"/>
          <w:sz w:val="15"/>
          <w:szCs w:val="15"/>
          <w:color w:val="auto"/>
        </w:rPr>
      </w:pPr>
    </w:p>
    <w:p>
      <w:pPr>
        <w:ind w:left="2280" w:hanging="545"/>
        <w:spacing w:after="0"/>
        <w:tabs>
          <w:tab w:leader="none" w:pos="228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10-Year Certain and Life.</w:t>
      </w:r>
    </w:p>
    <w:p>
      <w:pPr>
        <w:spacing w:after="0" w:line="182" w:lineRule="exact"/>
        <w:rPr>
          <w:rFonts w:ascii="Courier New" w:cs="Courier New" w:eastAsia="Courier New" w:hAnsi="Courier New"/>
          <w:sz w:val="15"/>
          <w:szCs w:val="15"/>
          <w:color w:val="auto"/>
        </w:rPr>
      </w:pPr>
    </w:p>
    <w:p>
      <w:pPr>
        <w:ind w:left="2280" w:hanging="545"/>
        <w:spacing w:after="0"/>
        <w:tabs>
          <w:tab w:leader="none" w:pos="228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Joint and Survivor.</w:t>
      </w:r>
    </w:p>
    <w:p>
      <w:pPr>
        <w:spacing w:after="0" w:line="182" w:lineRule="exact"/>
        <w:rPr>
          <w:rFonts w:ascii="Courier New" w:cs="Courier New" w:eastAsia="Courier New" w:hAnsi="Courier New"/>
          <w:sz w:val="15"/>
          <w:szCs w:val="15"/>
          <w:color w:val="auto"/>
        </w:rPr>
      </w:pPr>
    </w:p>
    <w:p>
      <w:pPr>
        <w:ind w:left="2280" w:hanging="545"/>
        <w:spacing w:after="0"/>
        <w:tabs>
          <w:tab w:leader="none" w:pos="228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Joint and Survivor.</w:t>
      </w:r>
    </w:p>
    <w:p>
      <w:pPr>
        <w:spacing w:after="0" w:line="182" w:lineRule="exact"/>
        <w:rPr>
          <w:sz w:val="20"/>
          <w:szCs w:val="20"/>
          <w:color w:val="auto"/>
        </w:rPr>
      </w:pPr>
    </w:p>
    <w:p>
      <w:pPr>
        <w:jc w:val="both"/>
        <w:ind w:left="820" w:right="2899" w:firstLine="458"/>
        <w:spacing w:after="0" w:line="249" w:lineRule="auto"/>
        <w:rPr>
          <w:sz w:val="20"/>
          <w:szCs w:val="20"/>
          <w:color w:val="auto"/>
        </w:rPr>
      </w:pPr>
      <w:r>
        <w:rPr>
          <w:rFonts w:ascii="Courier New" w:cs="Courier New" w:eastAsia="Courier New" w:hAnsi="Courier New"/>
          <w:sz w:val="15"/>
          <w:szCs w:val="15"/>
          <w:color w:val="auto"/>
        </w:rPr>
        <w:t>Participants may amend their form of benefit election by filing a change form with the Committee at least ninety (90) days before termination of employment.</w:t>
      </w:r>
    </w:p>
    <w:p>
      <w:pPr>
        <w:spacing w:after="0" w:line="176" w:lineRule="exact"/>
        <w:rPr>
          <w:sz w:val="20"/>
          <w:szCs w:val="20"/>
          <w:color w:val="auto"/>
        </w:rPr>
      </w:pPr>
    </w:p>
    <w:p>
      <w:pPr>
        <w:jc w:val="both"/>
        <w:ind w:left="820" w:right="2899" w:firstLine="457"/>
        <w:spacing w:after="0" w:line="249" w:lineRule="auto"/>
        <w:tabs>
          <w:tab w:leader="none" w:pos="16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OF BENEFIT PAYMENTS. The Supplemental Retirement Benefits payable to a Participant under the Normal and Deferred Retirement provisions of this Article shall commence within thirty (30) days of the Participant's termination of employment. The Early Retirement Benefit payable to a Participant shall commence within thirty (30) days of Participant's termination. However, the Participant may elect to delay the commencement of the benefit if such election is made at least ninety (90) days prior to termination (may not be delayed beyond sixty-second (62nd) birthday). The Supplemental Retirement Benefits payable to a Participant under the Early Termination or Disability provisions of this Article shall commence within thirty (30) days of the Participant attaining age sixty-two (62).</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Accelerated Distribution</w:t>
      </w:r>
    </w:p>
    <w:p>
      <w:pPr>
        <w:spacing w:after="0" w:line="182"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Notwithstanding any other provision of the Plan, at any time a Participant shall be entitled to receive, upon written request to the Committee, a lump-sum distribution of the Actuarial Equivalent of the Participant's unpaid vested accrued benefits under this Plan on the date on which the Committee receives the written request. The vested accrued benefit for active Participants shall be calculated assuming the Participant had terminated without permission on the date the distribution is requested. Each accelerated distribution shall be subject to a penalty equal to ten percent (10%) of the amount that would otherwise be distributed, and that amount shall be forfeited by the Participant. The amount payable under this section shall be paid in a lump sum within sixty-five (65) days following the receipt of the notice by the Committee from the Participant. In the event a Participant requests and obtains an accelerated distribution under this section and remains employed by the Employer, participation will cease and there will be no future benefit accruals under this Plan for a period of one (1)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8-SUPPLEMENTAL EXECUTIVE RETIREMENT PLAN</w:t>
      </w:r>
    </w:p>
    <w:p>
      <w:pPr>
        <w:sectPr>
          <w:pgSz w:w="11900" w:h="16838" w:orient="portrait"/>
          <w:cols w:equalWidth="0" w:num="1">
            <w:col w:w="10219"/>
          </w:cols>
          <w:pgMar w:left="240" w:top="646" w:right="1440" w:bottom="1440" w:gutter="0" w:footer="0" w:header="0"/>
        </w:sectPr>
      </w:pPr>
    </w:p>
    <w:bookmarkStart w:id="89" w:name="page90"/>
    <w:bookmarkEnd w:id="89"/>
    <w:p>
      <w:pPr>
        <w:spacing w:after="0"/>
        <w:tabs>
          <w:tab w:leader="none" w:pos="80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5"/>
          <w:szCs w:val="15"/>
          <w:color w:val="auto"/>
        </w:rPr>
        <w:t>Excise Tax and Lost Benefit Makeup</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as a result of participating in the Plan the Participant is required to pay additional excise tax under Section 4999 of the Internal Revenue Code ("IRC"), or receives a smaller benefit from any other Employer plan as a result of any IRC Section 280G Golden Parachute limitations, then a makeup amount shall be payable from the Plan. This amount shall be equal to the amount of Section 4999 excise tax payable and any lost benefit from other Employer Plans due to IRC Section 280G Golden Parachute limitation, as a result of participation in the Plan, plus any excise tax and income taxes payable due to this payment. The Corporation and Participant shall cooperate in good faith in making such determination and in providing the necessary information for this purpose.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Withholding; Payroll Taxes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Employer shall withhold from payments made hereunder any taxes required to be withheld from a Participant's wages for the federal or any state or local government. However, a Beneficiary may elect not to have withholding for federal income tax purposes pursuant to Section 3405 of the Internal Revenue Code, or any successor provision.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5"/>
          <w:szCs w:val="15"/>
          <w:color w:val="auto"/>
        </w:rPr>
        <w:t>Payment to Guardian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Plan benefit is payable to a minor or a person declared incompetent or to a person incapable of handling the disposition of his property, the Committee may direct payment of such Plan benefit to the guardian, legal representative or person having the care and custody of such minor, incompetent or person. The Committee may require proof of incompetency, minority, incapacity or guardianship as it may deem appropriate prior to distribution of the Plan benefit. Such distribution shall completely discharge the Committee and the Employer from all liability with respect to such benefit.</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VI--BENEFICIARY DESIGNATION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Beneficiary Designation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Each Participant shall have the right, at any time, to designate any person or persons as his Beneficiary or Beneficiaries (both primary as well as secondary) to whom benefits under this Plan shall be paid in the event of his death prior to complete distribution to Participant of the benefits due under the Plan. Each Beneficiary designation shall be in a written form prescribed by the Committee, and will be effective only when filed with the Committee during the Participant's lifetime.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Changing Beneficiary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Subject to Section 6.3, any Beneficiary designation may be changed by a Participant without the consent of the previously named Beneficiary by the filing of a new designation with the Committee. The filing of a new designation shall cancel all designations previously filed. If a Participant's Compensation is community property, any Beneficiary designation shall be valid or effective only as permitted by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9-SUPPLEMENTAL EXECUTIVE RETIREMENT PLAN</w:t>
      </w:r>
    </w:p>
    <w:p>
      <w:pPr>
        <w:sectPr>
          <w:pgSz w:w="11900" w:h="16838" w:orient="portrait"/>
          <w:cols w:equalWidth="0" w:num="1">
            <w:col w:w="10219"/>
          </w:cols>
          <w:pgMar w:left="240" w:top="646" w:right="1440" w:bottom="1440" w:gutter="0" w:footer="0" w:header="0"/>
        </w:sectPr>
      </w:pPr>
    </w:p>
    <w:bookmarkStart w:id="90" w:name="page91"/>
    <w:bookmarkEnd w:id="90"/>
    <w:p>
      <w:pPr>
        <w:spacing w:after="0"/>
        <w:tabs>
          <w:tab w:leader="none" w:pos="8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Community Property</w:t>
      </w:r>
    </w:p>
    <w:p>
      <w:pPr>
        <w:spacing w:after="0" w:line="182" w:lineRule="exact"/>
        <w:rPr>
          <w:sz w:val="20"/>
          <w:szCs w:val="20"/>
          <w:color w:val="auto"/>
        </w:rPr>
      </w:pPr>
    </w:p>
    <w:p>
      <w:pPr>
        <w:ind w:right="2899" w:firstLine="824"/>
        <w:spacing w:after="0" w:line="250" w:lineRule="auto"/>
        <w:rPr>
          <w:sz w:val="20"/>
          <w:szCs w:val="20"/>
          <w:color w:val="auto"/>
        </w:rPr>
      </w:pPr>
      <w:r>
        <w:rPr>
          <w:rFonts w:ascii="Courier New" w:cs="Courier New" w:eastAsia="Courier New" w:hAnsi="Courier New"/>
          <w:sz w:val="15"/>
          <w:szCs w:val="15"/>
          <w:color w:val="auto"/>
        </w:rPr>
        <w:t>If the Participant resides in a community property state, the following rules shall apply:</w:t>
      </w:r>
    </w:p>
    <w:p>
      <w:pPr>
        <w:spacing w:after="0" w:line="175" w:lineRule="exact"/>
        <w:rPr>
          <w:sz w:val="20"/>
          <w:szCs w:val="20"/>
          <w:color w:val="auto"/>
        </w:rPr>
      </w:pPr>
    </w:p>
    <w:p>
      <w:pPr>
        <w:jc w:val="both"/>
        <w:ind w:left="820" w:right="2899" w:firstLine="457"/>
        <w:spacing w:after="0" w:line="249" w:lineRule="auto"/>
        <w:tabs>
          <w:tab w:leader="none" w:pos="173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by a married Participant of a Beneficiary other than the Participant's Spouse shall not be effective unless the Spouse executes a written consent that acknowledges the effect of the designation, or it is established the consent cannot be obtained because the Spouse cannot be located.</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married Participant's Beneficiary designation may be changed by a Participant with the consent of the Participant's Spouse as provided for in Section 6.3(a) by the filing of a new designation with the Committee.</w:t>
      </w:r>
    </w:p>
    <w:p>
      <w:pPr>
        <w:spacing w:after="0" w:line="175" w:lineRule="exact"/>
        <w:rPr>
          <w:rFonts w:ascii="Courier New" w:cs="Courier New" w:eastAsia="Courier New" w:hAnsi="Courier New"/>
          <w:sz w:val="15"/>
          <w:szCs w:val="15"/>
          <w:color w:val="auto"/>
        </w:rPr>
      </w:pPr>
    </w:p>
    <w:p>
      <w:pPr>
        <w:ind w:left="820" w:right="2899" w:firstLine="457"/>
        <w:spacing w:after="0" w:line="250" w:lineRule="auto"/>
        <w:tabs>
          <w:tab w:leader="none" w:pos="173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marital status changes after the Participant has designated a Beneficiary, the following shall apply:</w:t>
      </w:r>
    </w:p>
    <w:p>
      <w:pPr>
        <w:spacing w:after="0" w:line="174" w:lineRule="exact"/>
        <w:rPr>
          <w:rFonts w:ascii="Courier New" w:cs="Courier New" w:eastAsia="Courier New" w:hAnsi="Courier New"/>
          <w:sz w:val="15"/>
          <w:szCs w:val="15"/>
          <w:color w:val="auto"/>
        </w:rPr>
      </w:pPr>
    </w:p>
    <w:p>
      <w:pPr>
        <w:jc w:val="both"/>
        <w:ind w:left="1280" w:right="2899" w:firstLine="455"/>
        <w:spacing w:after="0" w:line="249" w:lineRule="auto"/>
        <w:tabs>
          <w:tab w:leader="none" w:pos="2104"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is married at the time of death but was unmarried when the designation was made, the designation shall be void unless the Spouse has consented to it in the manner prescribed in Section 6.3(a).</w:t>
      </w:r>
    </w:p>
    <w:p>
      <w:pPr>
        <w:spacing w:after="0" w:line="175" w:lineRule="exact"/>
        <w:rPr>
          <w:rFonts w:ascii="Courier New" w:cs="Courier New" w:eastAsia="Courier New" w:hAnsi="Courier New"/>
          <w:sz w:val="15"/>
          <w:szCs w:val="15"/>
          <w:color w:val="auto"/>
        </w:rPr>
      </w:pPr>
    </w:p>
    <w:p>
      <w:pPr>
        <w:ind w:left="1280" w:right="2899" w:firstLine="455"/>
        <w:spacing w:after="0" w:line="250" w:lineRule="auto"/>
        <w:tabs>
          <w:tab w:leader="none" w:pos="219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is unmarried at the time of death but was married when the designation was made:</w:t>
      </w:r>
    </w:p>
    <w:p>
      <w:pPr>
        <w:spacing w:after="0" w:line="174" w:lineRule="exact"/>
        <w:rPr>
          <w:rFonts w:ascii="Courier New" w:cs="Courier New" w:eastAsia="Courier New" w:hAnsi="Courier New"/>
          <w:sz w:val="15"/>
          <w:szCs w:val="15"/>
          <w:color w:val="auto"/>
        </w:rPr>
      </w:pPr>
    </w:p>
    <w:p>
      <w:pPr>
        <w:jc w:val="both"/>
        <w:ind w:left="1740" w:right="2899" w:firstLine="453"/>
        <w:spacing w:after="0" w:line="249" w:lineRule="auto"/>
        <w:tabs>
          <w:tab w:leader="none" w:pos="2473"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shall be void if the Spouse was named as Beneficiary unless Participant had submitted a change of beneficiary listing the former Spouse as the beneficiary.</w:t>
      </w:r>
    </w:p>
    <w:p>
      <w:pPr>
        <w:spacing w:after="0" w:line="175" w:lineRule="exact"/>
        <w:rPr>
          <w:rFonts w:ascii="Courier New" w:cs="Courier New" w:eastAsia="Courier New" w:hAnsi="Courier New"/>
          <w:sz w:val="15"/>
          <w:szCs w:val="15"/>
          <w:color w:val="auto"/>
        </w:rPr>
      </w:pPr>
    </w:p>
    <w:p>
      <w:pPr>
        <w:ind w:left="1740" w:right="2899" w:firstLine="453"/>
        <w:spacing w:after="0" w:line="250" w:lineRule="auto"/>
        <w:tabs>
          <w:tab w:leader="none" w:pos="2473"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shall remain valid if a non-Spouse Beneficiary was named.</w:t>
      </w:r>
    </w:p>
    <w:p>
      <w:pPr>
        <w:spacing w:after="0" w:line="175" w:lineRule="exact"/>
        <w:rPr>
          <w:sz w:val="20"/>
          <w:szCs w:val="20"/>
          <w:color w:val="auto"/>
        </w:rPr>
      </w:pPr>
    </w:p>
    <w:p>
      <w:pPr>
        <w:jc w:val="both"/>
        <w:ind w:left="1280" w:right="2899" w:firstLine="458"/>
        <w:spacing w:after="0" w:line="249" w:lineRule="auto"/>
        <w:rPr>
          <w:sz w:val="20"/>
          <w:szCs w:val="20"/>
          <w:color w:val="auto"/>
        </w:rPr>
      </w:pPr>
      <w:r>
        <w:rPr>
          <w:rFonts w:ascii="Courier New" w:cs="Courier New" w:eastAsia="Courier New" w:hAnsi="Courier New"/>
          <w:sz w:val="15"/>
          <w:szCs w:val="15"/>
          <w:color w:val="auto"/>
        </w:rPr>
        <w:t>(iii)If the Participant was married when the designation was made and is married to a different Spouse at death, the designation shall be void unless the new Spouse has consented to it in the manner prescribed above.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No Beneficiary Designation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absence of an effective Beneficiary Designation, or if all designated Beneficiaries predecease the Participant or dies prior to complete distribution of the Participant's benefits, then the Participant's designated Beneficiary shall be deemed to be the person in the first of the following classes in which there is a survivor:</w:t>
      </w:r>
    </w:p>
    <w:p>
      <w:pPr>
        <w:spacing w:after="0" w:line="176" w:lineRule="exact"/>
        <w:rPr>
          <w:sz w:val="20"/>
          <w:szCs w:val="20"/>
          <w:color w:val="auto"/>
        </w:rPr>
      </w:pPr>
    </w:p>
    <w:p>
      <w:pPr>
        <w:ind w:left="1640" w:hanging="363"/>
        <w:spacing w:after="0"/>
        <w:tabs>
          <w:tab w:leader="none" w:pos="1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Spouse;</w:t>
      </w:r>
    </w:p>
    <w:p>
      <w:pPr>
        <w:spacing w:after="0" w:line="182"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children, except that if any of the children predeceases the Participant but leaves issue surviving, then such issue shall take by right of representation the share the parent would have taken if living;</w:t>
      </w:r>
    </w:p>
    <w:p>
      <w:pPr>
        <w:spacing w:after="0" w:line="175" w:lineRule="exact"/>
        <w:rPr>
          <w:rFonts w:ascii="Courier New" w:cs="Courier New" w:eastAsia="Courier New" w:hAnsi="Courier New"/>
          <w:sz w:val="15"/>
          <w:szCs w:val="15"/>
          <w:color w:val="auto"/>
        </w:rPr>
      </w:pPr>
    </w:p>
    <w:p>
      <w:pPr>
        <w:ind w:left="1640" w:hanging="363"/>
        <w:spacing w:after="0"/>
        <w:tabs>
          <w:tab w:leader="none" w:pos="16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estate.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10-SUPPLEMENTAL EXECUTIVE RETIREMENT PLAN</w:t>
      </w:r>
    </w:p>
    <w:p>
      <w:pPr>
        <w:sectPr>
          <w:pgSz w:w="11900" w:h="16838" w:orient="portrait"/>
          <w:cols w:equalWidth="0" w:num="1">
            <w:col w:w="10219"/>
          </w:cols>
          <w:pgMar w:left="240" w:top="647" w:right="1440" w:bottom="1440" w:gutter="0" w:footer="0" w:header="0"/>
        </w:sectPr>
      </w:pPr>
    </w:p>
    <w:bookmarkStart w:id="91" w:name="page92"/>
    <w:bookmarkEnd w:id="91"/>
    <w:p>
      <w:pPr>
        <w:ind w:left="2460"/>
        <w:spacing w:after="0"/>
        <w:rPr>
          <w:sz w:val="20"/>
          <w:szCs w:val="20"/>
          <w:color w:val="auto"/>
        </w:rPr>
      </w:pPr>
      <w:r>
        <w:rPr>
          <w:rFonts w:ascii="Courier New" w:cs="Courier New" w:eastAsia="Courier New" w:hAnsi="Courier New"/>
          <w:sz w:val="15"/>
          <w:szCs w:val="15"/>
          <w:color w:val="auto"/>
        </w:rPr>
        <w:t>ARTICLE VII--ADMINISTRATION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Committee; Duties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Plan shall be administered by the Committee, which shall consist of not less than three (3) persons appointed by the Chief Executive Officer and which may include the CEO as a member. The Committee shall have the authority to make, amend, interpret and enforce all appropriate rules and regulations for the administration of the Plan and decide or resolve any and all questions, including interpretations of the Plan, as may arise in connection with the Plan. A majority vote of the Committee members shall control any decision. Members of the Committee may be Participants under the Plan.</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Agents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Committee may, from time to time, employ other agents and delegate to them such administrative duties as it sees fit, and may from time to time consult with counsel who may be counsel to the Employer.</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Binding Effect of Decisions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decision or action of the Committee with respect to any question arising out of or in connection with the administration, interpretation and application of the Plan and the rules and regulations promulgated hereunder shall be final, conclusive and binding upon all persons having any interest in the Plan.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Indemnity of Committee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Employer shall indemnify and hold harmless the members of the Committee against any and all claims, loss, damage, expense or liability arising from any action or failure to act with respect to the Plan, except in the case of gross negligence or willful misconduct.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11-SUPPLEMENTAL EXECUTIVE RETIREMENT PLAN</w:t>
      </w:r>
    </w:p>
    <w:p>
      <w:pPr>
        <w:sectPr>
          <w:pgSz w:w="11900" w:h="16838" w:orient="portrait"/>
          <w:cols w:equalWidth="0" w:num="1">
            <w:col w:w="10219"/>
          </w:cols>
          <w:pgMar w:left="240" w:top="647" w:right="1440" w:bottom="1440" w:gutter="0" w:footer="0" w:header="0"/>
        </w:sectPr>
      </w:pPr>
    </w:p>
    <w:bookmarkStart w:id="92" w:name="page93"/>
    <w:bookmarkEnd w:id="92"/>
    <w:p>
      <w:pPr>
        <w:spacing w:after="0"/>
        <w:tabs>
          <w:tab w:leader="none" w:pos="80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Binding Effect of Decisions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decision or action of the Committee in respect of any question arising out of or in connection with the administration, interpretation and application of the Plan and the rules and regulations promulgated hereunder shall be final and conclusive and binding upon all persons having any interest in the Plan.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Indemnity of Committee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Employer shall indemnify and hold harmless the members of the Committee and the against any and all claims, loss, damage, expense or liability arising from any action or failure to act with respect to this Plan, except in the case of gross negligence or willful misconduct.</w:t>
      </w:r>
    </w:p>
    <w:p>
      <w:pPr>
        <w:spacing w:after="0" w:line="17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VIII--CLAIMS PROCEDURE</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Claim</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Any person claiming a benefit, requesting an interpretation or ruling under the Plan, or requesting information under the Plan shall present the request in writing to the Committee which shall respond in writing within thirty (30) days.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Denial of Claim</w:t>
      </w:r>
    </w:p>
    <w:p>
      <w:pPr>
        <w:spacing w:after="0" w:line="182" w:lineRule="exact"/>
        <w:rPr>
          <w:sz w:val="20"/>
          <w:szCs w:val="20"/>
          <w:color w:val="auto"/>
        </w:rPr>
      </w:pPr>
    </w:p>
    <w:p>
      <w:pPr>
        <w:jc w:val="right"/>
        <w:ind w:right="2899"/>
        <w:spacing w:after="0"/>
        <w:tabs>
          <w:tab w:leader="none" w:pos="3180" w:val="left"/>
          <w:tab w:leader="none" w:pos="2000" w:val="left"/>
        </w:tabs>
        <w:rPr>
          <w:sz w:val="20"/>
          <w:szCs w:val="20"/>
          <w:color w:val="auto"/>
        </w:rPr>
      </w:pPr>
      <w:r>
        <w:rPr>
          <w:rFonts w:ascii="Courier New" w:cs="Courier New" w:eastAsia="Courier New" w:hAnsi="Courier New"/>
          <w:sz w:val="15"/>
          <w:szCs w:val="15"/>
          <w:color w:val="auto"/>
        </w:rPr>
        <w:t>If the claim or request is denied,</w:t>
        <w:tab/>
        <w:t>the written</w:t>
        <w:tab/>
        <w:t>notice of denial shall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w:t>
      </w:r>
    </w:p>
    <w:p>
      <w:pPr>
        <w:spacing w:after="0" w:line="182" w:lineRule="exact"/>
        <w:rPr>
          <w:sz w:val="20"/>
          <w:szCs w:val="20"/>
          <w:color w:val="auto"/>
        </w:rPr>
      </w:pPr>
    </w:p>
    <w:p>
      <w:pPr>
        <w:ind w:left="820" w:right="2899" w:firstLine="457"/>
        <w:spacing w:after="0" w:line="250" w:lineRule="auto"/>
        <w:tabs>
          <w:tab w:leader="none" w:pos="164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 for denial, with specific reference to the Plan provisions on which the denial is based.</w:t>
      </w:r>
    </w:p>
    <w:p>
      <w:pPr>
        <w:spacing w:after="0" w:line="174"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required and an explanation of why it is necessary.</w:t>
      </w:r>
    </w:p>
    <w:p>
      <w:pPr>
        <w:spacing w:after="0" w:line="174" w:lineRule="exact"/>
        <w:rPr>
          <w:rFonts w:ascii="Courier New" w:cs="Courier New" w:eastAsia="Courier New" w:hAnsi="Courier New"/>
          <w:sz w:val="15"/>
          <w:szCs w:val="15"/>
          <w:color w:val="auto"/>
        </w:rPr>
      </w:pPr>
    </w:p>
    <w:p>
      <w:pPr>
        <w:ind w:left="1640" w:hanging="363"/>
        <w:spacing w:after="0"/>
        <w:tabs>
          <w:tab w:leader="none" w:pos="16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explanation of the Plan's claim review procedure.</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Review of Claim</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Any person whose claim or request is denied or who has not received a response within thirty (30) days may request review by notice given in writing to the Committee. The claim or request shall be reviewed by the Committee who may, but shall not be required to, grant the claimant a hearing. On review, the claimant may have representation, examine pertinent documents, and submit issues and comments in writing.</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Final Decision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decision on review shall normally be made within sixty (60) days. If an extension of time is required for a hearing or other special circumstances, the claimant shall be notified and the time limit shall be one hundred twenty (120) days. The decision shall be in writing and shall state the reason and the relevant plan provisions. All decisions on review shall be final and bind all parties concerned.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12-SUPPLEMENTAL EXECUTIVE RETIREMENT PLAN</w:t>
      </w:r>
    </w:p>
    <w:p>
      <w:pPr>
        <w:sectPr>
          <w:pgSz w:w="11900" w:h="16838" w:orient="portrait"/>
          <w:cols w:equalWidth="0" w:num="1">
            <w:col w:w="10219"/>
          </w:cols>
          <w:pgMar w:left="240" w:top="647" w:right="1440" w:bottom="1440" w:gutter="0" w:footer="0" w:header="0"/>
        </w:sectPr>
      </w:pPr>
    </w:p>
    <w:bookmarkStart w:id="93" w:name="page94"/>
    <w:bookmarkEnd w:id="93"/>
    <w:p>
      <w:pPr>
        <w:ind w:left="1460"/>
        <w:spacing w:after="0"/>
        <w:rPr>
          <w:sz w:val="20"/>
          <w:szCs w:val="20"/>
          <w:color w:val="auto"/>
        </w:rPr>
      </w:pPr>
      <w:r>
        <w:rPr>
          <w:rFonts w:ascii="Courier New" w:cs="Courier New" w:eastAsia="Courier New" w:hAnsi="Courier New"/>
          <w:sz w:val="15"/>
          <w:szCs w:val="15"/>
          <w:color w:val="auto"/>
        </w:rPr>
        <w:t>ARTICLE IX--TERMINATION, SUSPENSION OR AMENDMENT</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Termination, Suspension or Amendment of Plan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Board may, in its sole discretion, terminate or suspend this Plan at any time or from time to time, in whole or in part. Any amendment may provide different benefits or amounts of benefits from those herein set forth. However, no such termination suspension or amendment shall adversely affect the benefits of Participants which have accrued prior to such action or the benefits of any Beneficiary of a Participant who has previously died.</w:t>
      </w:r>
    </w:p>
    <w:p>
      <w:pPr>
        <w:spacing w:after="0" w:line="17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X--MISCELLANEOUS</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Unfunded Plan</w:t>
      </w:r>
    </w:p>
    <w:p>
      <w:pPr>
        <w:spacing w:after="0" w:line="182"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The Plan is intended to be an unfunded plan maintained primarily to provide deferred compensation benefits for a select group of "management or highly-compensated employees" within the meaning of Sections 201, 301 and 401 of the Employee Retirement Income Security Act of 1974, as amended ("ERISA"), and therefore is exempt from the provisions of Parts 2, 3 and 4 of Title I of ERISA. Accordingly, the Plan shall terminate and no further benefits shall accrue hereunder in the event it is determined by a court of competent jurisdiction or by an opinion of counsel that the Plan constitutes an employee pension benefit plan within the meaning of Section 3(2) of ERISA which is not so exempt. In the event of such termination, all ongoing Deferral Commitments shall terminate, no additional Deferral Commitments will be accepted by the Committee, and the amount of each Participant's vested Account balance shall be distributed to such Participant at such time and in such manner as the Committee, in its sole discretion, determines.</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Unsecured General Creditor</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event of Employer's insolvency, Participants and their Beneficiaries, heirs, successors, and assigns shall have no legal or equitable rights, interest or claims in any property or assets of the Employer, nor shall they be Beneficiaries of, or have any rights, claims or interests in any life insurance policies, annuity contracts or the proceeds therefrom owned or which may be acquired by the Employer. In that event, any and all of the Employer's assets and policies shall be, and remain, the general, unpledged, unrestricted assets of the Employer. The Employer's obligation under the Plan shall be that of an unfunded and unsecured promise of the Employer to pay money in the future.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Trust Fund</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Employer shall be responsible for the payment of all benefits provided under the Plan. At its discretion, the Employer may establish one or more trusts, with such trustees as the Board may approve, for the purpose of providing for the payment of such benefits. Such trust or trusts may be irrevocable, but the assets thereof shall be subject to the claims of the Employer's creditors. To the extent any benefits provided under the Plan are actually paid from any such trust, the Employer shall have no further obligation with respect thereto, but to the extent not so paid, such benefits shall remain the obligation of, and shall be paid by, the Employer.</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Nonassignability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Neither a Participant nor any other person shall have any right to commute, sell, assign, transfer, pledge, anticipate, mortgage or otherwise encumber, transfer, hypothecate or convey in advance of actual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13-SUPPLEMENTAL EXECUTIVE RETIREMENT PLAN</w:t>
      </w:r>
    </w:p>
    <w:p>
      <w:pPr>
        <w:sectPr>
          <w:pgSz w:w="11900" w:h="16838" w:orient="portrait"/>
          <w:cols w:equalWidth="0" w:num="1">
            <w:col w:w="10219"/>
          </w:cols>
          <w:pgMar w:left="240" w:top="646" w:right="1440" w:bottom="1440" w:gutter="0" w:footer="0" w:header="0"/>
        </w:sectPr>
      </w:pPr>
    </w:p>
    <w:bookmarkStart w:id="94" w:name="page95"/>
    <w:bookmarkEnd w:id="94"/>
    <w:p>
      <w:pPr>
        <w:jc w:val="both"/>
        <w:ind w:right="2899"/>
        <w:spacing w:after="0" w:line="249" w:lineRule="auto"/>
        <w:rPr>
          <w:sz w:val="20"/>
          <w:szCs w:val="20"/>
          <w:color w:val="auto"/>
        </w:rPr>
      </w:pPr>
      <w:r>
        <w:rPr>
          <w:rFonts w:ascii="Courier New" w:cs="Courier New" w:eastAsia="Courier New" w:hAnsi="Courier New"/>
          <w:sz w:val="15"/>
          <w:szCs w:val="15"/>
          <w:color w:val="auto"/>
        </w:rPr>
        <w:t>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Not a Contract of Employment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terms and conditions of the Plan shall not be deemed to constitute a contract of employment between the Employer and the Participant, and the Participant (or his or her Beneficiary) shall have no rights against the Employer except as may otherwise be specifically provided herein. Moreover, nothing in the Plan shall be deemed to give a Participant the right to be retained in the service of the Employer or to interfere with the right of the Employer to discipline or discharge the Participant at any time.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Protective Provisions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Participant will cooperate with the Employer by furnishing any and all information requested by the Employer, in order to facilitate the payment of benefits hereunder, and by taking such physical examinations as the Employer may deem necessary and taking such other action as may be requested by the Employer.</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Terms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Whenever any words are used herein in the masculine, they shall be construed as though they were used in the feminine in all cases where they would so apply; and wherever any words are used herein in the singular or in the plural, they shall be construed as though they were used in the plural or the singular, as the case may be, in all cases where they would so apply.</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Captions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captions of the articles, sections and paragraphs of the Plan are for convenience only and shall not control or affect the meaning or construction of any of its provisions.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Governing Law; Arbitration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provisions of the Plan shall be construed and interpreted according to the laws of the State of Oregon. Any dispute or claim that arises out of or that relates to the Plan or to the interpretation, breach, or enforcement of the Plan, must be resolved by mandatory arbitration in accordance with the then effective arbitration rules of Arbitration Service of Portland, Inc., and any judgment upon the award rendered pursuant to such arbitration may be entered in any court having jurisdiction thereof.</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Validity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case any provision of the Plan shall be held illegal or invalid for any reason, said illegality or invalidity shall not affect the remaining parts hereof, but the Plan shall be construed and enforced as if such illegal and invalid provision had never been inserted herein.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Notice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14-SUPPLEMENTAL EXECUTIVE RETIREMENT PLAN</w:t>
      </w:r>
    </w:p>
    <w:p>
      <w:pPr>
        <w:sectPr>
          <w:pgSz w:w="11900" w:h="16838" w:orient="portrait"/>
          <w:cols w:equalWidth="0" w:num="1">
            <w:col w:w="10219"/>
          </w:cols>
          <w:pgMar w:left="240" w:top="647" w:right="1440" w:bottom="1440" w:gutter="0" w:footer="0" w:header="0"/>
        </w:sectPr>
      </w:pPr>
    </w:p>
    <w:bookmarkStart w:id="95" w:name="page96"/>
    <w:bookmarkEnd w:id="95"/>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Any notice or filing required or permitted to be given to the Committee under the Plan shall be sufficient if in writing and hand delivered, or sent by registered or certified mail, to any member of the Committee or the Secretary of the Employer. Such notice shall be deemed given as of the date of delivery or, if delivery is made by mail, as of the date shown on the postmark on the receipt for registration or certification.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Successors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provisions of the Plan shall bind and inure to the benefit of the Employer and its successors and assigns. The term successors as used herein shall include any corporate or other business entity which shall, whether by merger, consolidation, purchase or otherwise acquire all or substantially all of the business and assets of the Employer, and successors of any such corporation or other business entity.</w:t>
      </w:r>
    </w:p>
    <w:p>
      <w:pPr>
        <w:spacing w:after="0" w:line="35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LOUISIANA-PACIFIC CORPORATION</w:t>
      </w:r>
    </w:p>
    <w:p>
      <w:pPr>
        <w:spacing w:after="0" w:line="359" w:lineRule="exact"/>
        <w:rPr>
          <w:sz w:val="20"/>
          <w:szCs w:val="20"/>
          <w:color w:val="auto"/>
        </w:rPr>
      </w:pPr>
    </w:p>
    <w:p>
      <w:pPr>
        <w:ind w:left="3560"/>
        <w:spacing w:after="0"/>
        <w:tabs>
          <w:tab w:leader="none" w:pos="4000" w:val="left"/>
        </w:tabs>
        <w:rPr>
          <w:sz w:val="20"/>
          <w:szCs w:val="20"/>
          <w:color w:val="auto"/>
        </w:rPr>
      </w:pPr>
      <w:r>
        <w:rPr>
          <w:rFonts w:ascii="Courier New" w:cs="Courier New" w:eastAsia="Courier New" w:hAnsi="Courier New"/>
          <w:sz w:val="15"/>
          <w:szCs w:val="15"/>
          <w:color w:val="auto"/>
        </w:rPr>
        <w:t>By:</w:t>
        <w:tab/>
        <w:t>/s/ William L. Hebert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Vice President, Treasurer</w:t>
      </w:r>
    </w:p>
    <w:p>
      <w:pPr>
        <w:spacing w:after="0" w:line="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and Controller</w:t>
      </w:r>
    </w:p>
    <w:p>
      <w:pPr>
        <w:spacing w:after="0" w:line="200" w:lineRule="exact"/>
        <w:rPr>
          <w:sz w:val="20"/>
          <w:szCs w:val="20"/>
          <w:color w:val="auto"/>
        </w:rPr>
      </w:pPr>
    </w:p>
    <w:p>
      <w:pPr>
        <w:spacing w:after="0" w:line="335" w:lineRule="exact"/>
        <w:rPr>
          <w:sz w:val="20"/>
          <w:szCs w:val="20"/>
          <w:color w:val="auto"/>
        </w:rPr>
      </w:pPr>
    </w:p>
    <w:p>
      <w:pPr>
        <w:ind w:left="3560"/>
        <w:spacing w:after="0"/>
        <w:tabs>
          <w:tab w:leader="none" w:pos="4000" w:val="left"/>
        </w:tabs>
        <w:rPr>
          <w:sz w:val="20"/>
          <w:szCs w:val="20"/>
          <w:color w:val="auto"/>
        </w:rPr>
      </w:pPr>
      <w:r>
        <w:rPr>
          <w:rFonts w:ascii="Courier New" w:cs="Courier New" w:eastAsia="Courier New" w:hAnsi="Courier New"/>
          <w:sz w:val="15"/>
          <w:szCs w:val="15"/>
          <w:color w:val="auto"/>
        </w:rPr>
        <w:t>By:</w:t>
        <w:tab/>
        <w:t>/s/ Anton C. Kirchhof</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335" w:lineRule="exact"/>
        <w:rPr>
          <w:sz w:val="20"/>
          <w:szCs w:val="20"/>
          <w:color w:val="auto"/>
        </w:rPr>
      </w:pPr>
    </w:p>
    <w:p>
      <w:pPr>
        <w:ind w:left="3300"/>
        <w:spacing w:after="0"/>
        <w:tabs>
          <w:tab w:leader="none" w:pos="4000" w:val="left"/>
        </w:tabs>
        <w:rPr>
          <w:sz w:val="20"/>
          <w:szCs w:val="20"/>
          <w:color w:val="auto"/>
        </w:rPr>
      </w:pPr>
      <w:r>
        <w:rPr>
          <w:rFonts w:ascii="Courier New" w:cs="Courier New" w:eastAsia="Courier New" w:hAnsi="Courier New"/>
          <w:sz w:val="15"/>
          <w:szCs w:val="15"/>
          <w:color w:val="auto"/>
        </w:rPr>
        <w:t>Dated:</w:t>
        <w:tab/>
        <w:t>July 15, 1997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15-SUPPLEMENTAL EXECUTIVE RETIREMENT PLAN</w:t>
      </w:r>
    </w:p>
    <w:p>
      <w:pPr>
        <w:sectPr>
          <w:pgSz w:w="11900" w:h="16838" w:orient="portrait"/>
          <w:cols w:equalWidth="0" w:num="1">
            <w:col w:w="10219"/>
          </w:cols>
          <w:pgMar w:left="240" w:top="646" w:right="1440" w:bottom="1440" w:gutter="0" w:footer="0" w:header="0"/>
        </w:sectPr>
      </w:pPr>
    </w:p>
    <w:bookmarkStart w:id="96" w:name="page97"/>
    <w:bookmarkEnd w:id="96"/>
    <w:p>
      <w:pPr>
        <w:ind w:left="2200"/>
        <w:spacing w:after="0"/>
        <w:rPr>
          <w:sz w:val="20"/>
          <w:szCs w:val="20"/>
          <w:color w:val="auto"/>
        </w:rPr>
      </w:pPr>
      <w:r>
        <w:rPr>
          <w:rFonts w:ascii="Courier New" w:cs="Courier New" w:eastAsia="Courier New" w:hAnsi="Courier New"/>
          <w:sz w:val="15"/>
          <w:szCs w:val="15"/>
          <w:color w:val="auto"/>
        </w:rPr>
        <w:t>RESTRICTED STOCK AWARD AGREEMENT</w:t>
      </w:r>
    </w:p>
    <w:p>
      <w:pPr>
        <w:spacing w:after="0" w:line="359"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This RESTRICTED STOCK AWARD AGREEMENT ("Award Agreement") is entered into effective as of January 31, 1996, between Louisiana-Pacific Corporation, a Delaware corporation ("Company"), and Mark A. Suwyn, Chairman and Chief Executive Officer of the Company ("Executive").</w:t>
      </w:r>
    </w:p>
    <w:p>
      <w:pPr>
        <w:spacing w:after="0" w:line="176"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WHEREAS, the Company and the Executive have entered into an Employment Agreement dated as of January 2, 1996 ("Employment Agreement"), pursuant to which the Executive became Chairman and Chief Executive Officer of the Company; and</w:t>
      </w:r>
    </w:p>
    <w:p>
      <w:pPr>
        <w:spacing w:after="0" w:line="350"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WHEREAS, the Employment Agreement provides, among other matters, that the Executive will receive from the Company, within 30 days of the date of the Employment Agreement, a grant of 150,000 restricted shares of common stock of the Company; and</w:t>
      </w:r>
    </w:p>
    <w:p>
      <w:pPr>
        <w:spacing w:after="0" w:line="176"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WHEREAS, the parties have entered into this Award Agreement in order to evidence the grant and award of restricted shares pursuant to the Employment Agreement;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NOW, THEREFORE, the parties agree as follows: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 Definitions.</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"Certificate" means a stock certificate representing Restricted Shares.</w:t>
      </w:r>
    </w:p>
    <w:p>
      <w:pPr>
        <w:spacing w:after="0" w:line="182" w:lineRule="exact"/>
        <w:rPr>
          <w:sz w:val="20"/>
          <w:szCs w:val="20"/>
          <w:color w:val="auto"/>
        </w:rPr>
      </w:pPr>
    </w:p>
    <w:p>
      <w:pPr>
        <w:jc w:val="right"/>
        <w:ind w:right="2899"/>
        <w:spacing w:after="0"/>
        <w:tabs>
          <w:tab w:leader="none" w:pos="5660" w:val="left"/>
          <w:tab w:leader="none" w:pos="2180" w:val="left"/>
          <w:tab w:leader="none" w:pos="520" w:val="left"/>
        </w:tabs>
        <w:rPr>
          <w:sz w:val="20"/>
          <w:szCs w:val="20"/>
          <w:color w:val="auto"/>
        </w:rPr>
      </w:pPr>
      <w:r>
        <w:rPr>
          <w:rFonts w:ascii="Courier New" w:cs="Courier New" w:eastAsia="Courier New" w:hAnsi="Courier New"/>
          <w:sz w:val="15"/>
          <w:szCs w:val="15"/>
          <w:color w:val="auto"/>
        </w:rPr>
        <w:t>"Common</w:t>
        <w:tab/>
        <w:t>Stock" means shares of common stock,</w:t>
        <w:tab/>
        <w:t>$1.00 par value,</w:t>
      </w:r>
      <w:r>
        <w:rPr>
          <w:sz w:val="20"/>
          <w:szCs w:val="20"/>
          <w:color w:val="auto"/>
        </w:rPr>
        <w:tab/>
      </w:r>
      <w:r>
        <w:rPr>
          <w:rFonts w:ascii="Courier New" w:cs="Courier New" w:eastAsia="Courier New" w:hAnsi="Courier New"/>
          <w:sz w:val="14"/>
          <w:szCs w:val="14"/>
          <w:color w:val="auto"/>
        </w:rPr>
        <w:t>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"Restricted Shares" means the shares of Common Stock issued to Executive pursuant to this Award Agreement and, unless the context otherwise requires, includes any shares of Common Stock or other equity security of the Company (or any successor issuer) issued in respect of the Restricted Shares as a stock dividend, stock split, or similar distribution, or issued in exchange or substitution therefore by reason of any reorganization, recapitalization, merger, or other similar transaction.</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"Vest," "Vested," or any similar word, means, with respect to the Restricted Shares represented by any Certificate, the expiration or termination of the period during which the Restricted Shares may be forfeited pursuant to Section 3(d) hereof and during which transfer of the Restricted Shares is restricted pursuant to Section 4(b) hereof.</w:t>
      </w:r>
    </w:p>
    <w:p>
      <w:pPr>
        <w:spacing w:after="0" w:line="176"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Other capitalized terms used in this Award Agreement without definition shall have the meanings ascribed thereto in the Employment Agreement.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- 1 -</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2. Award of Restricted Shares.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Company has, effective the date of this Award Agreement, granted and awarded to the Executive, subject to possible forfeiture as provided in Section 3(d) hereof, 150,000 Restricted Shares initially represented by four Certificates as follows:</w:t>
      </w:r>
    </w:p>
    <w:p>
      <w:pPr>
        <w:spacing w:after="0" w:line="352"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160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Certificate</w:t>
            </w:r>
          </w:p>
        </w:tc>
        <w:tc>
          <w:tcPr>
            <w:tcW w:w="24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Number of Shares</w:t>
            </w:r>
          </w:p>
        </w:tc>
        <w:tc>
          <w:tcPr>
            <w:tcW w:w="27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Scheduled Date of Vesting</w:t>
            </w:r>
          </w:p>
        </w:tc>
      </w:tr>
      <w:tr>
        <w:trPr>
          <w:trHeight w:val="352"/>
        </w:trPr>
        <w:tc>
          <w:tcPr>
            <w:tcW w:w="160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1</w:t>
            </w:r>
          </w:p>
        </w:tc>
        <w:tc>
          <w:tcPr>
            <w:tcW w:w="248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30,000</w:t>
            </w:r>
          </w:p>
        </w:tc>
        <w:tc>
          <w:tcPr>
            <w:tcW w:w="27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 1997</w:t>
            </w:r>
          </w:p>
        </w:tc>
      </w:tr>
      <w:tr>
        <w:trPr>
          <w:trHeight w:val="176"/>
        </w:trPr>
        <w:tc>
          <w:tcPr>
            <w:tcW w:w="160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2</w:t>
            </w:r>
          </w:p>
        </w:tc>
        <w:tc>
          <w:tcPr>
            <w:tcW w:w="248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30,000</w:t>
            </w:r>
          </w:p>
        </w:tc>
        <w:tc>
          <w:tcPr>
            <w:tcW w:w="27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 1998</w:t>
            </w:r>
          </w:p>
        </w:tc>
      </w:tr>
      <w:tr>
        <w:trPr>
          <w:trHeight w:val="176"/>
        </w:trPr>
        <w:tc>
          <w:tcPr>
            <w:tcW w:w="160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3</w:t>
            </w:r>
          </w:p>
        </w:tc>
        <w:tc>
          <w:tcPr>
            <w:tcW w:w="248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30,000</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January 1,</w:t>
            </w:r>
          </w:p>
        </w:tc>
        <w:tc>
          <w:tcPr>
            <w:tcW w:w="13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160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4</w:t>
            </w:r>
          </w:p>
        </w:tc>
        <w:tc>
          <w:tcPr>
            <w:tcW w:w="248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60,000</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August 12,</w:t>
            </w:r>
          </w:p>
        </w:tc>
        <w:tc>
          <w:tcPr>
            <w:tcW w:w="13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2004</w:t>
            </w:r>
          </w:p>
        </w:tc>
      </w:tr>
    </w:tbl>
    <w:p>
      <w:pPr>
        <w:spacing w:after="0" w:line="357"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Certificate numbers referred to above are used for convenient reference only, it being understood that each Certificate shall bear a number assigned by the Company's transfer agent.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3. Vesting and Forfeiture.</w:t>
      </w:r>
    </w:p>
    <w:p>
      <w:pPr>
        <w:spacing w:after="0" w:line="182" w:lineRule="exact"/>
        <w:rPr>
          <w:sz w:val="20"/>
          <w:szCs w:val="20"/>
          <w:color w:val="auto"/>
        </w:rPr>
      </w:pPr>
    </w:p>
    <w:p>
      <w:pPr>
        <w:jc w:val="both"/>
        <w:ind w:right="2899" w:firstLine="818"/>
        <w:spacing w:after="0" w:line="249" w:lineRule="auto"/>
        <w:tabs>
          <w:tab w:leader="none" w:pos="119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sooner Vested or forfeited, the Restricted Shares evidenced by each Certificate (including, without limitation, any Restricted Shares issued in respect of the shares originally represented thereby) will become Vested and non-forfeitable on the respective dates set forth in Section 2; provided, in each case, that the Executive is employed by the Company on such date.</w:t>
      </w:r>
    </w:p>
    <w:p>
      <w:pPr>
        <w:spacing w:after="0" w:line="175" w:lineRule="exact"/>
        <w:rPr>
          <w:rFonts w:ascii="Courier New" w:cs="Courier New" w:eastAsia="Courier New" w:hAnsi="Courier New"/>
          <w:sz w:val="15"/>
          <w:szCs w:val="15"/>
          <w:color w:val="auto"/>
        </w:rPr>
      </w:pPr>
    </w:p>
    <w:p>
      <w:pPr>
        <w:jc w:val="both"/>
        <w:ind w:right="2899" w:firstLine="818"/>
        <w:spacing w:after="0" w:line="249" w:lineRule="auto"/>
        <w:tabs>
          <w:tab w:leader="none" w:pos="119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sooner Vested or forfeited, the Restricted Shares evidenced by Certificates 1, 2, and 3 (including, without limitation, any Restricted Shares issued in respect of the shares originally represented thereby) will become immediately Vested and non-forfeitable upon the occurrence of any one of the following: a Change in Control, a "change of control" as defined in the Option Plan, the termination of the Term of Employment by the Company pursuant to Section 2 of the Employment Agreement, the Executive's death or Disability, termination of employment by the Executive for Good Reason, or termination of employment by the Company without Cause; provided, in each case, that the Executive is employed by the Company on the date of such event.</w:t>
      </w:r>
    </w:p>
    <w:p>
      <w:pPr>
        <w:sectPr>
          <w:pgSz w:w="11900" w:h="16838" w:orient="portrait"/>
          <w:cols w:equalWidth="0" w:num="1">
            <w:col w:w="10219"/>
          </w:cols>
          <w:pgMar w:left="240" w:top="141" w:right="1440" w:bottom="0" w:gutter="0" w:footer="0" w:header="0"/>
        </w:sectPr>
      </w:pPr>
    </w:p>
    <w:bookmarkStart w:id="97" w:name="page98"/>
    <w:bookmarkEnd w:id="97"/>
    <w:p>
      <w:pPr>
        <w:jc w:val="both"/>
        <w:ind w:left="-818" w:right="2899" w:firstLine="818"/>
        <w:spacing w:after="0" w:line="249" w:lineRule="auto"/>
        <w:tabs>
          <w:tab w:leader="none" w:pos="37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sooner Vested or forfeited, the Restricted Shares evidenced by Certificate 4 (including, without limitation, any Restricted Shares issued in respect of the shares originally represented thereby) will become Vested and non-forfeitable upon the occurrence of any of the following: a Change in Control, a "change of control" as defined in the Option Plan, the termination of the Term of Employment by the Company pursuant to Section 2 of the Employment Agreement, termination of employment by the Executive for Good Reason, or termination of employment by the Company without Cause; provided, in each case, that the Executive is employed by the Company on the date of such event.</w:t>
      </w:r>
    </w:p>
    <w:p>
      <w:pPr>
        <w:spacing w:after="0" w:line="175" w:lineRule="exact"/>
        <w:rPr>
          <w:rFonts w:ascii="Courier New" w:cs="Courier New" w:eastAsia="Courier New" w:hAnsi="Courier New"/>
          <w:sz w:val="15"/>
          <w:szCs w:val="15"/>
          <w:color w:val="auto"/>
        </w:rPr>
      </w:pPr>
    </w:p>
    <w:p>
      <w:pPr>
        <w:jc w:val="both"/>
        <w:ind w:left="-818" w:right="2899" w:firstLine="818"/>
        <w:spacing w:after="0" w:line="249" w:lineRule="auto"/>
        <w:tabs>
          <w:tab w:leader="none" w:pos="37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termination of Executive's employment with the Company, the rights of the Executive with respect to any Restricted Shares which are not Vested pursuant to</w:t>
      </w:r>
    </w:p>
    <w:p>
      <w:pPr>
        <w:spacing w:after="0" w:line="175" w:lineRule="exact"/>
        <w:rPr>
          <w:rFonts w:ascii="Courier New" w:cs="Courier New" w:eastAsia="Courier New" w:hAnsi="Courier New"/>
          <w:sz w:val="15"/>
          <w:szCs w:val="15"/>
          <w:color w:val="auto"/>
        </w:rPr>
      </w:pPr>
    </w:p>
    <w:p>
      <w:pPr>
        <w:ind w:left="2842" w:hanging="185"/>
        <w:spacing w:after="0"/>
        <w:tabs>
          <w:tab w:leader="none" w:pos="2842"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9401"/>
          </w:cols>
          <w:pgMar w:left="1058" w:top="141" w:right="1440" w:bottom="1440" w:gutter="0" w:footer="0" w:header="0"/>
        </w:sectPr>
      </w:pPr>
    </w:p>
    <w:bookmarkStart w:id="98" w:name="page99"/>
    <w:bookmarkEnd w:id="98"/>
    <w:p>
      <w:pPr>
        <w:ind w:right="2899"/>
        <w:spacing w:after="0" w:line="250" w:lineRule="auto"/>
        <w:rPr>
          <w:sz w:val="20"/>
          <w:szCs w:val="20"/>
          <w:color w:val="auto"/>
        </w:rPr>
      </w:pPr>
      <w:r>
        <w:rPr>
          <w:rFonts w:ascii="Courier New" w:cs="Courier New" w:eastAsia="Courier New" w:hAnsi="Courier New"/>
          <w:sz w:val="15"/>
          <w:szCs w:val="15"/>
          <w:color w:val="auto"/>
        </w:rPr>
        <w:t>paragraph (a), (b), or (c) above on or prior to the date of such termination shall be forfeited and shall revert to the ownership of the Company.</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4. Rights as Stockholder; Restrictions on Transfer.</w:t>
      </w:r>
    </w:p>
    <w:p>
      <w:pPr>
        <w:spacing w:after="0" w:line="182" w:lineRule="exact"/>
        <w:rPr>
          <w:sz w:val="20"/>
          <w:szCs w:val="20"/>
          <w:color w:val="auto"/>
        </w:rPr>
      </w:pPr>
    </w:p>
    <w:p>
      <w:pPr>
        <w:jc w:val="both"/>
        <w:ind w:right="2899" w:firstLine="818"/>
        <w:spacing w:after="0" w:line="249" w:lineRule="auto"/>
        <w:tabs>
          <w:tab w:leader="none" w:pos="137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in this Award Agreement, the Executive shall be entitled to all rights as a stockholder with respect to the Restricted Shares, including the right to vote the Restricted Shares and to receive any dividends and other distributions with respect to the Restricted Shares; provided, however, that certain dividends and distributions, as specified in Section 1 hereof, shall themselves constitute Restricted Shares, subject to possible forfeiture as provided herein.</w:t>
      </w:r>
    </w:p>
    <w:p>
      <w:pPr>
        <w:spacing w:after="0" w:line="175" w:lineRule="exact"/>
        <w:rPr>
          <w:rFonts w:ascii="Courier New" w:cs="Courier New" w:eastAsia="Courier New" w:hAnsi="Courier New"/>
          <w:sz w:val="15"/>
          <w:szCs w:val="15"/>
          <w:color w:val="auto"/>
        </w:rPr>
      </w:pPr>
    </w:p>
    <w:p>
      <w:pPr>
        <w:jc w:val="both"/>
        <w:ind w:right="2899" w:firstLine="818"/>
        <w:spacing w:after="0" w:line="249" w:lineRule="auto"/>
        <w:tabs>
          <w:tab w:leader="none" w:pos="128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Restricted Shares, the Certificates representing Restricted Shares, or the Executive's rights with respect thereto under this Award Agreement may be sold, assigned, pledged, or otherwise transferred, disposed of, or encumbered, voluntarily or involuntarily, until they have become Vested. Any purported sale, assignment, pledge, or other transfer, disposition, or encumbrance of Restricted Shares in violation of this Award Agreement shall be null and void.</w:t>
      </w:r>
    </w:p>
    <w:p>
      <w:pPr>
        <w:spacing w:after="0" w:line="175" w:lineRule="exact"/>
        <w:rPr>
          <w:rFonts w:ascii="Courier New" w:cs="Courier New" w:eastAsia="Courier New" w:hAnsi="Courier New"/>
          <w:sz w:val="15"/>
          <w:szCs w:val="15"/>
          <w:color w:val="auto"/>
        </w:rPr>
      </w:pPr>
    </w:p>
    <w:p>
      <w:pPr>
        <w:ind w:right="2899" w:firstLine="818"/>
        <w:spacing w:after="0" w:line="249" w:lineRule="auto"/>
        <w:tabs>
          <w:tab w:leader="none" w:pos="128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for Restricted Shares shall be issued in the name of the Executive and shall be held by the Company until the Restricted Shares represented thereby have become Vested or until such Restricted Shares are forfeited, as provided in this Award Agreement. The Executive shall execute and deliver to the Company a stock transfer power with respect to the Restricted Shares. All Certificates for Restricted Shares that have not become Vested shall bear a legend in substantially the following form:</w:t>
      </w:r>
    </w:p>
    <w:p>
      <w:pPr>
        <w:spacing w:after="0" w:line="175" w:lineRule="exact"/>
        <w:rPr>
          <w:sz w:val="20"/>
          <w:szCs w:val="20"/>
          <w:color w:val="auto"/>
        </w:rPr>
      </w:pPr>
    </w:p>
    <w:p>
      <w:pPr>
        <w:jc w:val="both"/>
        <w:ind w:left="360" w:right="3359" w:firstLine="458"/>
        <w:spacing w:after="0" w:line="249" w:lineRule="auto"/>
        <w:rPr>
          <w:sz w:val="20"/>
          <w:szCs w:val="20"/>
          <w:color w:val="auto"/>
        </w:rPr>
      </w:pPr>
      <w:r>
        <w:rPr>
          <w:rFonts w:ascii="Courier New" w:cs="Courier New" w:eastAsia="Courier New" w:hAnsi="Courier New"/>
          <w:sz w:val="15"/>
          <w:szCs w:val="15"/>
          <w:color w:val="auto"/>
        </w:rPr>
        <w:t>"The shares evidenced by this Certificate were issued as Restricted Shares pursuant to a Restricted Stock Award Agreement dated as of January 31, 1996, and are subject to possible forfeiture and restrictions on transfer, disposition, or encumbrance until [scheduled date of vesting] pursuant to the terms of said agreement."</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When any Restricted Shares become Vested, they shall no longer be subject to possible forfeiture pursuant to Section 3(d), the transfer thereof shall no longer be restricted by the provisions of Section 4(b), and the Company shall promptly cause a new Certificate or Certificates representing such shares to be issued in the name of the Executive, without the foregoing legend, and shall deliver such Certificate or Certificates to the Executive.</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5. Income Taxes.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Company shall have the right to withhold from any amounts payable to the Executive, as compensation or otherwise, or to require the Executive to make other provision satisfactory to the Company for payment of an amount sufficient to satisfy all federal, state, and local withholding tax requirements with respect to the award or the Vesting of the Restricted Shares. The Company shall not be obligated to deliver any Certificates to the Executive until</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470" w:right="1440" w:bottom="1440" w:gutter="0" w:footer="0" w:header="0"/>
        </w:sectPr>
      </w:pPr>
    </w:p>
    <w:bookmarkStart w:id="99" w:name="page100"/>
    <w:bookmarkEnd w:id="99"/>
    <w:p>
      <w:pPr>
        <w:jc w:val="both"/>
        <w:ind w:right="2899"/>
        <w:spacing w:after="0" w:line="249" w:lineRule="auto"/>
        <w:rPr>
          <w:sz w:val="20"/>
          <w:szCs w:val="20"/>
          <w:color w:val="auto"/>
        </w:rPr>
      </w:pPr>
      <w:r>
        <w:rPr>
          <w:rFonts w:ascii="Courier New" w:cs="Courier New" w:eastAsia="Courier New" w:hAnsi="Courier New"/>
          <w:sz w:val="15"/>
          <w:szCs w:val="15"/>
          <w:color w:val="auto"/>
        </w:rPr>
        <w:t>any such withholding or payment requirement shall have been satisfied. The Executive agrees to promptly notify the Company if the Executive makes an election under Section 83(b) of the Internal Revenue Code with respect to any of the Restricted Shares.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6. Securities Law Restrictions.</w:t>
      </w:r>
    </w:p>
    <w:p>
      <w:pPr>
        <w:spacing w:after="0" w:line="182" w:lineRule="exact"/>
        <w:rPr>
          <w:sz w:val="20"/>
          <w:szCs w:val="20"/>
          <w:color w:val="auto"/>
        </w:rPr>
      </w:pPr>
    </w:p>
    <w:p>
      <w:pPr>
        <w:ind w:right="2899" w:firstLine="818"/>
        <w:spacing w:after="0" w:line="249" w:lineRule="auto"/>
        <w:tabs>
          <w:tab w:leader="none" w:pos="119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acknowledges that the Restricted Shares have not been registered under the Securities Act or any applicable state securities law, and that the Restricted Shares may not be sold or otherwise transferred in the absence of an effective registration statement under the Securities Act or an available exemption from such registration, and upon compliance with the requirements of any applicable state securities law. The Executive further acknowledges that transfer of shares owned by affiliates of the Company is restricted under the Securities Act. The Executive represents that the Restricted Shares are being acquired for his own account without any view to the distribution thereof.</w:t>
      </w:r>
    </w:p>
    <w:p>
      <w:pPr>
        <w:spacing w:after="0" w:line="175" w:lineRule="exact"/>
        <w:rPr>
          <w:rFonts w:ascii="Courier New" w:cs="Courier New" w:eastAsia="Courier New" w:hAnsi="Courier New"/>
          <w:sz w:val="15"/>
          <w:szCs w:val="15"/>
          <w:color w:val="auto"/>
        </w:rPr>
      </w:pPr>
    </w:p>
    <w:p>
      <w:pPr>
        <w:ind w:left="1180" w:hanging="362"/>
        <w:spacing w:after="0"/>
        <w:tabs>
          <w:tab w:leader="none" w:pos="11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Certificates for the Restricted Shares shall bear the following</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legend:</w:t>
      </w:r>
    </w:p>
    <w:p>
      <w:pPr>
        <w:spacing w:after="0" w:line="182" w:lineRule="exact"/>
        <w:rPr>
          <w:sz w:val="20"/>
          <w:szCs w:val="20"/>
          <w:color w:val="auto"/>
        </w:rPr>
      </w:pPr>
    </w:p>
    <w:p>
      <w:pPr>
        <w:jc w:val="both"/>
        <w:ind w:left="360" w:right="3359" w:firstLine="458"/>
        <w:spacing w:after="0" w:line="249" w:lineRule="auto"/>
        <w:rPr>
          <w:sz w:val="20"/>
          <w:szCs w:val="20"/>
          <w:color w:val="auto"/>
        </w:rPr>
      </w:pPr>
      <w:r>
        <w:rPr>
          <w:rFonts w:ascii="Courier New" w:cs="Courier New" w:eastAsia="Courier New" w:hAnsi="Courier New"/>
          <w:sz w:val="15"/>
          <w:szCs w:val="15"/>
          <w:color w:val="auto"/>
        </w:rPr>
        <w:t>"The securities represented hereby have not been registered under the Securities Act of 1933, and they may not be sold or otherwise transferred in the absence of an effective registration statement under the Securities Act of 1933 or an available exemption from such registration."</w:t>
      </w:r>
    </w:p>
    <w:p>
      <w:pPr>
        <w:spacing w:after="0" w:line="176" w:lineRule="exact"/>
        <w:rPr>
          <w:sz w:val="20"/>
          <w:szCs w:val="20"/>
          <w:color w:val="auto"/>
        </w:rPr>
      </w:pPr>
    </w:p>
    <w:p>
      <w:pPr>
        <w:jc w:val="both"/>
        <w:ind w:right="2899" w:firstLine="818"/>
        <w:spacing w:after="0" w:line="249" w:lineRule="auto"/>
        <w:tabs>
          <w:tab w:leader="none" w:pos="119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the Vesting of Restricted Shares, upon the written request of the Executive or, if he is deceased, his estate, the Company shall prepare and file a registration statement under the Securities Act covering an offering and sale of such number of Vested Restricted Shares as shall have been requested by the Executive or his estate, and shall use its reasonable efforts to cause such registration statement to become effective; provided, however, that the Company shall not be required to prepare and file more than four registration statements pursuant to this Award Agreement.</w:t>
      </w:r>
    </w:p>
    <w:p>
      <w:pPr>
        <w:spacing w:after="0" w:line="175" w:lineRule="exact"/>
        <w:rPr>
          <w:rFonts w:ascii="Courier New" w:cs="Courier New" w:eastAsia="Courier New" w:hAnsi="Courier New"/>
          <w:sz w:val="15"/>
          <w:szCs w:val="15"/>
          <w:color w:val="auto"/>
        </w:rPr>
      </w:pPr>
    </w:p>
    <w:p>
      <w:pPr>
        <w:ind w:right="2899" w:firstLine="818"/>
        <w:spacing w:after="0" w:line="248" w:lineRule="auto"/>
        <w:tabs>
          <w:tab w:leader="none" w:pos="119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 (c), the Company shall not be obligated to file a registration statement with respect to the sale of Restricted Shares (i) if the Company shall deliver to the Executive (or to his estate if he is deceased) an opinion of counsel to the effect that the proposed sale of the Restricted Shares for which registration was requested does not require registration under the Securities Act, or that such sale may be effected immediately pursuant to the exemption from registration afforded by Rule 144 or any similar exemption, or (ii) if the Company shall undertake to purchase and purchases the Restricted Shares for which registration is requested, on a date specified by the Company (not later than 30 days after the date of the Executive's or his estate's request), at a price per share equal to the reported closing price for a share of Common Stock (or any successor security) on the New York Stock Exchange (or if not traded on the New York Stock Exchange, on the principal market on which Common Stock (or any successor security) is then traded) for the last day immediately preceding the date of purchase on which Common Stock (or any successor security) is traded.</w:t>
      </w:r>
    </w:p>
    <w:p>
      <w:pPr>
        <w:spacing w:after="0" w:line="185" w:lineRule="exact"/>
        <w:rPr>
          <w:rFonts w:ascii="Courier New" w:cs="Courier New" w:eastAsia="Courier New" w:hAnsi="Courier New"/>
          <w:sz w:val="15"/>
          <w:szCs w:val="15"/>
          <w:color w:val="auto"/>
        </w:rPr>
      </w:pPr>
    </w:p>
    <w:p>
      <w:pPr>
        <w:ind w:left="3660" w:hanging="185"/>
        <w:spacing w:after="0"/>
        <w:tabs>
          <w:tab w:leader="none" w:pos="366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w:t>
      </w:r>
    </w:p>
    <w:p>
      <w:pPr>
        <w:sectPr>
          <w:pgSz w:w="11900" w:h="16838" w:orient="portrait"/>
          <w:cols w:equalWidth="0" w:num="1">
            <w:col w:w="10219"/>
          </w:cols>
          <w:pgMar w:left="240" w:top="470" w:right="1440" w:bottom="1440" w:gutter="0" w:footer="0" w:header="0"/>
        </w:sectPr>
      </w:pPr>
    </w:p>
    <w:bookmarkStart w:id="100" w:name="page101"/>
    <w:bookmarkEnd w:id="100"/>
    <w:p>
      <w:pPr>
        <w:ind w:left="542" w:hanging="542"/>
        <w:spacing w:after="0"/>
        <w:tabs>
          <w:tab w:leader="none" w:pos="54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Restricted Shares are to be registered hereunder:</w:t>
      </w:r>
    </w:p>
    <w:p>
      <w:pPr>
        <w:spacing w:after="0" w:line="182" w:lineRule="exact"/>
        <w:rPr>
          <w:sz w:val="20"/>
          <w:szCs w:val="20"/>
          <w:color w:val="auto"/>
        </w:rPr>
      </w:pPr>
    </w:p>
    <w:p>
      <w:pPr>
        <w:jc w:val="both"/>
        <w:ind w:left="2" w:right="3359" w:hanging="2"/>
        <w:spacing w:after="0" w:line="248" w:lineRule="auto"/>
        <w:tabs>
          <w:tab w:leader="none" w:pos="55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cooperate in supplying one another with all information and documents as may be reasonably necessary in connection with such registration and shall execute and deliver</w:t>
      </w:r>
    </w:p>
    <w:p>
      <w:pPr>
        <w:spacing w:after="0" w:line="1" w:lineRule="exact"/>
        <w:rPr>
          <w:rFonts w:ascii="Courier New" w:cs="Courier New" w:eastAsia="Courier New" w:hAnsi="Courier New"/>
          <w:sz w:val="15"/>
          <w:szCs w:val="15"/>
          <w:color w:val="auto"/>
        </w:rPr>
      </w:pPr>
    </w:p>
    <w:p>
      <w:pPr>
        <w:jc w:val="both"/>
        <w:ind w:left="2" w:right="33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representations, indemnity agreements, underwriting agreements, and other undertakings as are reasonable and customary in connection with similar transactions.</w:t>
      </w:r>
    </w:p>
    <w:p>
      <w:pPr>
        <w:spacing w:after="0" w:line="175" w:lineRule="exact"/>
        <w:rPr>
          <w:rFonts w:ascii="Courier New" w:cs="Courier New" w:eastAsia="Courier New" w:hAnsi="Courier New"/>
          <w:sz w:val="15"/>
          <w:szCs w:val="15"/>
          <w:color w:val="auto"/>
        </w:rPr>
      </w:pPr>
    </w:p>
    <w:p>
      <w:pPr>
        <w:jc w:val="both"/>
        <w:ind w:left="2" w:right="3359" w:hanging="2"/>
        <w:spacing w:after="0" w:line="249" w:lineRule="auto"/>
        <w:tabs>
          <w:tab w:leader="none" w:pos="55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prepare and file a registration statement and such exhibits, amendments, and supplements thereto as may be necessary to cause such registration statement to become effective as promptly as reasonably practicable and to remain effective for a reasonable period of time not exceeding 30 days; provided, however, that the Company may, in its discretion, delay the filing or effectiveness of a registration statement for a reasonable time not exceeding 180 days if, in the good faith judgment of its board of directors, the filing or effectiveness of such registration statement would be unreasonably detrimental to the interests of the Company.</w:t>
      </w:r>
    </w:p>
    <w:p>
      <w:pPr>
        <w:spacing w:after="0" w:line="175" w:lineRule="exact"/>
        <w:rPr>
          <w:rFonts w:ascii="Courier New" w:cs="Courier New" w:eastAsia="Courier New" w:hAnsi="Courier New"/>
          <w:sz w:val="15"/>
          <w:szCs w:val="15"/>
          <w:color w:val="auto"/>
        </w:rPr>
      </w:pPr>
    </w:p>
    <w:p>
      <w:pPr>
        <w:jc w:val="both"/>
        <w:ind w:left="2" w:right="3359" w:hanging="2"/>
        <w:spacing w:after="0" w:line="249" w:lineRule="auto"/>
        <w:tabs>
          <w:tab w:leader="none" w:pos="55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prepare such prospectuses and other documents as may be reasonably required in connection with such registration and shall register or qualify the Restricted Shares covered by such registration statement under such blue sky laws as may be reasonably necessary, and do such other acts as may be reasonably necessary or advisable in order to enable the Executive to consummate the sale of the Restricted Shares.</w:t>
      </w:r>
    </w:p>
    <w:p>
      <w:pPr>
        <w:spacing w:after="0" w:line="175" w:lineRule="exact"/>
        <w:rPr>
          <w:rFonts w:ascii="Courier New" w:cs="Courier New" w:eastAsia="Courier New" w:hAnsi="Courier New"/>
          <w:sz w:val="15"/>
          <w:szCs w:val="15"/>
          <w:color w:val="auto"/>
        </w:rPr>
      </w:pPr>
    </w:p>
    <w:p>
      <w:pPr>
        <w:jc w:val="both"/>
        <w:ind w:left="-458" w:right="3359" w:firstLine="458"/>
        <w:spacing w:after="0" w:line="249" w:lineRule="auto"/>
        <w:tabs>
          <w:tab w:leader="none" w:pos="45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all expenses in connection with the registration, other than underwriters' discounts, brokers' commissions, or similar fees.</w:t>
      </w:r>
    </w:p>
    <w:p>
      <w:pPr>
        <w:spacing w:after="0" w:line="176"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Section 7. Miscellaneous.</w:t>
      </w:r>
    </w:p>
    <w:p>
      <w:pPr>
        <w:spacing w:after="0" w:line="182" w:lineRule="exact"/>
        <w:rPr>
          <w:sz w:val="20"/>
          <w:szCs w:val="20"/>
          <w:color w:val="auto"/>
        </w:rPr>
      </w:pPr>
    </w:p>
    <w:p>
      <w:pPr>
        <w:jc w:val="both"/>
        <w:ind w:left="-818" w:right="2899" w:firstLine="818"/>
        <w:spacing w:after="0" w:line="249" w:lineRule="auto"/>
        <w:tabs>
          <w:tab w:leader="none" w:pos="464"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restrictions on transfer of the Restricted Shares set forth herein, this Award Agreement shall be binding upon and benefit the parties hereto and their respective successors and assigns.</w:t>
      </w:r>
    </w:p>
    <w:p>
      <w:pPr>
        <w:spacing w:after="0" w:line="175" w:lineRule="exact"/>
        <w:rPr>
          <w:rFonts w:ascii="Courier New" w:cs="Courier New" w:eastAsia="Courier New" w:hAnsi="Courier New"/>
          <w:sz w:val="15"/>
          <w:szCs w:val="15"/>
          <w:color w:val="auto"/>
        </w:rPr>
      </w:pPr>
    </w:p>
    <w:p>
      <w:pPr>
        <w:ind w:left="-818" w:right="2899" w:firstLine="818"/>
        <w:spacing w:after="0" w:line="250" w:lineRule="auto"/>
        <w:tabs>
          <w:tab w:leader="none" w:pos="464"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notices under this Award Agreement shall be in writing and shall be effective if given as provided in the Employment Agreement.</w:t>
      </w:r>
    </w:p>
    <w:p>
      <w:pPr>
        <w:spacing w:after="0" w:line="174" w:lineRule="exact"/>
        <w:rPr>
          <w:rFonts w:ascii="Courier New" w:cs="Courier New" w:eastAsia="Courier New" w:hAnsi="Courier New"/>
          <w:sz w:val="15"/>
          <w:szCs w:val="15"/>
          <w:color w:val="auto"/>
        </w:rPr>
      </w:pPr>
    </w:p>
    <w:p>
      <w:pPr>
        <w:jc w:val="both"/>
        <w:ind w:left="-818" w:right="2899" w:firstLine="818"/>
        <w:spacing w:after="0" w:line="249" w:lineRule="auto"/>
        <w:tabs>
          <w:tab w:leader="none" w:pos="464"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Award Agreement will be governed by the laws of the state of Delaware without regard to its conflict of laws rules. (d) This Award Agreement (together with the Employment Agreement to the extent referred to herein) constitutes the entire understanding of the parties with respect to the subject matter hereof, and supersedes all prior agreements between the parties hereto with</w:t>
      </w:r>
    </w:p>
    <w:p>
      <w:pPr>
        <w:spacing w:after="0" w:line="175" w:lineRule="exact"/>
        <w:rPr>
          <w:rFonts w:ascii="Courier New" w:cs="Courier New" w:eastAsia="Courier New" w:hAnsi="Courier New"/>
          <w:sz w:val="15"/>
          <w:szCs w:val="15"/>
          <w:color w:val="auto"/>
        </w:rPr>
      </w:pPr>
    </w:p>
    <w:p>
      <w:pPr>
        <w:ind w:left="2842" w:hanging="185"/>
        <w:spacing w:after="0"/>
        <w:tabs>
          <w:tab w:leader="none" w:pos="2842"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9401"/>
          </w:cols>
          <w:pgMar w:left="1058" w:top="470" w:right="1440" w:bottom="1440" w:gutter="0" w:footer="0" w:header="0"/>
        </w:sectPr>
      </w:pPr>
    </w:p>
    <w:bookmarkStart w:id="101" w:name="page102"/>
    <w:bookmarkEnd w:id="101"/>
    <w:p>
      <w:pPr>
        <w:jc w:val="both"/>
        <w:ind w:right="2899"/>
        <w:spacing w:after="0" w:line="249" w:lineRule="auto"/>
        <w:rPr>
          <w:sz w:val="20"/>
          <w:szCs w:val="20"/>
          <w:color w:val="auto"/>
        </w:rPr>
      </w:pPr>
      <w:r>
        <w:rPr>
          <w:rFonts w:ascii="Courier New" w:cs="Courier New" w:eastAsia="Courier New" w:hAnsi="Courier New"/>
          <w:sz w:val="15"/>
          <w:szCs w:val="15"/>
          <w:color w:val="auto"/>
        </w:rPr>
        <w:t>respect to its subject matter. This Award Agreement may be executed in one or more counterparts, each of which will be deemed to be an original, but all of which together will constitute one and the same instrument.</w:t>
      </w:r>
    </w:p>
    <w:p>
      <w:pPr>
        <w:spacing w:after="0" w:line="176"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IN WITNESS WHEREOF, the parties hereto have executed this Award Agreement as of the date first set forth above.</w:t>
      </w:r>
    </w:p>
    <w:p>
      <w:pPr>
        <w:spacing w:after="0" w:line="351"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LOUISIANA-PACIFIC CORPORATION</w:t>
      </w:r>
    </w:p>
    <w:p>
      <w:pPr>
        <w:sectPr>
          <w:pgSz w:w="11900" w:h="16838" w:orient="portrait"/>
          <w:cols w:equalWidth="0" w:num="1">
            <w:col w:w="10219"/>
          </w:cols>
          <w:pgMar w:left="240" w:top="470"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Lee C. Simpson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ectPr>
          <w:pgSz w:w="11900" w:h="16838" w:orient="portrait"/>
          <w:cols w:equalWidth="0" w:num="2">
            <w:col w:w="4480" w:space="360"/>
            <w:col w:w="5379"/>
          </w:cols>
          <w:pgMar w:left="240" w:top="470" w:right="1440" w:bottom="1440" w:gutter="0" w:footer="0" w:header="0"/>
          <w:type w:val="continuous"/>
        </w:sectPr>
      </w:pPr>
    </w:p>
    <w:p>
      <w:pPr>
        <w:spacing w:after="0" w:line="159"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EXECUTIVE</w:t>
      </w:r>
    </w:p>
    <w:p>
      <w:pPr>
        <w:sectPr>
          <w:pgSz w:w="11900" w:h="16838" w:orient="portrait"/>
          <w:cols w:equalWidth="0" w:num="1">
            <w:col w:w="10219"/>
          </w:cols>
          <w:pgMar w:left="240" w:top="470" w:right="1440"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 Mark A. Suwyn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Mark A. Suwyn</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19"/>
          </w:cols>
          <w:pgMar w:left="240" w:top="470" w:right="1440" w:bottom="1440" w:gutter="0" w:footer="0" w:header="0"/>
          <w:type w:val="continuous"/>
        </w:sectPr>
      </w:pPr>
    </w:p>
    <w:bookmarkStart w:id="102" w:name="page103"/>
    <w:bookmarkEnd w:id="102"/>
    <w:p>
      <w:pPr>
        <w:ind w:left="6"/>
        <w:spacing w:after="0"/>
        <w:rPr>
          <w:sz w:val="20"/>
          <w:szCs w:val="20"/>
          <w:color w:val="auto"/>
        </w:rPr>
      </w:pPr>
      <w:r>
        <w:rPr>
          <w:rFonts w:ascii="Courier New" w:cs="Courier New" w:eastAsia="Courier New" w:hAnsi="Courier New"/>
          <w:sz w:val="15"/>
          <w:szCs w:val="15"/>
          <w:color w:val="auto"/>
        </w:rPr>
        <w:t>L-P</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Louisiana-Pacific Corporation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111 S.W. Fifth Avenue</w:t>
      </w:r>
    </w:p>
    <w:p>
      <w:pPr>
        <w:spacing w:after="0" w:line="6" w:lineRule="exact"/>
        <w:rPr>
          <w:sz w:val="20"/>
          <w:szCs w:val="20"/>
          <w:color w:val="auto"/>
        </w:rPr>
      </w:pPr>
    </w:p>
    <w:p>
      <w:pPr>
        <w:ind w:left="6"/>
        <w:spacing w:after="0"/>
        <w:tabs>
          <w:tab w:leader="none" w:pos="1626" w:val="left"/>
        </w:tabs>
        <w:rPr>
          <w:sz w:val="20"/>
          <w:szCs w:val="20"/>
          <w:color w:val="auto"/>
        </w:rPr>
      </w:pPr>
      <w:r>
        <w:rPr>
          <w:rFonts w:ascii="Courier New" w:cs="Courier New" w:eastAsia="Courier New" w:hAnsi="Courier New"/>
          <w:sz w:val="15"/>
          <w:szCs w:val="15"/>
          <w:color w:val="auto"/>
        </w:rPr>
        <w:t>Portland, Oregon</w:t>
        <w:tab/>
        <w:t>97204</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503/221-0800</w:t>
      </w:r>
    </w:p>
    <w:p>
      <w:pPr>
        <w:spacing w:after="0" w:line="6" w:lineRule="exact"/>
        <w:rPr>
          <w:sz w:val="20"/>
          <w:szCs w:val="20"/>
          <w:color w:val="auto"/>
        </w:rPr>
      </w:pPr>
    </w:p>
    <w:p>
      <w:pPr>
        <w:ind w:left="6"/>
        <w:spacing w:after="0"/>
        <w:tabs>
          <w:tab w:leader="none" w:pos="526" w:val="left"/>
        </w:tabs>
        <w:rPr>
          <w:sz w:val="20"/>
          <w:szCs w:val="20"/>
          <w:color w:val="auto"/>
        </w:rPr>
      </w:pPr>
      <w:r>
        <w:rPr>
          <w:rFonts w:ascii="Courier New" w:cs="Courier New" w:eastAsia="Courier New" w:hAnsi="Courier New"/>
          <w:sz w:val="15"/>
          <w:szCs w:val="15"/>
          <w:color w:val="auto"/>
        </w:rPr>
        <w:t>FAX:</w:t>
        <w:tab/>
        <w:t>503/796-0204</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August 14, 1997</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Mr. Gary Wilkerson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9021 Forest Meadow</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Memphis TN 38125</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Dear Gary:</w:t>
      </w:r>
    </w:p>
    <w:p>
      <w:pPr>
        <w:spacing w:after="0" w:line="182"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I am pleased to offer you the position of Vice President and General Counsel at Louisiana-Pacific. This offer is extended on the assurance that you are not entered into any employment contracts which may prevent you from working at Louisiana-Pacific and that you are eligible to work in the United States as regulated by Federal Immigration Laws.</w:t>
      </w:r>
    </w:p>
    <w:p>
      <w:pPr>
        <w:spacing w:after="0" w:line="176"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In this position you will work in the Portland Oregon office and report directly to me. Your start date will be September 15, 1997. This position will include the following compensation package:</w:t>
      </w:r>
    </w:p>
    <w:p>
      <w:pPr>
        <w:spacing w:after="0" w:line="176" w:lineRule="exact"/>
        <w:rPr>
          <w:sz w:val="20"/>
          <w:szCs w:val="20"/>
          <w:color w:val="auto"/>
        </w:rPr>
      </w:pPr>
    </w:p>
    <w:p>
      <w:pPr>
        <w:ind w:left="826" w:hanging="368"/>
        <w:spacing w:after="0"/>
        <w:tabs>
          <w:tab w:leader="none" w:pos="82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annual base salary of $275,000 paid semi-monthly.</w:t>
      </w:r>
    </w:p>
    <w:p>
      <w:pPr>
        <w:spacing w:after="0" w:line="182" w:lineRule="exact"/>
        <w:rPr>
          <w:rFonts w:ascii="Courier New" w:cs="Courier New" w:eastAsia="Courier New" w:hAnsi="Courier New"/>
          <w:sz w:val="15"/>
          <w:szCs w:val="15"/>
          <w:color w:val="auto"/>
        </w:rPr>
      </w:pPr>
    </w:p>
    <w:p>
      <w:pPr>
        <w:jc w:val="both"/>
        <w:ind w:left="826" w:right="2899" w:hanging="368"/>
        <w:spacing w:after="0" w:line="249" w:lineRule="auto"/>
        <w:tabs>
          <w:tab w:leader="none" w:pos="82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first year bonus target equal to 50% of your annual base salary with total earnings based on mutually established performance criteria. The 1997 bonus will be prorated for the balance of the time in this position.</w:t>
      </w:r>
    </w:p>
    <w:p>
      <w:pPr>
        <w:spacing w:after="0" w:line="175" w:lineRule="exact"/>
        <w:rPr>
          <w:rFonts w:ascii="Courier New" w:cs="Courier New" w:eastAsia="Courier New" w:hAnsi="Courier New"/>
          <w:sz w:val="15"/>
          <w:szCs w:val="15"/>
          <w:color w:val="auto"/>
        </w:rPr>
      </w:pPr>
    </w:p>
    <w:p>
      <w:pPr>
        <w:jc w:val="both"/>
        <w:ind w:left="826" w:right="2899" w:hanging="368"/>
        <w:spacing w:after="0" w:line="249" w:lineRule="auto"/>
        <w:tabs>
          <w:tab w:leader="none" w:pos="82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option award of 20,000 shares that will vest over three years, (6,667 each on 9/1/98, 9/1/99 and 6,666 on 9/1/2000) with a life of ten years. These stock options are subject to board approval.</w:t>
      </w:r>
    </w:p>
    <w:p>
      <w:pPr>
        <w:spacing w:after="0" w:line="175" w:lineRule="exact"/>
        <w:rPr>
          <w:rFonts w:ascii="Courier New" w:cs="Courier New" w:eastAsia="Courier New" w:hAnsi="Courier New"/>
          <w:sz w:val="15"/>
          <w:szCs w:val="15"/>
          <w:color w:val="auto"/>
        </w:rPr>
      </w:pPr>
    </w:p>
    <w:p>
      <w:pPr>
        <w:ind w:left="826" w:right="2899" w:hanging="368"/>
        <w:spacing w:after="0" w:line="245" w:lineRule="auto"/>
        <w:tabs>
          <w:tab w:leader="none" w:pos="82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signing bonus of $75,000 to be paid within 30 days of your start date.</w:t>
      </w:r>
    </w:p>
    <w:p>
      <w:pPr>
        <w:spacing w:after="0" w:line="355" w:lineRule="exact"/>
        <w:rPr>
          <w:rFonts w:ascii="Courier New" w:cs="Courier New" w:eastAsia="Courier New" w:hAnsi="Courier New"/>
          <w:sz w:val="15"/>
          <w:szCs w:val="15"/>
          <w:color w:val="auto"/>
        </w:rPr>
      </w:pPr>
    </w:p>
    <w:p>
      <w:pPr>
        <w:jc w:val="both"/>
        <w:ind w:left="826" w:right="2899" w:hanging="368"/>
        <w:spacing w:after="0" w:line="249" w:lineRule="auto"/>
        <w:tabs>
          <w:tab w:leader="none" w:pos="82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severance package that in the event of a change of control during your first year of employment, you will be eligible to receive 24 months salary plus bonus.</w:t>
      </w:r>
    </w:p>
    <w:p>
      <w:pPr>
        <w:spacing w:after="0" w:line="175" w:lineRule="exact"/>
        <w:rPr>
          <w:rFonts w:ascii="Courier New" w:cs="Courier New" w:eastAsia="Courier New" w:hAnsi="Courier New"/>
          <w:sz w:val="15"/>
          <w:szCs w:val="15"/>
          <w:color w:val="auto"/>
        </w:rPr>
      </w:pPr>
    </w:p>
    <w:p>
      <w:pPr>
        <w:ind w:left="826" w:hanging="368"/>
        <w:spacing w:after="0"/>
        <w:tabs>
          <w:tab w:leader="none" w:pos="82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 weeks of vacation annually.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Mr. Gary Wilkerson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August 14, 1997</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Page 2</w:t>
      </w:r>
    </w:p>
    <w:p>
      <w:pPr>
        <w:spacing w:after="0" w:line="182"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As a salaried employee of Louisiana-Pacific, you will be eligible to participate in all salaried employee benefit programs: Health Care Coverage, Life and Accidental Death &amp; Dismemberment Insurance, Long Term Disability coverage, Personal Accident Insurance, Employee Stock Ownership Trust, and Employee Stock Purchase Plans. A summary providing a brief description of these is enclosed.</w:t>
      </w:r>
    </w:p>
    <w:p>
      <w:pPr>
        <w:spacing w:after="0" w:line="176"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To assist your move to the Portland area you may participate in the Employee Relocation Program. This will include two house hunting trips for you and your family, packing and transportation of all household goods, and up to three months temporary living allowance. In addition during the three months you are in temporary living Louisiana-Pacific will pay your travel expenses for two visits each month to visit your home in Memphis.</w:t>
      </w:r>
    </w:p>
    <w:p>
      <w:pPr>
        <w:spacing w:after="0" w:line="176" w:lineRule="exact"/>
        <w:rPr>
          <w:sz w:val="20"/>
          <w:szCs w:val="20"/>
          <w:color w:val="auto"/>
        </w:rPr>
      </w:pPr>
    </w:p>
    <w:p>
      <w:pPr>
        <w:jc w:val="both"/>
        <w:ind w:left="6" w:right="2899"/>
        <w:spacing w:after="0" w:line="252" w:lineRule="auto"/>
        <w:rPr>
          <w:sz w:val="20"/>
          <w:szCs w:val="20"/>
          <w:color w:val="auto"/>
        </w:rPr>
      </w:pPr>
      <w:r>
        <w:rPr>
          <w:rFonts w:ascii="Courier New" w:cs="Courier New" w:eastAsia="Courier New" w:hAnsi="Courier New"/>
          <w:sz w:val="15"/>
          <w:szCs w:val="15"/>
          <w:color w:val="auto"/>
        </w:rPr>
        <w:t>If you decide to accept this position and have questions regarding any of the L-P benefits, Please call Dennis Christen in the Portland office at (503) 221-0800.</w:t>
      </w:r>
    </w:p>
    <w:p>
      <w:pPr>
        <w:spacing w:after="0" w:line="348" w:lineRule="exact"/>
        <w:rPr>
          <w:sz w:val="20"/>
          <w:szCs w:val="20"/>
          <w:color w:val="auto"/>
        </w:rPr>
      </w:pPr>
    </w:p>
    <w:p>
      <w:pPr>
        <w:jc w:val="both"/>
        <w:ind w:left="6" w:right="2899"/>
        <w:spacing w:after="0" w:line="250" w:lineRule="auto"/>
        <w:rPr>
          <w:sz w:val="20"/>
          <w:szCs w:val="20"/>
          <w:color w:val="auto"/>
        </w:rPr>
      </w:pPr>
      <w:r>
        <w:rPr>
          <w:rFonts w:ascii="Courier New" w:cs="Courier New" w:eastAsia="Courier New" w:hAnsi="Courier New"/>
          <w:sz w:val="15"/>
          <w:szCs w:val="15"/>
          <w:color w:val="auto"/>
        </w:rPr>
        <w:t>I hope you will find this offer acceptable as we look forward to having you as a key member of the Louisiana-Pacific Senior Management Team.</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25"/>
          </w:cols>
          <w:pgMar w:left="234" w:top="141" w:right="1440" w:bottom="1440" w:gutter="0" w:footer="0" w:header="0"/>
        </w:sectPr>
      </w:pP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 Mark Suwyn</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Gary Wilkerson</w:t>
      </w:r>
    </w:p>
    <w:p>
      <w:pPr>
        <w:spacing w:after="0" w:line="6" w:lineRule="exact"/>
        <w:rPr>
          <w:sz w:val="20"/>
          <w:szCs w:val="20"/>
          <w:color w:val="auto"/>
        </w:rPr>
      </w:pPr>
    </w:p>
    <w:p>
      <w:pPr>
        <w:sectPr>
          <w:pgSz w:w="11900" w:h="16838" w:orient="portrait"/>
          <w:cols w:equalWidth="0" w:num="3">
            <w:col w:w="3946" w:space="720"/>
            <w:col w:w="840" w:space="180"/>
            <w:col w:w="4539"/>
          </w:cols>
          <w:pgMar w:left="234" w:top="141"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Chairman and CEO,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Louisiana-Pacific</w:t>
      </w:r>
    </w:p>
    <w:p>
      <w:pPr>
        <w:sectPr>
          <w:pgSz w:w="11900" w:h="16838" w:orient="portrait"/>
          <w:cols w:equalWidth="0" w:num="1">
            <w:col w:w="10225"/>
          </w:cols>
          <w:pgMar w:left="234" w:top="141" w:right="1440" w:bottom="1440" w:gutter="0" w:footer="0" w:header="0"/>
          <w:type w:val="continuous"/>
        </w:sectPr>
      </w:pPr>
    </w:p>
    <w:p>
      <w:pPr>
        <w:spacing w:after="0" w:line="182" w:lineRule="exact"/>
        <w:rPr>
          <w:sz w:val="20"/>
          <w:szCs w:val="20"/>
          <w:color w:val="auto"/>
        </w:rPr>
      </w:pPr>
    </w:p>
    <w:p>
      <w:pPr>
        <w:ind w:left="466" w:right="8399" w:hanging="466"/>
        <w:spacing w:after="0" w:line="249" w:lineRule="auto"/>
        <w:tabs>
          <w:tab w:leader="none" w:pos="46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Mike Tull Bryan Miller Dennis Christen</w:t>
      </w:r>
    </w:p>
    <w:p>
      <w:pPr>
        <w:sectPr>
          <w:pgSz w:w="11900" w:h="16838" w:orient="portrait"/>
          <w:cols w:equalWidth="0" w:num="1">
            <w:col w:w="10225"/>
          </w:cols>
          <w:pgMar w:left="234" w:top="141" w:right="1440" w:bottom="1440" w:gutter="0" w:footer="0" w:header="0"/>
          <w:type w:val="continuous"/>
        </w:sectPr>
      </w:pPr>
    </w:p>
    <w:bookmarkStart w:id="103" w:name="page104"/>
    <w:bookmarkEnd w:id="103"/>
    <w:p>
      <w:pPr>
        <w:ind w:left="6"/>
        <w:spacing w:after="0"/>
        <w:rPr>
          <w:sz w:val="20"/>
          <w:szCs w:val="20"/>
          <w:color w:val="auto"/>
        </w:rPr>
      </w:pPr>
      <w:r>
        <w:rPr>
          <w:rFonts w:ascii="Courier New" w:cs="Courier New" w:eastAsia="Courier New" w:hAnsi="Courier New"/>
          <w:sz w:val="15"/>
          <w:szCs w:val="15"/>
          <w:color w:val="auto"/>
        </w:rPr>
        <w:t>L-P</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Louisiana-Pacific Corporation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111 S.W. Fifth Avenue</w:t>
      </w:r>
    </w:p>
    <w:p>
      <w:pPr>
        <w:spacing w:after="0" w:line="6" w:lineRule="exact"/>
        <w:rPr>
          <w:sz w:val="20"/>
          <w:szCs w:val="20"/>
          <w:color w:val="auto"/>
        </w:rPr>
      </w:pPr>
    </w:p>
    <w:p>
      <w:pPr>
        <w:ind w:left="6"/>
        <w:spacing w:after="0"/>
        <w:tabs>
          <w:tab w:leader="none" w:pos="1626" w:val="left"/>
        </w:tabs>
        <w:rPr>
          <w:sz w:val="20"/>
          <w:szCs w:val="20"/>
          <w:color w:val="auto"/>
        </w:rPr>
      </w:pPr>
      <w:r>
        <w:rPr>
          <w:rFonts w:ascii="Courier New" w:cs="Courier New" w:eastAsia="Courier New" w:hAnsi="Courier New"/>
          <w:sz w:val="15"/>
          <w:szCs w:val="15"/>
          <w:color w:val="auto"/>
        </w:rPr>
        <w:t>Portland, Oregon</w:t>
        <w:tab/>
        <w:t>97204</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503/221-0800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503/796-0204 FAX</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July 16, 1997</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Mr. Curt Stevens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13930 SW Tennessee Lane</w:t>
      </w:r>
    </w:p>
    <w:p>
      <w:pPr>
        <w:spacing w:after="0" w:line="6" w:lineRule="exact"/>
        <w:rPr>
          <w:sz w:val="20"/>
          <w:szCs w:val="20"/>
          <w:color w:val="auto"/>
        </w:rPr>
      </w:pPr>
    </w:p>
    <w:p>
      <w:pPr>
        <w:ind w:left="6"/>
        <w:spacing w:after="0"/>
        <w:tabs>
          <w:tab w:leader="none" w:pos="1726" w:val="left"/>
        </w:tabs>
        <w:rPr>
          <w:sz w:val="20"/>
          <w:szCs w:val="20"/>
          <w:color w:val="auto"/>
        </w:rPr>
      </w:pPr>
      <w:r>
        <w:rPr>
          <w:rFonts w:ascii="Courier New" w:cs="Courier New" w:eastAsia="Courier New" w:hAnsi="Courier New"/>
          <w:sz w:val="15"/>
          <w:szCs w:val="15"/>
          <w:color w:val="auto"/>
        </w:rPr>
        <w:t>Beaverton, Oregon</w:t>
        <w:tab/>
        <w:t>97008</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Dear Curt,</w:t>
      </w:r>
    </w:p>
    <w:p>
      <w:pPr>
        <w:spacing w:after="0" w:line="182"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I am very pleased to offer you the position of Chief Financial Officer. This offer is extended on the assurance that you are not entered into any employment contracts which may prevent you from working at Louisiana-Pacific and that you are eligible to work in the United States as regulated by Federal Immigration Laws. You will begin work in the Portland office on August 1, 1997 and report directly to me.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this position, your responsibilities will include the following.</w:t>
      </w:r>
    </w:p>
    <w:p>
      <w:pPr>
        <w:spacing w:after="0" w:line="182" w:lineRule="exact"/>
        <w:rPr>
          <w:sz w:val="20"/>
          <w:szCs w:val="20"/>
          <w:color w:val="auto"/>
        </w:rPr>
      </w:pPr>
    </w:p>
    <w:p>
      <w:pPr>
        <w:ind w:left="466" w:right="2719" w:hanging="466"/>
        <w:spacing w:after="0" w:line="249" w:lineRule="auto"/>
        <w:tabs>
          <w:tab w:leader="none" w:pos="19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-Directs the activities of 16 staff in the Regional Controller, Business Financial Analyst, Corporate Accounting and Finance staff functions, including six regional Controllers, Director of Taxes, Credit Manager, Risk Manager, four Financial Analysts and Corporate Accounting and Finance personnel.</w:t>
      </w:r>
    </w:p>
    <w:p>
      <w:pPr>
        <w:spacing w:after="0" w:line="175" w:lineRule="exact"/>
        <w:rPr>
          <w:rFonts w:ascii="Courier New" w:cs="Courier New" w:eastAsia="Courier New" w:hAnsi="Courier New"/>
          <w:sz w:val="15"/>
          <w:szCs w:val="15"/>
          <w:color w:val="auto"/>
        </w:rPr>
      </w:pPr>
    </w:p>
    <w:p>
      <w:pPr>
        <w:ind w:left="466" w:right="2719" w:hanging="466"/>
        <w:spacing w:after="0" w:line="248" w:lineRule="auto"/>
        <w:tabs>
          <w:tab w:leader="none" w:pos="19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-Directs organization-wide formal budget process to include four levels: 1) five-year strategic plan, 2) annual budgeting, 3) quarterly budgeting and</w:t>
      </w:r>
    </w:p>
    <w:p>
      <w:pPr>
        <w:spacing w:after="0" w:line="1" w:lineRule="exact"/>
        <w:rPr>
          <w:rFonts w:ascii="Courier New" w:cs="Courier New" w:eastAsia="Courier New" w:hAnsi="Courier New"/>
          <w:sz w:val="15"/>
          <w:szCs w:val="15"/>
          <w:color w:val="auto"/>
        </w:rPr>
      </w:pPr>
    </w:p>
    <w:p>
      <w:pPr>
        <w:ind w:left="726" w:hanging="268"/>
        <w:spacing w:after="0"/>
        <w:tabs>
          <w:tab w:leader="none" w:pos="726"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budgeting activities.</w:t>
      </w:r>
    </w:p>
    <w:p>
      <w:pPr>
        <w:spacing w:after="0" w:line="6" w:lineRule="exact"/>
        <w:rPr>
          <w:rFonts w:ascii="Courier New" w:cs="Courier New" w:eastAsia="Courier New" w:hAnsi="Courier New"/>
          <w:sz w:val="15"/>
          <w:szCs w:val="15"/>
          <w:color w:val="auto"/>
        </w:rPr>
      </w:pPr>
    </w:p>
    <w:p>
      <w:pPr>
        <w:ind w:left="466" w:right="2719" w:hanging="466"/>
        <w:spacing w:after="0" w:line="249" w:lineRule="auto"/>
        <w:tabs>
          <w:tab w:leader="none" w:pos="19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-Together with other top management, determines, mission, direction, goals and objectives of assigned areas and ensures implementation of strategic and operating plans. Directs the development of short and long range plans and budgets. Develops metrics and goal setting process for the financial function.</w:t>
      </w:r>
    </w:p>
    <w:p>
      <w:pPr>
        <w:spacing w:after="0" w:line="175" w:lineRule="exact"/>
        <w:rPr>
          <w:rFonts w:ascii="Courier New" w:cs="Courier New" w:eastAsia="Courier New" w:hAnsi="Courier New"/>
          <w:sz w:val="15"/>
          <w:szCs w:val="15"/>
          <w:color w:val="auto"/>
        </w:rPr>
      </w:pPr>
    </w:p>
    <w:p>
      <w:pPr>
        <w:ind w:left="466" w:right="2719" w:hanging="466"/>
        <w:spacing w:after="0" w:line="248" w:lineRule="auto"/>
        <w:tabs>
          <w:tab w:leader="none" w:pos="19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-Establishes capital needs for the corporation and ensures ongoing financial support for Louisiana-Pacific by determining appropriate sources such as liquidity, long term planning for capital, and banking relationships (commercial and investment banks).</w:t>
      </w:r>
    </w:p>
    <w:p>
      <w:pPr>
        <w:spacing w:after="0" w:line="2" w:lineRule="exact"/>
        <w:rPr>
          <w:rFonts w:ascii="Courier New" w:cs="Courier New" w:eastAsia="Courier New" w:hAnsi="Courier New"/>
          <w:sz w:val="15"/>
          <w:szCs w:val="15"/>
          <w:color w:val="auto"/>
        </w:rPr>
      </w:pPr>
    </w:p>
    <w:p>
      <w:pPr>
        <w:ind w:left="466" w:right="2719" w:hanging="466"/>
        <w:spacing w:after="0" w:line="248" w:lineRule="auto"/>
        <w:tabs>
          <w:tab w:leader="none" w:pos="19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-Sets financial policies, reporting mechanisms from the field and standard controls for internal and external financial activity. Responsible for all disclosures, shareholder disclosures and government filings.</w:t>
      </w:r>
    </w:p>
    <w:p>
      <w:pPr>
        <w:spacing w:after="0" w:line="1" w:lineRule="exact"/>
        <w:rPr>
          <w:rFonts w:ascii="Courier New" w:cs="Courier New" w:eastAsia="Courier New" w:hAnsi="Courier New"/>
          <w:sz w:val="15"/>
          <w:szCs w:val="15"/>
          <w:color w:val="auto"/>
        </w:rPr>
      </w:pPr>
    </w:p>
    <w:p>
      <w:pPr>
        <w:ind w:left="466" w:right="2719" w:hanging="466"/>
        <w:spacing w:after="0" w:line="250" w:lineRule="auto"/>
        <w:tabs>
          <w:tab w:leader="none" w:pos="19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and analyzes opportunities for acquisitions and dispositions of properties.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Mr. Curt Stevens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July 16, 1997</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Page 2</w:t>
      </w:r>
    </w:p>
    <w:p>
      <w:pPr>
        <w:spacing w:after="0" w:line="6" w:lineRule="exact"/>
        <w:rPr>
          <w:sz w:val="20"/>
          <w:szCs w:val="20"/>
          <w:color w:val="auto"/>
        </w:rPr>
      </w:pPr>
    </w:p>
    <w:p>
      <w:pPr>
        <w:ind w:left="186" w:hanging="186"/>
        <w:spacing w:after="0"/>
        <w:tabs>
          <w:tab w:leader="none" w:pos="18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466" w:right="2719" w:hanging="466"/>
        <w:spacing w:after="0" w:line="252" w:lineRule="auto"/>
        <w:tabs>
          <w:tab w:leader="none" w:pos="19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-Communicates the company's business objectives to the investment community, and works closely with the retail and wholesale investors and rating agencies.</w:t>
      </w:r>
    </w:p>
    <w:p>
      <w:pPr>
        <w:spacing w:after="0" w:line="171" w:lineRule="exact"/>
        <w:rPr>
          <w:rFonts w:ascii="Courier New" w:cs="Courier New" w:eastAsia="Courier New" w:hAnsi="Courier New"/>
          <w:sz w:val="15"/>
          <w:szCs w:val="15"/>
          <w:color w:val="auto"/>
        </w:rPr>
      </w:pPr>
    </w:p>
    <w:p>
      <w:pPr>
        <w:ind w:left="466" w:right="2719" w:hanging="466"/>
        <w:spacing w:after="0" w:line="248" w:lineRule="auto"/>
        <w:tabs>
          <w:tab w:leader="none" w:pos="19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-Determines overall corporate stance on risk tolerance policies, what to insure inside or outside.</w:t>
      </w:r>
    </w:p>
    <w:p>
      <w:pPr>
        <w:spacing w:after="0" w:line="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-Works closely with outside insurance brokers.</w:t>
      </w:r>
    </w:p>
    <w:p>
      <w:pPr>
        <w:spacing w:after="0" w:line="6" w:lineRule="exact"/>
        <w:rPr>
          <w:rFonts w:ascii="Courier New" w:cs="Courier New" w:eastAsia="Courier New" w:hAnsi="Courier New"/>
          <w:sz w:val="15"/>
          <w:szCs w:val="15"/>
          <w:color w:val="auto"/>
        </w:rPr>
      </w:pPr>
    </w:p>
    <w:p>
      <w:pPr>
        <w:ind w:left="466" w:right="2719" w:hanging="466"/>
        <w:spacing w:after="0" w:line="250" w:lineRule="auto"/>
        <w:tabs>
          <w:tab w:leader="none" w:pos="19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works closely and proactively with board members, and responsible for all financial reporting presentations at board meetings.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This position will include the following compensation package:</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A. An annual base salary of $210,000.</w:t>
      </w:r>
    </w:p>
    <w:p>
      <w:pPr>
        <w:spacing w:after="0" w:line="6" w:lineRule="exact"/>
        <w:rPr>
          <w:sz w:val="20"/>
          <w:szCs w:val="20"/>
          <w:color w:val="auto"/>
        </w:rPr>
      </w:pPr>
    </w:p>
    <w:p>
      <w:pPr>
        <w:jc w:val="both"/>
        <w:ind w:left="726" w:right="2899" w:hanging="274"/>
        <w:spacing w:after="0" w:line="245" w:lineRule="auto"/>
        <w:rPr>
          <w:sz w:val="20"/>
          <w:szCs w:val="20"/>
          <w:color w:val="auto"/>
        </w:rPr>
      </w:pPr>
      <w:r>
        <w:rPr>
          <w:rFonts w:ascii="Courier New" w:cs="Courier New" w:eastAsia="Courier New" w:hAnsi="Courier New"/>
          <w:sz w:val="15"/>
          <w:szCs w:val="15"/>
          <w:color w:val="auto"/>
        </w:rPr>
        <w:t>B. A first year bonus in the 40% to 50% range,</w:t>
      </w:r>
      <w:r>
        <w:rPr>
          <w:sz w:val="20"/>
          <w:szCs w:val="20"/>
          <w:color w:val="auto"/>
        </w:rPr>
        <w:t xml:space="preserve"> </w:t>
      </w:r>
      <w:r>
        <w:rPr>
          <w:rFonts w:ascii="Courier New" w:cs="Courier New" w:eastAsia="Courier New" w:hAnsi="Courier New"/>
          <w:sz w:val="15"/>
          <w:szCs w:val="15"/>
          <w:color w:val="auto"/>
        </w:rPr>
        <w:t>with a guaranteed amount of $84,000.</w:t>
      </w:r>
    </w:p>
    <w:p>
      <w:pPr>
        <w:spacing w:after="0" w:line="179" w:lineRule="exact"/>
        <w:rPr>
          <w:sz w:val="20"/>
          <w:szCs w:val="20"/>
          <w:color w:val="auto"/>
        </w:rPr>
      </w:pPr>
    </w:p>
    <w:p>
      <w:pPr>
        <w:jc w:val="both"/>
        <w:ind w:left="726" w:right="2899" w:hanging="274"/>
        <w:spacing w:after="0" w:line="248" w:lineRule="auto"/>
        <w:rPr>
          <w:sz w:val="20"/>
          <w:szCs w:val="20"/>
          <w:color w:val="auto"/>
        </w:rPr>
      </w:pPr>
      <w:r>
        <w:rPr>
          <w:rFonts w:ascii="Courier New" w:cs="Courier New" w:eastAsia="Courier New" w:hAnsi="Courier New"/>
          <w:sz w:val="15"/>
          <w:szCs w:val="15"/>
          <w:color w:val="auto"/>
        </w:rPr>
        <w:t>C. A four-year</w:t>
      </w:r>
      <w:r>
        <w:rPr>
          <w:sz w:val="20"/>
          <w:szCs w:val="20"/>
          <w:color w:val="auto"/>
        </w:rPr>
        <w:t xml:space="preserve"> </w:t>
      </w:r>
      <w:r>
        <w:rPr>
          <w:rFonts w:ascii="Courier New" w:cs="Courier New" w:eastAsia="Courier New" w:hAnsi="Courier New"/>
          <w:sz w:val="15"/>
          <w:szCs w:val="15"/>
          <w:color w:val="auto"/>
        </w:rPr>
        <w:t>relative total shareholder return plan. The program grants annual contingent awards of stock that have the potential to pay out at the end of a four-year performance cycle.</w:t>
      </w:r>
    </w:p>
    <w:p>
      <w:pPr>
        <w:spacing w:after="0" w:line="2" w:lineRule="exact"/>
        <w:rPr>
          <w:sz w:val="20"/>
          <w:szCs w:val="20"/>
          <w:color w:val="auto"/>
        </w:rPr>
      </w:pPr>
    </w:p>
    <w:p>
      <w:pPr>
        <w:jc w:val="both"/>
        <w:ind w:left="726" w:right="2899" w:hanging="274"/>
        <w:spacing w:after="0" w:line="248" w:lineRule="auto"/>
        <w:rPr>
          <w:sz w:val="20"/>
          <w:szCs w:val="20"/>
          <w:color w:val="auto"/>
        </w:rPr>
      </w:pPr>
      <w:r>
        <w:rPr>
          <w:rFonts w:ascii="Courier New" w:cs="Courier New" w:eastAsia="Courier New" w:hAnsi="Courier New"/>
          <w:sz w:val="15"/>
          <w:szCs w:val="15"/>
          <w:color w:val="auto"/>
        </w:rPr>
        <w:t>D. A stock option</w:t>
      </w:r>
      <w:r>
        <w:rPr>
          <w:sz w:val="20"/>
          <w:szCs w:val="20"/>
          <w:color w:val="auto"/>
        </w:rPr>
        <w:t xml:space="preserve"> </w:t>
      </w:r>
      <w:r>
        <w:rPr>
          <w:rFonts w:ascii="Courier New" w:cs="Courier New" w:eastAsia="Courier New" w:hAnsi="Courier New"/>
          <w:sz w:val="15"/>
          <w:szCs w:val="15"/>
          <w:color w:val="auto"/>
        </w:rPr>
        <w:t>award of 36,000 shares that will vest over three years, (12,000 each on 8/1/98, 8/1/99 and 8/1/2000 with a life of five years.</w:t>
      </w:r>
    </w:p>
    <w:p>
      <w:pPr>
        <w:spacing w:after="0" w:line="1" w:lineRule="exact"/>
        <w:rPr>
          <w:sz w:val="20"/>
          <w:szCs w:val="20"/>
          <w:color w:val="auto"/>
        </w:rPr>
      </w:pPr>
    </w:p>
    <w:p>
      <w:pPr>
        <w:jc w:val="both"/>
        <w:ind w:left="726" w:right="2899" w:hanging="274"/>
        <w:spacing w:after="0" w:line="248" w:lineRule="auto"/>
        <w:rPr>
          <w:sz w:val="20"/>
          <w:szCs w:val="20"/>
          <w:color w:val="auto"/>
        </w:rPr>
      </w:pPr>
      <w:r>
        <w:rPr>
          <w:rFonts w:ascii="Courier New" w:cs="Courier New" w:eastAsia="Courier New" w:hAnsi="Courier New"/>
          <w:sz w:val="15"/>
          <w:szCs w:val="15"/>
          <w:color w:val="auto"/>
        </w:rPr>
        <w:t>E. A Supplemental Executive Retirement Plan (SERP). The SERP is designed to provide a competitive level target retirement benefit to the senior management group.</w:t>
      </w:r>
    </w:p>
    <w:p>
      <w:pPr>
        <w:spacing w:after="0" w:line="2" w:lineRule="exact"/>
        <w:rPr>
          <w:sz w:val="20"/>
          <w:szCs w:val="20"/>
          <w:color w:val="auto"/>
        </w:rPr>
      </w:pPr>
    </w:p>
    <w:p>
      <w:pPr>
        <w:jc w:val="both"/>
        <w:ind w:left="726" w:right="2899" w:hanging="274"/>
        <w:spacing w:after="0" w:line="248" w:lineRule="auto"/>
        <w:rPr>
          <w:sz w:val="20"/>
          <w:szCs w:val="20"/>
          <w:color w:val="auto"/>
        </w:rPr>
      </w:pPr>
      <w:r>
        <w:rPr>
          <w:rFonts w:ascii="Courier New" w:cs="Courier New" w:eastAsia="Courier New" w:hAnsi="Courier New"/>
          <w:sz w:val="15"/>
          <w:szCs w:val="15"/>
          <w:color w:val="auto"/>
        </w:rPr>
        <w:t>F. A severance package that in the event of a change of control during your first two years of employment, you will have the option of electing two years salary plus bonus. If you choose to remain with the successor company, two months after the change of control, this severance package option is revoked.</w:t>
      </w:r>
    </w:p>
    <w:p>
      <w:pPr>
        <w:spacing w:after="0" w:line="3"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G. A vacation allowance of four weeks per year.</w:t>
      </w:r>
    </w:p>
    <w:p>
      <w:pPr>
        <w:sectPr>
          <w:pgSz w:w="11900" w:h="16838" w:orient="portrait"/>
          <w:cols w:equalWidth="0" w:num="1">
            <w:col w:w="10225"/>
          </w:cols>
          <w:pgMar w:left="234" w:top="141" w:right="1440" w:bottom="1010" w:gutter="0" w:footer="0" w:header="0"/>
        </w:sectPr>
      </w:pPr>
    </w:p>
    <w:bookmarkStart w:id="104" w:name="page105"/>
    <w:bookmarkEnd w:id="104"/>
    <w:p>
      <w:pPr>
        <w:ind w:left="186" w:hanging="186"/>
        <w:spacing w:after="0"/>
        <w:tabs>
          <w:tab w:leader="none" w:pos="18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87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Curt Stevens July 16, 1997 Page 3</w:t>
      </w:r>
    </w:p>
    <w:p>
      <w:pPr>
        <w:spacing w:after="0" w:line="176"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As an Officer of Louisiana-Pacific, you will be eligible to participate in all salaried employee benefit programs: Health Care Coverage, Life and Accidental Death &amp; Dismemberment Insurance, Long Term Disability coverage, Personal Accident Insurance, Employee Stock Ownership Trust, and Employee Stock Purchase Plans. Please refer to the accompanying L-P Benefits Summary for more information about the company benefit programs.</w:t>
      </w:r>
    </w:p>
    <w:p>
      <w:pPr>
        <w:spacing w:after="0" w:line="352"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If you decide to accept this position and have questions regarding any of the L-P benefits, please call Dennis Christen in the Human Resources Department, Portland office at 221-0800.</w:t>
      </w:r>
    </w:p>
    <w:p>
      <w:pPr>
        <w:spacing w:after="0" w:line="176" w:lineRule="exact"/>
        <w:rPr>
          <w:sz w:val="20"/>
          <w:szCs w:val="20"/>
          <w:color w:val="auto"/>
        </w:rPr>
      </w:pPr>
    </w:p>
    <w:p>
      <w:pPr>
        <w:jc w:val="both"/>
        <w:ind w:left="6" w:right="2899"/>
        <w:spacing w:after="0" w:line="250" w:lineRule="auto"/>
        <w:rPr>
          <w:sz w:val="20"/>
          <w:szCs w:val="20"/>
          <w:color w:val="auto"/>
        </w:rPr>
      </w:pPr>
      <w:r>
        <w:rPr>
          <w:rFonts w:ascii="Courier New" w:cs="Courier New" w:eastAsia="Courier New" w:hAnsi="Courier New"/>
          <w:sz w:val="15"/>
          <w:szCs w:val="15"/>
          <w:color w:val="auto"/>
        </w:rPr>
        <w:t>I hope you will find this offer acceptable as we look forward to having you as the Chief Financial Officer at Louisiana-Pacific.</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25"/>
          </w:cols>
          <w:pgMar w:left="234" w:top="470" w:right="1440" w:bottom="1440" w:gutter="0" w:footer="0" w:header="0"/>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 Mark A. Suwyn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Mark A. Suwyn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Chairman and CEO</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Curt Stevens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Curt Stevens</w:t>
      </w:r>
    </w:p>
    <w:p>
      <w:pPr>
        <w:spacing w:after="0" w:line="182" w:lineRule="exact"/>
        <w:rPr>
          <w:sz w:val="20"/>
          <w:szCs w:val="20"/>
          <w:color w:val="auto"/>
        </w:rPr>
      </w:pPr>
    </w:p>
    <w:p>
      <w:pPr>
        <w:sectPr>
          <w:pgSz w:w="11900" w:h="16838" w:orient="portrait"/>
          <w:cols w:equalWidth="0" w:num="3">
            <w:col w:w="3946" w:space="720"/>
            <w:col w:w="840" w:space="180"/>
            <w:col w:w="4539"/>
          </w:cols>
          <w:pgMar w:left="234" w:top="470"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Enclosures</w:t>
      </w:r>
    </w:p>
    <w:p>
      <w:pPr>
        <w:spacing w:after="0" w:line="182" w:lineRule="exact"/>
        <w:rPr>
          <w:sz w:val="20"/>
          <w:szCs w:val="20"/>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cc:</w:t>
        <w:tab/>
        <w:t>Mike Tull-Portland</w:t>
      </w:r>
    </w:p>
    <w:p>
      <w:pPr>
        <w:sectPr>
          <w:pgSz w:w="11900" w:h="16838" w:orient="portrait"/>
          <w:cols w:equalWidth="0" w:num="1">
            <w:col w:w="10225"/>
          </w:cols>
          <w:pgMar w:left="234" w:top="470" w:right="1440" w:bottom="1440" w:gutter="0" w:footer="0" w:header="0"/>
          <w:type w:val="continuous"/>
        </w:sectPr>
      </w:pPr>
    </w:p>
    <w:bookmarkStart w:id="105" w:name="page106"/>
    <w:bookmarkEnd w:id="105"/>
    <w:p>
      <w:pPr>
        <w:ind w:left="2380"/>
        <w:spacing w:after="0"/>
        <w:rPr>
          <w:sz w:val="20"/>
          <w:szCs w:val="20"/>
          <w:color w:val="auto"/>
        </w:rPr>
      </w:pPr>
      <w:r>
        <w:rPr>
          <w:rFonts w:ascii="Courier New" w:cs="Courier New" w:eastAsia="Courier New" w:hAnsi="Courier New"/>
          <w:sz w:val="15"/>
          <w:szCs w:val="15"/>
          <w:color w:val="auto"/>
        </w:rPr>
        <w:t>LOUISIANA-PACIFIC CORPORATION</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EXECUTIVE DEFERRED COMPENSATION PLAN</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Effective May 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529"/>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I--PURPOSE; EFFECTIVE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2"/>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II--DEFINITIONS........................................................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2"/>
        </w:trPr>
        <w:tc>
          <w:tcPr>
            <w:tcW w:w="3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Account....................................................................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Acquiring Person...........................................................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Actuarial Equivalent.......................................................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Beneficiary................................................................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Board......................................................................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Change in Control..........................................................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Committee..................................................................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Corporation................................................................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2.10</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Deferral Commitment.......................................................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2.11</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Deferral Period...........................................................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2.12</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Determination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2.13</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Disability................................................................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2.14</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Early Retirement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2.15</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Elective Deferred 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2.16</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Employee..................................................................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2.17</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Employer..................................................................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2.18</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Employer Plans............................................................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2.19</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Employment................................................................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2.20</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Financial Hardship........................................................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2.21</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2.22</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Normal Retirement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2.23</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Participant...............................................................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2.24</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Participation Agreement...................................................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2.25</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Plan Benefit..............................................................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2.26</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Qualified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2.27</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Retirement................................................................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2.28</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8"/>
              </w:rPr>
              <w:t>Years of Service..........................................................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2"/>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ARTICLE III--PARTICIPATION AND DEFERRAL COMMITMENTS............................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2"/>
        </w:trPr>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Eligibility and Participation..............................................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Form of Deferral; Minimum Deferral.........................................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Elections for Part Years...................................................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Limitation on Deferral.....................................................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Modification of Deferral Commitment........................................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Cessation of Eligibility...................................................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bl>
    <w:p>
      <w:pPr>
        <w:spacing w:after="0" w:line="181"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42" w:right="1440" w:bottom="1440" w:gutter="0" w:footer="0" w:header="0"/>
        </w:sectPr>
      </w:pPr>
    </w:p>
    <w:bookmarkStart w:id="106" w:name="page107"/>
    <w:bookmarkEnd w:id="106"/>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PAGE</w:t>
      </w:r>
    </w:p>
    <w:p>
      <w:pPr>
        <w:spacing w:after="0" w:line="182"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ARTICLE IV--DEFERRED COMPENSATION ACCOUNT</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4.1 Accounts</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4.2 Elective Deferred Compensation</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4.3 Qualified Plan Makeup Credit</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4.4 Interest</w:t>
      </w:r>
      <w:r>
        <w:rPr>
          <w:sz w:val="20"/>
          <w:szCs w:val="20"/>
          <w:color w:val="auto"/>
        </w:rPr>
        <w:tab/>
      </w:r>
      <w:r>
        <w:rPr>
          <w:rFonts w:ascii="Courier New" w:cs="Courier New" w:eastAsia="Courier New" w:hAnsi="Courier New"/>
          <w:sz w:val="13"/>
          <w:szCs w:val="13"/>
          <w:color w:val="auto"/>
        </w:rPr>
        <w:t>8</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4.5 Determination of Accounts</w:t>
      </w:r>
      <w:r>
        <w:rPr>
          <w:sz w:val="20"/>
          <w:szCs w:val="20"/>
          <w:color w:val="auto"/>
        </w:rPr>
        <w:tab/>
      </w:r>
      <w:r>
        <w:rPr>
          <w:rFonts w:ascii="Courier New" w:cs="Courier New" w:eastAsia="Courier New" w:hAnsi="Courier New"/>
          <w:sz w:val="13"/>
          <w:szCs w:val="13"/>
          <w:color w:val="auto"/>
        </w:rPr>
        <w:t>8</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4.6 Vesting of Accounts</w:t>
      </w:r>
      <w:r>
        <w:rPr>
          <w:sz w:val="20"/>
          <w:szCs w:val="20"/>
          <w:color w:val="auto"/>
        </w:rPr>
        <w:tab/>
      </w:r>
      <w:r>
        <w:rPr>
          <w:rFonts w:ascii="Courier New" w:cs="Courier New" w:eastAsia="Courier New" w:hAnsi="Courier New"/>
          <w:sz w:val="13"/>
          <w:szCs w:val="13"/>
          <w:color w:val="auto"/>
        </w:rPr>
        <w:t>8</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4.7 Statement of Accounts</w:t>
      </w:r>
      <w:r>
        <w:rPr>
          <w:sz w:val="20"/>
          <w:szCs w:val="20"/>
          <w:color w:val="auto"/>
        </w:rPr>
        <w:tab/>
      </w:r>
      <w:r>
        <w:rPr>
          <w:rFonts w:ascii="Courier New" w:cs="Courier New" w:eastAsia="Courier New" w:hAnsi="Courier New"/>
          <w:sz w:val="13"/>
          <w:szCs w:val="13"/>
          <w:color w:val="auto"/>
        </w:rPr>
        <w:t>8</w:t>
      </w:r>
    </w:p>
    <w:p>
      <w:pPr>
        <w:spacing w:after="0" w:line="182"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ARTICLE V--PLAN BENEFITS</w:t>
      </w:r>
      <w:r>
        <w:rPr>
          <w:sz w:val="20"/>
          <w:szCs w:val="20"/>
          <w:color w:val="auto"/>
        </w:rPr>
        <w:tab/>
      </w:r>
      <w:r>
        <w:rPr>
          <w:rFonts w:ascii="Courier New" w:cs="Courier New" w:eastAsia="Courier New" w:hAnsi="Courier New"/>
          <w:sz w:val="13"/>
          <w:szCs w:val="13"/>
          <w:color w:val="auto"/>
        </w:rPr>
        <w:t>8</w:t>
      </w:r>
    </w:p>
    <w:p>
      <w:pPr>
        <w:spacing w:after="0" w:line="182"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5.1 Retirement Benefit</w:t>
      </w:r>
      <w:r>
        <w:rPr>
          <w:sz w:val="20"/>
          <w:szCs w:val="20"/>
          <w:color w:val="auto"/>
        </w:rPr>
        <w:tab/>
      </w:r>
      <w:r>
        <w:rPr>
          <w:rFonts w:ascii="Courier New" w:cs="Courier New" w:eastAsia="Courier New" w:hAnsi="Courier New"/>
          <w:sz w:val="13"/>
          <w:szCs w:val="13"/>
          <w:color w:val="auto"/>
        </w:rPr>
        <w:t>8</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5.2 Termination Benefit</w:t>
      </w:r>
      <w:r>
        <w:rPr>
          <w:sz w:val="20"/>
          <w:szCs w:val="20"/>
          <w:color w:val="auto"/>
        </w:rPr>
        <w:tab/>
      </w:r>
      <w:r>
        <w:rPr>
          <w:rFonts w:ascii="Courier New" w:cs="Courier New" w:eastAsia="Courier New" w:hAnsi="Courier New"/>
          <w:sz w:val="13"/>
          <w:szCs w:val="13"/>
          <w:color w:val="auto"/>
        </w:rPr>
        <w:t>8</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5.3 Death Benefit</w:t>
      </w:r>
      <w:r>
        <w:rPr>
          <w:sz w:val="20"/>
          <w:szCs w:val="20"/>
          <w:color w:val="auto"/>
        </w:rPr>
        <w:tab/>
      </w:r>
      <w:r>
        <w:rPr>
          <w:rFonts w:ascii="Courier New" w:cs="Courier New" w:eastAsia="Courier New" w:hAnsi="Courier New"/>
          <w:sz w:val="13"/>
          <w:szCs w:val="13"/>
          <w:color w:val="auto"/>
        </w:rPr>
        <w:t>9</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5.4 In-Service Withdrawals</w:t>
      </w:r>
      <w:r>
        <w:rPr>
          <w:sz w:val="20"/>
          <w:szCs w:val="20"/>
          <w:color w:val="auto"/>
        </w:rPr>
        <w:tab/>
      </w:r>
      <w:r>
        <w:rPr>
          <w:rFonts w:ascii="Courier New" w:cs="Courier New" w:eastAsia="Courier New" w:hAnsi="Courier New"/>
          <w:sz w:val="13"/>
          <w:szCs w:val="13"/>
          <w:color w:val="auto"/>
        </w:rPr>
        <w:t>9</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5.5 Hardship Distributions</w:t>
      </w:r>
      <w:r>
        <w:rPr>
          <w:sz w:val="20"/>
          <w:szCs w:val="20"/>
          <w:color w:val="auto"/>
        </w:rPr>
        <w:tab/>
      </w:r>
      <w:r>
        <w:rPr>
          <w:rFonts w:ascii="Courier New" w:cs="Courier New" w:eastAsia="Courier New" w:hAnsi="Courier New"/>
          <w:sz w:val="13"/>
          <w:szCs w:val="13"/>
          <w:color w:val="auto"/>
        </w:rPr>
        <w:t>9</w:t>
      </w:r>
    </w:p>
    <w:p>
      <w:pPr>
        <w:spacing w:after="0" w:line="6"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5"/>
          <w:szCs w:val="15"/>
          <w:color w:val="auto"/>
        </w:rPr>
        <w:t>5.6 Form of Benefit Payment</w:t>
      </w:r>
      <w:r>
        <w:rPr>
          <w:sz w:val="20"/>
          <w:szCs w:val="20"/>
          <w:color w:val="auto"/>
        </w:rPr>
        <w:tab/>
      </w:r>
      <w:r>
        <w:rPr>
          <w:rFonts w:ascii="Courier New" w:cs="Courier New" w:eastAsia="Courier New" w:hAnsi="Courier New"/>
          <w:sz w:val="13"/>
          <w:szCs w:val="13"/>
          <w:color w:val="auto"/>
        </w:rPr>
        <w:t>9</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5.7 Small Accounts</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5.8 Accelerated Distribution</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5.9 Excise Tax and Lost Benefit Makeup</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5.10 Withholding; Payroll Taxes</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5.11 Payment to Guardian</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ARTICLE VI--BENEFICIARY DESIGNATION</w:t>
      </w:r>
      <w:r>
        <w:rPr>
          <w:sz w:val="20"/>
          <w:szCs w:val="20"/>
          <w:color w:val="auto"/>
        </w:rPr>
        <w:tab/>
      </w:r>
      <w:r>
        <w:rPr>
          <w:rFonts w:ascii="Courier New" w:cs="Courier New" w:eastAsia="Courier New" w:hAnsi="Courier New"/>
          <w:sz w:val="15"/>
          <w:szCs w:val="15"/>
          <w:color w:val="auto"/>
        </w:rPr>
        <w:t>11</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6.1 Beneficiary Designation</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6.2 Changing Beneficiary</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6.3 Community Property</w:t>
      </w:r>
      <w:r>
        <w:rPr>
          <w:sz w:val="20"/>
          <w:szCs w:val="20"/>
          <w:color w:val="auto"/>
        </w:rPr>
        <w:tab/>
      </w:r>
      <w:r>
        <w:rPr>
          <w:rFonts w:ascii="Courier New" w:cs="Courier New" w:eastAsia="Courier New" w:hAnsi="Courier New"/>
          <w:sz w:val="15"/>
          <w:szCs w:val="15"/>
          <w:color w:val="auto"/>
        </w:rPr>
        <w:t>11</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6.4 No Beneficiary Designation</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6.5 Effect of Payment</w:t>
      </w:r>
      <w:r>
        <w:rPr>
          <w:sz w:val="20"/>
          <w:szCs w:val="20"/>
          <w:color w:val="auto"/>
        </w:rPr>
        <w:tab/>
      </w:r>
      <w:r>
        <w:rPr>
          <w:rFonts w:ascii="Courier New" w:cs="Courier New" w:eastAsia="Courier New" w:hAnsi="Courier New"/>
          <w:sz w:val="15"/>
          <w:szCs w:val="15"/>
          <w:color w:val="auto"/>
        </w:rPr>
        <w:t>12</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ARTICLE VII--ADMINISTRATION</w:t>
      </w:r>
      <w:r>
        <w:rPr>
          <w:sz w:val="20"/>
          <w:szCs w:val="20"/>
          <w:color w:val="auto"/>
        </w:rPr>
        <w:tab/>
      </w:r>
      <w:r>
        <w:rPr>
          <w:rFonts w:ascii="Courier New" w:cs="Courier New" w:eastAsia="Courier New" w:hAnsi="Courier New"/>
          <w:sz w:val="15"/>
          <w:szCs w:val="15"/>
          <w:color w:val="auto"/>
        </w:rPr>
        <w:t>12</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7.1 Committee; Duties</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7.2 Agents</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7.3 Binding Effect of Decisions</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7.4 Indemnity of Committee</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ARTICLE VIII--CLAIMS PROCEDURE</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dot" w:pos="7120" w:val="left"/>
        </w:tabs>
        <w:rPr>
          <w:sz w:val="20"/>
          <w:szCs w:val="20"/>
          <w:color w:val="auto"/>
        </w:rPr>
      </w:pPr>
      <w:r>
        <w:rPr>
          <w:rFonts w:ascii="Courier New" w:cs="Courier New" w:eastAsia="Courier New" w:hAnsi="Courier New"/>
          <w:sz w:val="15"/>
          <w:szCs w:val="15"/>
          <w:color w:val="auto"/>
        </w:rPr>
        <w:t>8.1 Claim</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46"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60" w:type="dxa"/>
            <w:vAlign w:val="bottom"/>
          </w:tcPr>
          <w:p>
            <w:pPr>
              <w:jc w:val="right"/>
              <w:ind w:right="2404"/>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352"/>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Denial of Claim...........................................................</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Review of Claim...........................................................</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8.4</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Final Decision............................................................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52"/>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ARTICLE IX--AMENDMENT AND TERMINATION OF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52"/>
        </w:trPr>
        <w:tc>
          <w:tcPr>
            <w:tcW w:w="32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Amendment.................................................................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6"/>
        </w:trPr>
        <w:tc>
          <w:tcPr>
            <w:tcW w:w="32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6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Employer's Right to Terminate.............................................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52"/>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ARTICLE X--MISCELLANEOUS......................................................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2"/>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10.1</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Unfunded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10.2</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Unsecured General Creditor...............................................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10.3</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Trust Fund...............................................................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10.4</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Nonassignability.........................................................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10.5</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Not a Contract of Employment.............................................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10.6</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Protective Provisions....................................................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10.7</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Terms....................................................................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10.8</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Captions.................................................................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10.9</w:t>
            </w:r>
          </w:p>
        </w:tc>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Governing Law; Arbitration...............................................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10.10 Validity................................................................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10.11 Notice..................................................................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10.12 Successors..............................................................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181"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46" w:right="1440" w:bottom="1440" w:gutter="0" w:footer="0" w:header="0"/>
        </w:sectPr>
      </w:pPr>
    </w:p>
    <w:bookmarkStart w:id="108" w:name="page109"/>
    <w:bookmarkEnd w:id="108"/>
    <w:p>
      <w:pPr>
        <w:ind w:left="2380"/>
        <w:spacing w:after="0"/>
        <w:rPr>
          <w:sz w:val="20"/>
          <w:szCs w:val="20"/>
          <w:color w:val="auto"/>
        </w:rPr>
      </w:pPr>
      <w:r>
        <w:rPr>
          <w:rFonts w:ascii="Courier New" w:cs="Courier New" w:eastAsia="Courier New" w:hAnsi="Courier New"/>
          <w:sz w:val="15"/>
          <w:szCs w:val="15"/>
          <w:color w:val="auto"/>
        </w:rPr>
        <w:t>LOUISIANA-PACIFIC CORPORATION</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EXECUTIVE DEFERRED COMPENSATION PLAN</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I--PURPOSE; EFFECTIVE DATE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purpose of this Executive Deferred Compensation Plan (the "Plan") is to provide current tax planning opportunities as well as supplemental funds for retirement or death for selected employees of Louisiana-Pacific Corporation (the "Corporation"). It is intended that the Plan will aid in attracting and retaining employees of exceptional ability by providing them with these benefits. The Plan shall be effective as of May 1, 1997.</w:t>
      </w:r>
    </w:p>
    <w:p>
      <w:pPr>
        <w:spacing w:after="0" w:line="17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ARTICLE II--DEFINITIONS</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For the purposes of this Plan, the following terms shall have the meanings indicated unless the context clearly indicates otherwise: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ACCOUNT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"Account" means the Retirement Account or the Moody's Account, where appropriate, as maintained by the Employer in accordance with Article IV with respect to any deferral of Compensation pursuant to this Plan. A Participant's Retirement Account or Moody's Account shall be utilized solely as a device for the determination and measurement of the amounts to be paid to the Participant pursuant to the Plan. A Participant's Account shall not constitute or be treated as a trust fund of any kind.</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ACQUIRING PERSON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"Acquiring Person" means any person or related person or related persons which constitute a "group" for purposes of Section 13(d) and Rule 13d-5 under the Securities Exchange Act of 1934 (the "Exchange Act"), as such Section and Rule are in effect as of the Grant Date; provided, however, that the term Acquiring Person shall not include:</w:t>
      </w:r>
    </w:p>
    <w:p>
      <w:pPr>
        <w:spacing w:after="0" w:line="176" w:lineRule="exact"/>
        <w:rPr>
          <w:sz w:val="20"/>
          <w:szCs w:val="20"/>
          <w:color w:val="auto"/>
        </w:rPr>
      </w:pPr>
    </w:p>
    <w:p>
      <w:pPr>
        <w:ind w:left="1640" w:hanging="363"/>
        <w:spacing w:after="0"/>
        <w:tabs>
          <w:tab w:leader="none" w:pos="16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or any of its Subsidiaries;</w:t>
      </w:r>
    </w:p>
    <w:p>
      <w:pPr>
        <w:spacing w:after="0" w:line="182"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employee benefit plan or related trust of Corporation or any of its Subsidiaries;</w:t>
      </w:r>
    </w:p>
    <w:p>
      <w:pPr>
        <w:spacing w:after="0" w:line="174"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entity holding voting capital stock of Corporation for or pursuant to the terms of any such employee benefit plan; or</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solely because such person or group has voting power with respect to capital stock of Corporation arising from a revocable proxy or consent given in response to a public proxy or consent solicitation made pursuant to the Exchange Act.</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ACTUARIAL EQUIVALENT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1 - EXECUTIVE DEFERRED COMPENSATION PLAN</w:t>
      </w:r>
    </w:p>
    <w:p>
      <w:pPr>
        <w:sectPr>
          <w:pgSz w:w="11900" w:h="16838" w:orient="portrait"/>
          <w:cols w:equalWidth="0" w:num="1">
            <w:col w:w="10219"/>
          </w:cols>
          <w:pgMar w:left="240" w:top="647" w:right="1440" w:bottom="1440" w:gutter="0" w:footer="0" w:header="0"/>
        </w:sectPr>
      </w:pPr>
    </w:p>
    <w:bookmarkStart w:id="109" w:name="page110"/>
    <w:bookmarkEnd w:id="109"/>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"Actuarial Equivalent" means equivalence in value between two (2) or more forms and/or times of payment based on a determination by an actuary chosen by the Corporation, using sound actuarial assumptions at the time of such determination.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BENEFICIARY</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"Beneficiary" means the person, persons or entity entitled under Article VI to receive any Plan benefits payable after a Participant's death.</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BOARD</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"Board" means the Board of Directors of the Corporation.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CHANGE IN CONTROL</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 "Change in Control" shall occur upon:</w:t>
      </w:r>
    </w:p>
    <w:p>
      <w:pPr>
        <w:spacing w:after="0" w:line="182" w:lineRule="exact"/>
        <w:rPr>
          <w:sz w:val="20"/>
          <w:szCs w:val="20"/>
          <w:color w:val="auto"/>
        </w:rPr>
      </w:pPr>
    </w:p>
    <w:p>
      <w:pPr>
        <w:jc w:val="both"/>
        <w:ind w:left="820" w:right="2899" w:firstLine="457"/>
        <w:spacing w:after="0" w:line="249" w:lineRule="auto"/>
        <w:tabs>
          <w:tab w:leader="none" w:pos="17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Acquiring Person of beneficial ownership (within the meaning of Rule 13d-3 under the Exchange Act) of twenty percent (20%) or more of the combined voting power of the then outstanding Voting Securities; provided, however, that for purposes of this paragraph (a), the following acquisitions will not constitute a Change in Control:</w:t>
      </w:r>
    </w:p>
    <w:p>
      <w:pPr>
        <w:spacing w:after="0" w:line="175" w:lineRule="exact"/>
        <w:rPr>
          <w:rFonts w:ascii="Courier New" w:cs="Courier New" w:eastAsia="Courier New" w:hAnsi="Courier New"/>
          <w:sz w:val="15"/>
          <w:szCs w:val="15"/>
          <w:color w:val="auto"/>
        </w:rPr>
      </w:pPr>
    </w:p>
    <w:p>
      <w:pPr>
        <w:ind w:left="2380" w:hanging="645"/>
        <w:spacing w:after="0"/>
        <w:tabs>
          <w:tab w:leader="none" w:pos="238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directly from Corporation;</w:t>
      </w:r>
    </w:p>
    <w:p>
      <w:pPr>
        <w:spacing w:after="0" w:line="182" w:lineRule="exact"/>
        <w:rPr>
          <w:rFonts w:ascii="Courier New" w:cs="Courier New" w:eastAsia="Courier New" w:hAnsi="Courier New"/>
          <w:sz w:val="15"/>
          <w:szCs w:val="15"/>
          <w:color w:val="auto"/>
        </w:rPr>
      </w:pPr>
    </w:p>
    <w:p>
      <w:pPr>
        <w:ind w:left="2380" w:hanging="645"/>
        <w:spacing w:after="0"/>
        <w:tabs>
          <w:tab w:leader="none" w:pos="238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Corporation;</w:t>
      </w:r>
    </w:p>
    <w:p>
      <w:pPr>
        <w:spacing w:after="0" w:line="182" w:lineRule="exact"/>
        <w:rPr>
          <w:rFonts w:ascii="Courier New" w:cs="Courier New" w:eastAsia="Courier New" w:hAnsi="Courier New"/>
          <w:sz w:val="15"/>
          <w:szCs w:val="15"/>
          <w:color w:val="auto"/>
        </w:rPr>
      </w:pPr>
    </w:p>
    <w:p>
      <w:pPr>
        <w:ind w:left="1280" w:right="2899" w:firstLine="455"/>
        <w:spacing w:after="0" w:line="249" w:lineRule="auto"/>
        <w:tabs>
          <w:tab w:leader="none" w:pos="2379"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any employee benefit plan (or related trust) sponsored or maintained by Corporation or any corporation controlled by Corporation; or</w:t>
      </w:r>
    </w:p>
    <w:p>
      <w:pPr>
        <w:spacing w:after="0" w:line="175" w:lineRule="exact"/>
        <w:rPr>
          <w:rFonts w:ascii="Courier New" w:cs="Courier New" w:eastAsia="Courier New" w:hAnsi="Courier New"/>
          <w:sz w:val="15"/>
          <w:szCs w:val="15"/>
          <w:color w:val="auto"/>
        </w:rPr>
      </w:pPr>
    </w:p>
    <w:p>
      <w:pPr>
        <w:jc w:val="both"/>
        <w:ind w:left="1280" w:right="2899" w:firstLine="455"/>
        <w:spacing w:after="0" w:line="249" w:lineRule="auto"/>
        <w:tabs>
          <w:tab w:leader="none" w:pos="2379"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by any corporation pursuant to a transaction that complies with clauses (i), (ii), and (iii) of paragraph (c) of this definition of Change in Control; or</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8" w:lineRule="auto"/>
        <w:tabs>
          <w:tab w:leader="none" w:pos="164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twelve (12) consecutive calendar months, individuals who at the beginning of such period constitute the Board (the "Incumbent Board") cease for any reason to constitute at least a majority of the Board; provided, however, that any individual who becomes a director during the period whose election, or nomination for election, by Corporation's shareholders was approved by a vote of at least a majority of the directors then constituting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3"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or sale or other disposition of all or substantially all of the assets of Corporation (a "Business Combination") in each case, unless, following such Business Combination: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2 - EXECUTIVE DEFERRED COMPENSATION PLAN</w:t>
      </w:r>
    </w:p>
    <w:p>
      <w:pPr>
        <w:sectPr>
          <w:pgSz w:w="11900" w:h="16838" w:orient="portrait"/>
          <w:cols w:equalWidth="0" w:num="1">
            <w:col w:w="10219"/>
          </w:cols>
          <w:pgMar w:left="240" w:top="647" w:right="1440" w:bottom="1440" w:gutter="0" w:footer="0" w:header="0"/>
        </w:sectPr>
      </w:pPr>
    </w:p>
    <w:bookmarkStart w:id="110" w:name="page111"/>
    <w:bookmarkEnd w:id="110"/>
    <w:p>
      <w:pPr>
        <w:jc w:val="both"/>
        <w:ind w:left="1280" w:right="2899" w:firstLine="455"/>
        <w:spacing w:after="0" w:line="248" w:lineRule="auto"/>
        <w:tabs>
          <w:tab w:leader="none" w:pos="2288"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substantially all of the individuals and entities who were the beneficial owners of the Voting Securities outstanding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Corporation or all or substantially all of Corporation's assets either directly or through one (1) or more subsidiaries) in substantially the same proportions as their ownership, immediately prior to such Business Combination, of the Voting Securities;</w:t>
      </w:r>
    </w:p>
    <w:p>
      <w:pPr>
        <w:spacing w:after="0" w:line="184" w:lineRule="exact"/>
        <w:rPr>
          <w:rFonts w:ascii="Courier New" w:cs="Courier New" w:eastAsia="Courier New" w:hAnsi="Courier New"/>
          <w:sz w:val="15"/>
          <w:szCs w:val="15"/>
          <w:color w:val="auto"/>
        </w:rPr>
      </w:pPr>
    </w:p>
    <w:p>
      <w:pPr>
        <w:jc w:val="both"/>
        <w:ind w:left="1280" w:right="2899" w:firstLine="455"/>
        <w:spacing w:after="0" w:line="249" w:lineRule="auto"/>
        <w:tabs>
          <w:tab w:leader="none" w:pos="2288"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(excluding any employee benefit plan, or related trust, of Corporation or such corporation resulting from such Business Combination) beneficially owns, directly or indirectly, twenty percent (20%)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w:t>
      </w:r>
    </w:p>
    <w:p>
      <w:pPr>
        <w:spacing w:after="0" w:line="175" w:lineRule="exact"/>
        <w:rPr>
          <w:rFonts w:ascii="Courier New" w:cs="Courier New" w:eastAsia="Courier New" w:hAnsi="Courier New"/>
          <w:sz w:val="15"/>
          <w:szCs w:val="15"/>
          <w:color w:val="auto"/>
        </w:rPr>
      </w:pPr>
    </w:p>
    <w:p>
      <w:pPr>
        <w:jc w:val="both"/>
        <w:ind w:left="1280" w:right="2899" w:firstLine="455"/>
        <w:spacing w:after="0" w:line="249" w:lineRule="auto"/>
        <w:tabs>
          <w:tab w:leader="none" w:pos="2288"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75"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Corporation of any plan or proposal for the liquidation or dissolution of Corporation.</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COMMITTEE</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"Committee" means the Committee appointed by the Chief Executive Officer to administer the Plan pursuant to Article VII.</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COMPENSATION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"Compensation" means total cash compensation, including bonuses paid by the Employer, and before reduction for amounts deferred under the Plan or any tax qualified plan sponsored by the Employer which permits deferral of current compensation. Compensation does not include expense reimbursements, overtime, any form of noncash compensation or benefits.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CORPORATION</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"Corporation" means Louisiana-Pacific Corporation, a Delaware corporation, or any successor to the business thereof.</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DEFERRAL COMMITMENT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"Deferral Commitment" means a Salary Deferral Commitment or a Bonus Deferral Commitment made by a Participant pursuant to Article III and for which a Participation Agreement has been submitted by the Participant to the Committee.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3 - EXECUTIVE DEFERRED COMPENSATION PLAN</w:t>
      </w:r>
    </w:p>
    <w:p>
      <w:pPr>
        <w:sectPr>
          <w:pgSz w:w="11900" w:h="16838" w:orient="portrait"/>
          <w:cols w:equalWidth="0" w:num="1">
            <w:col w:w="10219"/>
          </w:cols>
          <w:pgMar w:left="240" w:top="646" w:right="1440" w:bottom="1440" w:gutter="0" w:footer="0" w:header="0"/>
        </w:sectPr>
      </w:pPr>
    </w:p>
    <w:bookmarkStart w:id="111" w:name="page112"/>
    <w:bookmarkEnd w:id="111"/>
    <w:p>
      <w:pPr>
        <w:ind w:left="6"/>
        <w:spacing w:after="0"/>
        <w:tabs>
          <w:tab w:leader="none" w:pos="806"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DEFERRAL PERIOD</w:t>
      </w:r>
    </w:p>
    <w:p>
      <w:pPr>
        <w:spacing w:after="0" w:line="182" w:lineRule="exact"/>
        <w:rPr>
          <w:sz w:val="20"/>
          <w:szCs w:val="20"/>
          <w:color w:val="auto"/>
        </w:rPr>
      </w:pPr>
    </w:p>
    <w:p>
      <w:pPr>
        <w:ind w:left="6" w:right="2899" w:firstLine="824"/>
        <w:spacing w:after="0" w:line="248" w:lineRule="auto"/>
        <w:rPr>
          <w:sz w:val="20"/>
          <w:szCs w:val="20"/>
          <w:color w:val="auto"/>
        </w:rPr>
      </w:pPr>
      <w:r>
        <w:rPr>
          <w:rFonts w:ascii="Courier New" w:cs="Courier New" w:eastAsia="Courier New" w:hAnsi="Courier New"/>
          <w:sz w:val="15"/>
          <w:szCs w:val="15"/>
          <w:color w:val="auto"/>
        </w:rPr>
        <w:t>"Deferral Period" means the period over which a Participant has elected to defer a portion of his or her Compensation. The Deferral Period shall be one</w:t>
      </w:r>
    </w:p>
    <w:p>
      <w:pPr>
        <w:spacing w:after="0" w:line="1" w:lineRule="exact"/>
        <w:rPr>
          <w:sz w:val="20"/>
          <w:szCs w:val="20"/>
          <w:color w:val="auto"/>
        </w:rPr>
      </w:pPr>
    </w:p>
    <w:p>
      <w:pPr>
        <w:jc w:val="both"/>
        <w:ind w:left="6" w:right="2899" w:hanging="6"/>
        <w:spacing w:after="0" w:line="249" w:lineRule="auto"/>
        <w:tabs>
          <w:tab w:leader="none" w:pos="46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calendar year for a Salary Deferral Commitment, or a Bonus Deferral Commitment. The Deferral Period may be modified pursuant to Section 3.3 or Section 3.5.</w:t>
      </w:r>
    </w:p>
    <w:p>
      <w:pPr>
        <w:spacing w:after="0" w:line="17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DETERMINATION DATE</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"Determination Date" means the last day of each calendar month.</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5"/>
          <w:szCs w:val="15"/>
          <w:color w:val="auto"/>
        </w:rPr>
        <w:t>DISABILITY</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"Disability" means a physical or mental condition which, in the opinion of the Committee, prevents an Employee from satisfactorily performing Employee's usual duties for Employer. The Committee's decision as to Disability will be based upon medical reports and/or other evidence satisfactory to the Committee.</w:t>
      </w:r>
    </w:p>
    <w:p>
      <w:pPr>
        <w:spacing w:after="0" w:line="17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EARLY RETIREMENT DATE</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"Early Retirement Date" means the date prior to a Participant's Normal Retirement Date on which the Participant actually terminates Employment following the attainment of age fifty-five (55) and completion of five (5) Years of Service.</w:t>
      </w:r>
    </w:p>
    <w:p>
      <w:pPr>
        <w:spacing w:after="0" w:line="17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5"/>
          <w:szCs w:val="15"/>
          <w:color w:val="auto"/>
        </w:rPr>
        <w:t>ELECTIVE DEFERRED COMPENSATION</w:t>
      </w:r>
    </w:p>
    <w:p>
      <w:pPr>
        <w:spacing w:after="0" w:line="182" w:lineRule="exact"/>
        <w:rPr>
          <w:sz w:val="20"/>
          <w:szCs w:val="20"/>
          <w:color w:val="auto"/>
        </w:rPr>
      </w:pPr>
    </w:p>
    <w:p>
      <w:pPr>
        <w:jc w:val="both"/>
        <w:ind w:left="6" w:right="2899" w:firstLine="824"/>
        <w:spacing w:after="0" w:line="250" w:lineRule="auto"/>
        <w:rPr>
          <w:sz w:val="20"/>
          <w:szCs w:val="20"/>
          <w:color w:val="auto"/>
        </w:rPr>
      </w:pPr>
      <w:r>
        <w:rPr>
          <w:rFonts w:ascii="Courier New" w:cs="Courier New" w:eastAsia="Courier New" w:hAnsi="Courier New"/>
          <w:sz w:val="15"/>
          <w:szCs w:val="15"/>
          <w:color w:val="auto"/>
        </w:rPr>
        <w:t>"Elective Deferred Compensation" means the amount of Compensation that a Participant elects to defer pursuant to a Deferral Commitment.</w:t>
      </w:r>
    </w:p>
    <w:p>
      <w:pPr>
        <w:spacing w:after="0" w:line="175"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5"/>
          <w:szCs w:val="15"/>
          <w:color w:val="auto"/>
        </w:rPr>
        <w:t>EMPLOYEE</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"Employee" shall mean a person, other than an independent contractor, who is receiving remuneration for services rendered to, or labor performed for, the Employer (or who would be receiving such remuneration except for an authorized leave of absence) with respect to such person's duties as a key employee of the Employer as determined by the Committee under Article III.</w:t>
      </w:r>
    </w:p>
    <w:p>
      <w:pPr>
        <w:spacing w:after="0" w:line="17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2.17</w:t>
      </w:r>
      <w:r>
        <w:rPr>
          <w:sz w:val="20"/>
          <w:szCs w:val="20"/>
          <w:color w:val="auto"/>
        </w:rPr>
        <w:tab/>
      </w:r>
      <w:r>
        <w:rPr>
          <w:rFonts w:ascii="Courier New" w:cs="Courier New" w:eastAsia="Courier New" w:hAnsi="Courier New"/>
          <w:sz w:val="15"/>
          <w:szCs w:val="15"/>
          <w:color w:val="auto"/>
        </w:rPr>
        <w:t>EMPLOYER</w:t>
      </w:r>
    </w:p>
    <w:p>
      <w:pPr>
        <w:spacing w:after="0" w:line="182" w:lineRule="exact"/>
        <w:rPr>
          <w:sz w:val="20"/>
          <w:szCs w:val="20"/>
          <w:color w:val="auto"/>
        </w:rPr>
      </w:pPr>
    </w:p>
    <w:p>
      <w:pPr>
        <w:jc w:val="both"/>
        <w:ind w:left="6" w:right="2899" w:firstLine="824"/>
        <w:spacing w:after="0" w:line="249" w:lineRule="auto"/>
        <w:rPr>
          <w:sz w:val="20"/>
          <w:szCs w:val="20"/>
          <w:color w:val="auto"/>
        </w:rPr>
      </w:pPr>
      <w:r>
        <w:rPr>
          <w:rFonts w:ascii="Courier New" w:cs="Courier New" w:eastAsia="Courier New" w:hAnsi="Courier New"/>
          <w:sz w:val="15"/>
          <w:szCs w:val="15"/>
          <w:color w:val="auto"/>
        </w:rPr>
        <w:t>"Employer" means the Corporation and any affiliated or subsidiary corporation of the Corporation which is incorporated under the laws of any state of the United States.</w:t>
      </w:r>
    </w:p>
    <w:p>
      <w:pPr>
        <w:spacing w:after="0" w:line="17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2.18</w:t>
      </w:r>
      <w:r>
        <w:rPr>
          <w:sz w:val="20"/>
          <w:szCs w:val="20"/>
          <w:color w:val="auto"/>
        </w:rPr>
        <w:tab/>
      </w:r>
      <w:r>
        <w:rPr>
          <w:rFonts w:ascii="Courier New" w:cs="Courier New" w:eastAsia="Courier New" w:hAnsi="Courier New"/>
          <w:sz w:val="15"/>
          <w:szCs w:val="15"/>
          <w:color w:val="auto"/>
        </w:rPr>
        <w:t>EMPLOYER PLANS</w:t>
      </w:r>
    </w:p>
    <w:p>
      <w:pPr>
        <w:spacing w:after="0" w:line="182" w:lineRule="exact"/>
        <w:rPr>
          <w:sz w:val="20"/>
          <w:szCs w:val="20"/>
          <w:color w:val="auto"/>
        </w:rPr>
      </w:pPr>
    </w:p>
    <w:p>
      <w:pPr>
        <w:jc w:val="both"/>
        <w:ind w:left="6" w:right="2899" w:firstLine="824"/>
        <w:spacing w:after="0" w:line="250" w:lineRule="auto"/>
        <w:rPr>
          <w:sz w:val="20"/>
          <w:szCs w:val="20"/>
          <w:color w:val="auto"/>
        </w:rPr>
      </w:pPr>
      <w:r>
        <w:rPr>
          <w:rFonts w:ascii="Courier New" w:cs="Courier New" w:eastAsia="Courier New" w:hAnsi="Courier New"/>
          <w:sz w:val="15"/>
          <w:szCs w:val="15"/>
          <w:color w:val="auto"/>
        </w:rPr>
        <w:t>"Employer Plans" shall mean any employee benefit plan or contract from which benefits may be payable to the Participant.</w:t>
      </w:r>
    </w:p>
    <w:p>
      <w:pPr>
        <w:spacing w:after="0" w:line="175"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2.19</w:t>
      </w:r>
      <w:r>
        <w:rPr>
          <w:sz w:val="20"/>
          <w:szCs w:val="20"/>
          <w:color w:val="auto"/>
        </w:rPr>
        <w:tab/>
      </w:r>
      <w:r>
        <w:rPr>
          <w:rFonts w:ascii="Courier New" w:cs="Courier New" w:eastAsia="Courier New" w:hAnsi="Courier New"/>
          <w:sz w:val="15"/>
          <w:szCs w:val="15"/>
          <w:color w:val="auto"/>
        </w:rPr>
        <w:t>EMPLOYMENT</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"Employment" means a Participant's ongoing service with the Employer.</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PAGE 4 - EXECUTIVE DEFERRED COMPENSATION PLAN</w:t>
      </w:r>
    </w:p>
    <w:p>
      <w:pPr>
        <w:sectPr>
          <w:pgSz w:w="11900" w:h="16838" w:orient="portrait"/>
          <w:cols w:equalWidth="0" w:num="1">
            <w:col w:w="10225"/>
          </w:cols>
          <w:pgMar w:left="234" w:top="646" w:right="1440" w:bottom="1440" w:gutter="0" w:footer="0" w:header="0"/>
        </w:sectPr>
      </w:pPr>
    </w:p>
    <w:bookmarkStart w:id="112" w:name="page113"/>
    <w:bookmarkEnd w:id="112"/>
    <w:p>
      <w:pPr>
        <w:spacing w:after="0"/>
        <w:tabs>
          <w:tab w:leader="none" w:pos="800" w:val="left"/>
        </w:tabs>
        <w:rPr>
          <w:sz w:val="20"/>
          <w:szCs w:val="20"/>
          <w:color w:val="auto"/>
        </w:rPr>
      </w:pPr>
      <w:r>
        <w:rPr>
          <w:rFonts w:ascii="Courier New" w:cs="Courier New" w:eastAsia="Courier New" w:hAnsi="Courier New"/>
          <w:sz w:val="15"/>
          <w:szCs w:val="15"/>
          <w:color w:val="auto"/>
        </w:rPr>
        <w:t>2.20</w:t>
      </w:r>
      <w:r>
        <w:rPr>
          <w:sz w:val="20"/>
          <w:szCs w:val="20"/>
          <w:color w:val="auto"/>
        </w:rPr>
        <w:tab/>
      </w:r>
      <w:r>
        <w:rPr>
          <w:rFonts w:ascii="Courier New" w:cs="Courier New" w:eastAsia="Courier New" w:hAnsi="Courier New"/>
          <w:sz w:val="15"/>
          <w:szCs w:val="15"/>
          <w:color w:val="auto"/>
        </w:rPr>
        <w:t>FINANCIAL HARDSHIP</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"Financial Hardship" means severe financial hardship to the Participant resulting from a sudden and unexpected illness or accident of the Participant or of a dependent (as defined in Section 152(a) of the Internal Revenue Code) of the Participant, loss of the Participant's property due to casualty, or other similar extraordinary and unforeseeable circumstances arising as a result of events beyond the control of the Participant. The circumstances that will constitute an unforeseeable emergency will depend upon the facts of each case, but in any case, payment may not be made to the extent that such hardship is or may be relieved:</w:t>
      </w:r>
    </w:p>
    <w:p>
      <w:pPr>
        <w:spacing w:after="0" w:line="352" w:lineRule="exact"/>
        <w:rPr>
          <w:sz w:val="20"/>
          <w:szCs w:val="20"/>
          <w:color w:val="auto"/>
        </w:rPr>
      </w:pPr>
    </w:p>
    <w:p>
      <w:pPr>
        <w:ind w:left="820" w:right="2979" w:firstLine="457"/>
        <w:spacing w:after="0" w:line="250" w:lineRule="auto"/>
        <w:tabs>
          <w:tab w:leader="none" w:pos="164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reimbursement or compensation by insurance or otherwise;</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liquidation of the Participant's assets, to the extent the liquidation of such assets would not itself cause severe financial hardship; or</w:t>
      </w:r>
    </w:p>
    <w:p>
      <w:pPr>
        <w:spacing w:after="0" w:line="175" w:lineRule="exact"/>
        <w:rPr>
          <w:rFonts w:ascii="Courier New" w:cs="Courier New" w:eastAsia="Courier New" w:hAnsi="Courier New"/>
          <w:sz w:val="15"/>
          <w:szCs w:val="15"/>
          <w:color w:val="auto"/>
        </w:rPr>
      </w:pPr>
    </w:p>
    <w:p>
      <w:pPr>
        <w:ind w:left="1640" w:hanging="363"/>
        <w:spacing w:after="0"/>
        <w:tabs>
          <w:tab w:leader="none" w:pos="16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cessation of deferrals under the Plan.</w:t>
      </w:r>
    </w:p>
    <w:p>
      <w:pPr>
        <w:spacing w:after="0" w:line="182" w:lineRule="exact"/>
        <w:rPr>
          <w:rFonts w:ascii="Courier New" w:cs="Courier New" w:eastAsia="Courier New" w:hAnsi="Courier New"/>
          <w:sz w:val="15"/>
          <w:szCs w:val="15"/>
          <w:color w:val="auto"/>
        </w:rPr>
      </w:pPr>
    </w:p>
    <w:p>
      <w:pPr>
        <w:ind w:left="1640" w:hanging="363"/>
        <w:spacing w:after="0"/>
        <w:tabs>
          <w:tab w:leader="none" w:pos="16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borrowing from commercial sources on reasonable  commercial</w:t>
      </w:r>
    </w:p>
    <w:p>
      <w:pPr>
        <w:spacing w:after="0" w:line="6"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terms.</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5"/>
          <w:szCs w:val="15"/>
          <w:color w:val="auto"/>
        </w:rPr>
        <w:t>INTEREST</w:t>
      </w:r>
    </w:p>
    <w:p>
      <w:pPr>
        <w:spacing w:after="0" w:line="182" w:lineRule="exact"/>
        <w:rPr>
          <w:sz w:val="20"/>
          <w:szCs w:val="20"/>
          <w:color w:val="auto"/>
        </w:rPr>
      </w:pPr>
    </w:p>
    <w:p>
      <w:pPr>
        <w:ind w:right="2899" w:firstLine="824"/>
        <w:spacing w:after="0" w:line="250" w:lineRule="auto"/>
        <w:rPr>
          <w:sz w:val="20"/>
          <w:szCs w:val="20"/>
          <w:color w:val="auto"/>
        </w:rPr>
      </w:pPr>
      <w:r>
        <w:rPr>
          <w:rFonts w:ascii="Courier New" w:cs="Courier New" w:eastAsia="Courier New" w:hAnsi="Courier New"/>
          <w:sz w:val="15"/>
          <w:szCs w:val="15"/>
          <w:color w:val="auto"/>
        </w:rPr>
        <w:t>"Interest" on a Determination Date means interest computed at the rate provided below:</w:t>
      </w:r>
    </w:p>
    <w:p>
      <w:pPr>
        <w:spacing w:after="0" w:line="175" w:lineRule="exact"/>
        <w:rPr>
          <w:sz w:val="20"/>
          <w:szCs w:val="20"/>
          <w:color w:val="auto"/>
        </w:rPr>
      </w:pPr>
    </w:p>
    <w:p>
      <w:pPr>
        <w:jc w:val="both"/>
        <w:ind w:left="820" w:right="2899" w:firstLine="457"/>
        <w:spacing w:after="0" w:line="249" w:lineRule="auto"/>
        <w:tabs>
          <w:tab w:leader="none" w:pos="164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MOODY'S ACCOUNT INTEREST. The interest yield credited to a Moody's Account shall be equal to the monthly equivalent of the annual yield of the Moody's Average Corporate Bond Yield Index for the preceding calendar month as published by Moody's Investor Service, Inc. (or any successor thereto) or, if such index is no longer published, a substantially similar index selected by the Board.</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ACCOUNT INTEREST. The interest yield credited to a Retirement Account shall be equal to the monthly equivalent of the effective annual yield on the Moody's Account plus two (2) percentage points.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5"/>
          <w:szCs w:val="15"/>
          <w:color w:val="auto"/>
        </w:rPr>
        <w:t>NORMAL RETIREMENT DATE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"Normal Retirement Date" means the first day of the month coinciding with or next following the date on which the Participant attains age sixty-five (65).</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2.23</w:t>
      </w:r>
      <w:r>
        <w:rPr>
          <w:sz w:val="20"/>
          <w:szCs w:val="20"/>
          <w:color w:val="auto"/>
        </w:rPr>
        <w:tab/>
      </w:r>
      <w:r>
        <w:rPr>
          <w:rFonts w:ascii="Courier New" w:cs="Courier New" w:eastAsia="Courier New" w:hAnsi="Courier New"/>
          <w:sz w:val="15"/>
          <w:szCs w:val="15"/>
          <w:color w:val="auto"/>
        </w:rPr>
        <w:t>PARTICIPANT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"Participant" means any individual who is participating or has participated in the Plan as provided in Article III.</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2.24</w:t>
      </w:r>
      <w:r>
        <w:rPr>
          <w:sz w:val="20"/>
          <w:szCs w:val="20"/>
          <w:color w:val="auto"/>
        </w:rPr>
        <w:tab/>
      </w:r>
      <w:r>
        <w:rPr>
          <w:rFonts w:ascii="Courier New" w:cs="Courier New" w:eastAsia="Courier New" w:hAnsi="Courier New"/>
          <w:sz w:val="15"/>
          <w:szCs w:val="15"/>
          <w:color w:val="auto"/>
        </w:rPr>
        <w:t>PARTICIPATION AGREEMENT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"Participation Agreement" means the agreement submitted by a Participant to the Committee prior to the beginning of the Deferral Period, with respect to one or more Deferral Commitments made for such Deferral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5 - EXECUTIVE DEFERRED COMPENSATION PLAN</w:t>
      </w:r>
    </w:p>
    <w:p>
      <w:pPr>
        <w:sectPr>
          <w:pgSz w:w="11900" w:h="16838" w:orient="portrait"/>
          <w:cols w:equalWidth="0" w:num="1">
            <w:col w:w="10219"/>
          </w:cols>
          <w:pgMar w:left="240" w:top="647" w:right="1440" w:bottom="1440" w:gutter="0" w:footer="0" w:header="0"/>
        </w:sectPr>
      </w:pPr>
    </w:p>
    <w:bookmarkStart w:id="113" w:name="page114"/>
    <w:bookmarkEnd w:id="113"/>
    <w:p>
      <w:pPr>
        <w:spacing w:after="0"/>
        <w:tabs>
          <w:tab w:leader="none" w:pos="800" w:val="left"/>
        </w:tabs>
        <w:rPr>
          <w:sz w:val="20"/>
          <w:szCs w:val="20"/>
          <w:color w:val="auto"/>
        </w:rPr>
      </w:pPr>
      <w:r>
        <w:rPr>
          <w:rFonts w:ascii="Courier New" w:cs="Courier New" w:eastAsia="Courier New" w:hAnsi="Courier New"/>
          <w:sz w:val="15"/>
          <w:szCs w:val="15"/>
          <w:color w:val="auto"/>
        </w:rPr>
        <w:t>2.25</w:t>
      </w:r>
      <w:r>
        <w:rPr>
          <w:sz w:val="20"/>
          <w:szCs w:val="20"/>
          <w:color w:val="auto"/>
        </w:rPr>
        <w:tab/>
      </w:r>
      <w:r>
        <w:rPr>
          <w:rFonts w:ascii="Courier New" w:cs="Courier New" w:eastAsia="Courier New" w:hAnsi="Courier New"/>
          <w:sz w:val="15"/>
          <w:szCs w:val="15"/>
          <w:color w:val="auto"/>
        </w:rPr>
        <w:t>PLAN BENEFIT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"Plan Benefit" means the benefit payable to a Participant as calculated in Article V.</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2.26</w:t>
      </w:r>
      <w:r>
        <w:rPr>
          <w:sz w:val="20"/>
          <w:szCs w:val="20"/>
          <w:color w:val="auto"/>
        </w:rPr>
        <w:tab/>
      </w:r>
      <w:r>
        <w:rPr>
          <w:rFonts w:ascii="Courier New" w:cs="Courier New" w:eastAsia="Courier New" w:hAnsi="Courier New"/>
          <w:sz w:val="15"/>
          <w:szCs w:val="15"/>
          <w:color w:val="auto"/>
        </w:rPr>
        <w:t>QUALIFIED PLAN</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"Qualified Plan" means the Louisiana-Pacific Corporation Salaried Employees' Stock Ownership Trust and any successor thereof.</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2.27</w:t>
      </w:r>
      <w:r>
        <w:rPr>
          <w:sz w:val="20"/>
          <w:szCs w:val="20"/>
          <w:color w:val="auto"/>
        </w:rPr>
        <w:tab/>
      </w:r>
      <w:r>
        <w:rPr>
          <w:rFonts w:ascii="Courier New" w:cs="Courier New" w:eastAsia="Courier New" w:hAnsi="Courier New"/>
          <w:sz w:val="15"/>
          <w:szCs w:val="15"/>
          <w:color w:val="auto"/>
        </w:rPr>
        <w:t>RETIREMENT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"Retirement" means severance of Employment at the Participant's Normal Retirement Date or Early Retirement Date as applicable.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2.28</w:t>
      </w:r>
      <w:r>
        <w:rPr>
          <w:sz w:val="20"/>
          <w:szCs w:val="20"/>
          <w:color w:val="auto"/>
        </w:rPr>
        <w:tab/>
      </w:r>
      <w:r>
        <w:rPr>
          <w:rFonts w:ascii="Courier New" w:cs="Courier New" w:eastAsia="Courier New" w:hAnsi="Courier New"/>
          <w:sz w:val="15"/>
          <w:szCs w:val="15"/>
          <w:color w:val="auto"/>
        </w:rPr>
        <w:t>YEARS OF SERVICE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"Years of Service" shall have the meaning provided for such term for vesting purposes under the Qualified Plan, whether or not the Participant participates in that Plan.</w:t>
      </w:r>
    </w:p>
    <w:p>
      <w:pPr>
        <w:spacing w:after="0" w:line="17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ARTICLE III--PARTICIPATION AND DEFERRAL COMMITMENTS</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ELIGIBILITY AND PARTICIPATION</w:t>
      </w:r>
    </w:p>
    <w:p>
      <w:pPr>
        <w:spacing w:after="0" w:line="182" w:lineRule="exact"/>
        <w:rPr>
          <w:sz w:val="20"/>
          <w:szCs w:val="20"/>
          <w:color w:val="auto"/>
        </w:rPr>
      </w:pPr>
    </w:p>
    <w:p>
      <w:pPr>
        <w:ind w:left="820" w:right="2899" w:firstLine="457"/>
        <w:spacing w:after="0" w:line="249" w:lineRule="auto"/>
        <w:tabs>
          <w:tab w:leader="none" w:pos="164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Employees eligible to participate in the Plan shall be those key management employees of the Employer who are designated, from time to time, by the Committee as eligible to participate in the Plan.</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An eligible Employee who elects to participate in the Plan with respect to any Deferral Period must submit a Participation Agreement to the Committee prior to the Deferral Period.</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PART-YEAR PARTICIPATION. In the event that an Employee first becomes eligible to participate during a Deferral Period, a Participation Agreement must be submitted to the Committee no later than thirty (30) days following notification of the Employee of eligibility to participate. Such Participation Agreement shall be effective only with regard to Compensation earned or payable following the submission of the Participation Agreement to the Committee.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FORM OF DEFERRAL; MINIMUM DEFERRAL</w:t>
      </w:r>
    </w:p>
    <w:p>
      <w:pPr>
        <w:spacing w:after="0" w:line="182" w:lineRule="exact"/>
        <w:rPr>
          <w:sz w:val="20"/>
          <w:szCs w:val="20"/>
          <w:color w:val="auto"/>
        </w:rPr>
      </w:pPr>
    </w:p>
    <w:p>
      <w:pPr>
        <w:ind w:right="2899" w:firstLine="818"/>
        <w:spacing w:after="0" w:line="250" w:lineRule="auto"/>
        <w:tabs>
          <w:tab w:leader="none" w:pos="109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may elect in the Participation Agreement any of the following Deferral Commitments:</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DEFERRAL COMMITMENT. A Participant may elect to defer any portion of his or her base salary for the Deferral Period. The amount to be deferred shall be stated as a percentage of base salary or dollar amount and may not be less than two thousand four hundred dollars ($2,400).</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DEFERRAL COMMITMENT. A Participant may elect to defer all or a portion of the bonus amounts to be paid by the Employer in the Deferral Period. The amount to be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6 - EXECUTIVE DEFERRED COMPENSATION PLAN</w:t>
      </w:r>
    </w:p>
    <w:p>
      <w:pPr>
        <w:sectPr>
          <w:pgSz w:w="11900" w:h="16838" w:orient="portrait"/>
          <w:cols w:equalWidth="0" w:num="1">
            <w:col w:w="10219"/>
          </w:cols>
          <w:pgMar w:left="240" w:top="646" w:right="1440" w:bottom="1440" w:gutter="0" w:footer="0" w:header="0"/>
        </w:sectPr>
      </w:pPr>
    </w:p>
    <w:bookmarkStart w:id="114" w:name="page115"/>
    <w:bookmarkEnd w:id="114"/>
    <w:p>
      <w:pPr>
        <w:jc w:val="both"/>
        <w:ind w:left="820" w:right="2899"/>
        <w:spacing w:after="0" w:line="249" w:lineRule="auto"/>
        <w:rPr>
          <w:sz w:val="20"/>
          <w:szCs w:val="20"/>
          <w:color w:val="auto"/>
        </w:rPr>
      </w:pPr>
      <w:r>
        <w:rPr>
          <w:rFonts w:ascii="Courier New" w:cs="Courier New" w:eastAsia="Courier New" w:hAnsi="Courier New"/>
          <w:sz w:val="15"/>
          <w:szCs w:val="15"/>
          <w:color w:val="auto"/>
        </w:rPr>
        <w:t>deferred shall be stated as an even percentage of such bonus and must not be less than two thousand four hundred dollars ($2,400), unless the Participant also elects to make a Salary Deferral Commitment, in which case there shall be no minimum Bonus Deferral Commitment.</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ELECTIONS FOR PART YEARS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event an Employee becomes eligible to participate in the Plan at any time other than January 1 of any calendar year, the amount which must be completed under the appropriate minimum Deferral Commitment stated in Section 3.2 during the initial partial year of participation shall be the pro-rata portion based upon complete months left in the initial calendar year.</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LIMITATION ON DEFERRAL</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Participant may defer up to one hundred percent (100%) of the Participant's Compensation. However, the Committee may impose another maximum deferral amount or increase the minimum deferral amount under Section 3.2 from time to time by giving written notice to all Participants, provided, however, that no such changes may affect a Deferral Commitment made prior to the Committee's action.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MODIFICATION OF DEFERRAL COMMITMENT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Deferral Commitment shall be irrevocable except that the Committee may permit a Participant to reduce the amount to be deferred, or waive the remainder of the Deferral Commitment, upon a finding that the Participant has suffered a Financial Hardship. If a Participant ceases receiving Compensation during a Deferral Period due to Disability, the Deferral Commitment shall cease at that time.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CESSATION OF ELIGIBILITY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event a Participant ceases to be designated by the Committee as eligible to participate in the Plan by reason of a change in employment status or otherwise, no further amounts of his or her Compensation shall be deferred under a Deferral Commitment after the date of such cessation of eligibility.</w:t>
      </w:r>
    </w:p>
    <w:p>
      <w:pPr>
        <w:spacing w:after="0" w:line="17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ARTICLE IV--DEFERRED COMPENSATION ACCOUNT</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ACCOUNTS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For recordkeeping purposes only, two (2) Accounts shall be maintained for each Participant, a Retirement Account and a Moody's Account, only one of which shall be payable to the Participant under Section 5.1, Section 5.2 or Section 5.3.</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ELECTIVE DEFERRED COMPENSATION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Participant's Elective Deferred Compensation shall be credited to the Participant's Account as the corresponding nondeferred portion of the Compensation becomes or would have become payable. Any withholding of taxes or other amounts with respect to deferred Compensation that is required by state, federal, or local law shall be withheld from the Participant's nondeferred Compensation to the maximum extent possible with any excess being withheld from the Participant's Account.</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QUALIFIED PLAN MAKEUP CREDIT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7 - EXECUTIVE DEFERRED COMPENSATION PLAN</w:t>
      </w:r>
    </w:p>
    <w:p>
      <w:pPr>
        <w:sectPr>
          <w:pgSz w:w="11900" w:h="16838" w:orient="portrait"/>
          <w:cols w:equalWidth="0" w:num="1">
            <w:col w:w="10219"/>
          </w:cols>
          <w:pgMar w:left="240" w:top="646" w:right="1440" w:bottom="1440" w:gutter="0" w:footer="0" w:header="0"/>
        </w:sectPr>
      </w:pPr>
    </w:p>
    <w:bookmarkStart w:id="115" w:name="page116"/>
    <w:bookmarkEnd w:id="115"/>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Employer shall credit to each Participant's Account on the last day of each year a Qualified Plan Makeup Credit ("Makeup"), which shall be the difference between:</w:t>
      </w:r>
    </w:p>
    <w:p>
      <w:pPr>
        <w:spacing w:after="0" w:line="176" w:lineRule="exact"/>
        <w:rPr>
          <w:sz w:val="20"/>
          <w:szCs w:val="20"/>
          <w:color w:val="auto"/>
        </w:rPr>
      </w:pPr>
    </w:p>
    <w:p>
      <w:pPr>
        <w:ind w:left="820" w:right="2899" w:firstLine="457"/>
        <w:spacing w:after="0" w:line="250" w:lineRule="auto"/>
        <w:tabs>
          <w:tab w:leader="none" w:pos="164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which would have been contributed to the Qualified Plan if no deferrals had been made under this Plan; and</w:t>
      </w:r>
    </w:p>
    <w:p>
      <w:pPr>
        <w:spacing w:after="0" w:line="174"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actually contributed to the Qualified Plan for such Participant.</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INTEREST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Accounts shall be credited monthly with the appropriate Interest earned based on the interest rates specified in Section 2.21. Interest earned shall be calculated as of each Determination Date based upon the average daily balance of the Account since the preceding Determination Date and shall be credited to the Participant's Accounts at that time.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DETERMINATION OF ACCOUNTS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Each Participant's Retirement Account and Moody's Account as of each Determination Date shall consist of the balance of the Participant's Accounts as of the immediately preceding Determination Date, plus the Participant's Elective Deferred Compensation credited, any Makeup credited and the appropriate Interest earned, minus the amount of any withdrawals or distributions made since the immediately preceding Determination Date.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VESTING OF ACCOUNTS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Each Participant shall be one hundred percent (100%) vested at all times in the amount of Compensation elected to be deferred under this Plan and Interest thereon. Any Makeup credited to the Participant's Account shall vest at the same rate as the underlying Qualified Plan, except upon a Change in Control, Disability, or death, in which case the Participant shall be one hundred percent (100%) vested in the Makeup. However, the Participant shall be entitled to receive either the Retirement Account or the Moody's Account, as determined under Article V, but not both.</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STATEMENT OF ACCOUNTS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Committee shall submit to each Participant, within one hundred twenty (120) days after the close of each calendar year and at such other time as determined by the Committee, a statement setting forth the balance to the credit of each Account maintained for a Participant.</w:t>
      </w:r>
    </w:p>
    <w:p>
      <w:pPr>
        <w:spacing w:after="0" w:line="17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V--PLAN BENEFITS</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RETIREMENT BENEFIT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Employer shall pay a Plan Benefit equal to the Participant's Retirement Account to a Participant who terminates Employment by reason of Retirement, Disability or within twenty-four (24) months of a Change in Control.</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TERMINATION BENEFIT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8 - EXECUTIVE DEFERRED COMPENSATION PLAN</w:t>
      </w:r>
    </w:p>
    <w:p>
      <w:pPr>
        <w:sectPr>
          <w:pgSz w:w="11900" w:h="16838" w:orient="portrait"/>
          <w:cols w:equalWidth="0" w:num="1">
            <w:col w:w="10219"/>
          </w:cols>
          <w:pgMar w:left="240" w:top="647" w:right="1440" w:bottom="1440" w:gutter="0" w:footer="0" w:header="0"/>
        </w:sectPr>
      </w:pPr>
    </w:p>
    <w:bookmarkStart w:id="116" w:name="page117"/>
    <w:bookmarkEnd w:id="116"/>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Except as may otherwise be provided in Section 5.3, the Employer shall pay a Plan Benefit equal to the Participant's vested Moody's Account to a Participant who terminates Employment for any reason other than those provided for in Section 5.1.</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DEATH BENEFIT</w:t>
      </w:r>
    </w:p>
    <w:p>
      <w:pPr>
        <w:spacing w:after="0" w:line="182" w:lineRule="exact"/>
        <w:rPr>
          <w:sz w:val="20"/>
          <w:szCs w:val="20"/>
          <w:color w:val="auto"/>
        </w:rPr>
      </w:pPr>
    </w:p>
    <w:p>
      <w:pPr>
        <w:ind w:left="820"/>
        <w:spacing w:after="0"/>
        <w:tabs>
          <w:tab w:leader="none" w:pos="1340" w:val="left"/>
          <w:tab w:leader="none" w:pos="1800" w:val="left"/>
          <w:tab w:leader="none" w:pos="2440" w:val="left"/>
          <w:tab w:leader="none" w:pos="3000" w:val="left"/>
          <w:tab w:leader="none" w:pos="4280" w:val="left"/>
          <w:tab w:leader="none" w:pos="4740" w:val="left"/>
          <w:tab w:leader="none" w:pos="5660" w:val="left"/>
          <w:tab w:leader="none" w:pos="6300" w:val="left"/>
          <w:tab w:leader="none" w:pos="6760" w:val="left"/>
        </w:tabs>
        <w:rPr>
          <w:sz w:val="20"/>
          <w:szCs w:val="20"/>
          <w:color w:val="auto"/>
        </w:rPr>
      </w:pPr>
      <w:r>
        <w:rPr>
          <w:rFonts w:ascii="Courier New" w:cs="Courier New" w:eastAsia="Courier New" w:hAnsi="Courier New"/>
          <w:sz w:val="15"/>
          <w:szCs w:val="15"/>
          <w:color w:val="auto"/>
        </w:rPr>
        <w:t>Upon</w:t>
        <w:tab/>
        <w:t>the</w:t>
        <w:tab/>
        <w:t>death</w:t>
        <w:tab/>
        <w:t>of a</w:t>
        <w:tab/>
        <w:t>Participant,</w:t>
        <w:tab/>
        <w:t>the</w:t>
        <w:tab/>
        <w:t>Employer</w:t>
        <w:tab/>
        <w:t>shall</w:t>
        <w:tab/>
        <w:t>pay</w:t>
      </w:r>
      <w:r>
        <w:rPr>
          <w:sz w:val="20"/>
          <w:szCs w:val="20"/>
          <w:color w:val="auto"/>
        </w:rPr>
        <w:tab/>
      </w:r>
      <w:r>
        <w:rPr>
          <w:rFonts w:ascii="Courier New" w:cs="Courier New" w:eastAsia="Courier New" w:hAnsi="Courier New"/>
          <w:sz w:val="14"/>
          <w:szCs w:val="14"/>
          <w:color w:val="auto"/>
        </w:rPr>
        <w:t>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 Beneficiary an amount determined as follows:</w:t>
      </w:r>
    </w:p>
    <w:p>
      <w:pPr>
        <w:spacing w:after="0" w:line="182" w:lineRule="exact"/>
        <w:rPr>
          <w:sz w:val="20"/>
          <w:szCs w:val="20"/>
          <w:color w:val="auto"/>
        </w:rPr>
      </w:pPr>
    </w:p>
    <w:p>
      <w:pPr>
        <w:jc w:val="both"/>
        <w:ind w:left="820" w:right="2899" w:firstLine="457"/>
        <w:spacing w:after="0" w:line="249" w:lineRule="auto"/>
        <w:tabs>
          <w:tab w:leader="none" w:pos="164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POSTTERMINATION. If the Participant dies after termination of Employment, the amount payable shall be equal to the remaining unpaid balance of the Participant's appropriate Account.</w:t>
      </w:r>
    </w:p>
    <w:p>
      <w:pPr>
        <w:spacing w:after="0" w:line="175" w:lineRule="exact"/>
        <w:rPr>
          <w:rFonts w:ascii="Courier New" w:cs="Courier New" w:eastAsia="Courier New" w:hAnsi="Courier New"/>
          <w:sz w:val="15"/>
          <w:szCs w:val="15"/>
          <w:color w:val="auto"/>
        </w:rPr>
      </w:pPr>
    </w:p>
    <w:p>
      <w:pPr>
        <w:ind w:left="820" w:right="2899" w:firstLine="457"/>
        <w:spacing w:after="0" w:line="249" w:lineRule="auto"/>
        <w:tabs>
          <w:tab w:leader="none" w:pos="164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PRETERMINATION. If the Participant dies prior to termination of Employment, the amount payable shall be the Participant's Retirement Account balance.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IN-SERVICE WITHDRAWALS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Participants shall be permitted to elect to withdraw amounts from their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 subject to the following restrictions:</w:t>
      </w:r>
    </w:p>
    <w:p>
      <w:pPr>
        <w:spacing w:after="0" w:line="182" w:lineRule="exact"/>
        <w:rPr>
          <w:sz w:val="20"/>
          <w:szCs w:val="20"/>
          <w:color w:val="auto"/>
        </w:rPr>
      </w:pPr>
    </w:p>
    <w:p>
      <w:pPr>
        <w:ind w:left="820" w:right="2899" w:firstLine="457"/>
        <w:spacing w:after="0" w:line="249" w:lineRule="auto"/>
        <w:tabs>
          <w:tab w:leader="none" w:pos="164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WITHDRAW. An election to make an in-service withdrawal must be made at the same time the Participant enters into a Participation Agreement for a Deferral Commitment. The date of the in-service withdrawal cannot be earlier than five years after the date the Deferral Period begins under the Deferral Commitment. Such election may be modified no later than the end of the calendar year two (2) calendar years prior to the calendar year the Participant was scheduled to receive the benefits.</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WITHDRAWAL. The amount which a Participant can elect to withdraw with respect to any Deferral Commitment shall be limited to one hundred percent (100%) of the amount of such Deferral Commitment plus interest.</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IN-SERVICE WITHDRAWAL PAYMENT. The amount elected to be withdrawn shall be paid in a lump sum unless the Committee approves an alternative form of payment at the time elected by the Participant in the Participation Agreement wherein he or she elected the in-service withdrawal.</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HARDSHIP DISTRIBUTIONS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Upon a finding that a Participant has suffered a Financial Hardship or a Disability, the Committee may, in its sole discretion, make distributions from the Participant's Account prior to the time specified for payment of benefits under the Plan. The amount of such distribution shall be limited to the amount reasonably necessary to meet the Participant's requirements during the Financial Hardship or Disability.</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FORM OF BENEFIT PAYMENT</w:t>
      </w:r>
    </w:p>
    <w:p>
      <w:pPr>
        <w:spacing w:after="0" w:line="182" w:lineRule="exact"/>
        <w:rPr>
          <w:sz w:val="20"/>
          <w:szCs w:val="20"/>
          <w:color w:val="auto"/>
        </w:rPr>
      </w:pPr>
    </w:p>
    <w:p>
      <w:pPr>
        <w:ind w:left="820" w:right="2899" w:firstLine="457"/>
        <w:spacing w:after="0" w:line="249" w:lineRule="auto"/>
        <w:tabs>
          <w:tab w:leader="none" w:pos="164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Plan Benefits other than In-Service Withdrawals or Hardship Distributions shall be paid in the form selected by the Participant at the time of the Deferral Commitment from among the following alternatives: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9 - EXECUTIVE DEFERRED COMPENSATION PLAN</w:t>
      </w:r>
    </w:p>
    <w:p>
      <w:pPr>
        <w:sectPr>
          <w:pgSz w:w="11900" w:h="16838" w:orient="portrait"/>
          <w:cols w:equalWidth="0" w:num="1">
            <w:col w:w="10219"/>
          </w:cols>
          <w:pgMar w:left="240" w:top="647" w:right="1440" w:bottom="1440" w:gutter="0" w:footer="0" w:header="0"/>
        </w:sectPr>
      </w:pPr>
    </w:p>
    <w:bookmarkStart w:id="117" w:name="page118"/>
    <w:bookmarkEnd w:id="117"/>
    <w:p>
      <w:pPr>
        <w:ind w:left="2280" w:hanging="545"/>
        <w:spacing w:after="0"/>
        <w:tabs>
          <w:tab w:leader="none" w:pos="228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Lump sum payment</w:t>
      </w:r>
    </w:p>
    <w:p>
      <w:pPr>
        <w:spacing w:after="0" w:line="182" w:lineRule="exact"/>
        <w:rPr>
          <w:rFonts w:ascii="Courier New" w:cs="Courier New" w:eastAsia="Courier New" w:hAnsi="Courier New"/>
          <w:sz w:val="15"/>
          <w:szCs w:val="15"/>
          <w:color w:val="auto"/>
        </w:rPr>
      </w:pPr>
    </w:p>
    <w:p>
      <w:pPr>
        <w:ind w:left="1280" w:right="2899" w:firstLine="455"/>
        <w:spacing w:after="0" w:line="250" w:lineRule="auto"/>
        <w:tabs>
          <w:tab w:leader="none" w:pos="2288"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equal annual installments of the Account and Interest amortized over a period of five (5) years</w:t>
      </w:r>
    </w:p>
    <w:p>
      <w:pPr>
        <w:spacing w:after="0" w:line="174" w:lineRule="exact"/>
        <w:rPr>
          <w:rFonts w:ascii="Courier New" w:cs="Courier New" w:eastAsia="Courier New" w:hAnsi="Courier New"/>
          <w:sz w:val="15"/>
          <w:szCs w:val="15"/>
          <w:color w:val="auto"/>
        </w:rPr>
      </w:pPr>
    </w:p>
    <w:p>
      <w:pPr>
        <w:ind w:left="1280" w:right="2979" w:firstLine="455"/>
        <w:spacing w:after="0" w:line="250" w:lineRule="auto"/>
        <w:tabs>
          <w:tab w:leader="none" w:pos="2288"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equal annual installments of the Account and Interest amortized over a period often (10) years</w:t>
      </w:r>
    </w:p>
    <w:p>
      <w:pPr>
        <w:spacing w:after="0" w:line="174" w:lineRule="exact"/>
        <w:rPr>
          <w:rFonts w:ascii="Courier New" w:cs="Courier New" w:eastAsia="Courier New" w:hAnsi="Courier New"/>
          <w:sz w:val="15"/>
          <w:szCs w:val="15"/>
          <w:color w:val="auto"/>
        </w:rPr>
      </w:pPr>
    </w:p>
    <w:p>
      <w:pPr>
        <w:ind w:left="1280" w:right="2899" w:firstLine="455"/>
        <w:spacing w:after="0" w:line="250" w:lineRule="auto"/>
        <w:tabs>
          <w:tab w:leader="none" w:pos="2288"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equal annual installments of the Account and Interest amortized over a period of fifteen (15) years</w:t>
      </w:r>
    </w:p>
    <w:p>
      <w:pPr>
        <w:spacing w:after="0" w:line="174" w:lineRule="exact"/>
        <w:rPr>
          <w:rFonts w:ascii="Courier New" w:cs="Courier New" w:eastAsia="Courier New" w:hAnsi="Courier New"/>
          <w:sz w:val="15"/>
          <w:szCs w:val="15"/>
          <w:color w:val="auto"/>
        </w:rPr>
      </w:pPr>
    </w:p>
    <w:p>
      <w:pPr>
        <w:ind w:left="1280" w:right="2899" w:firstLine="455"/>
        <w:spacing w:after="0" w:line="250" w:lineRule="auto"/>
        <w:tabs>
          <w:tab w:leader="none" w:pos="2288"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method that is the Actuarial Equivalent of the Participant's appropriate Account balance</w:t>
      </w:r>
    </w:p>
    <w:p>
      <w:pPr>
        <w:spacing w:after="0" w:line="174"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shall commence as elected by the Participant, which shall be either within sixty-five (65) days of termination or in January following the Participant's termination.</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modify the form or timing of benefit payment as long as such modification is made before the end of the calendar year two (2) calendar years prior to when the Participant's benefits were scheduled to commence had the modification not been made.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5"/>
          <w:szCs w:val="15"/>
          <w:color w:val="auto"/>
        </w:rPr>
        <w:t>SMALL ACCOUNTS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Notwithstanding Section 5.6(a), if a Participant's Account is less than twenty thousand dollars ($20,000), the Committee may, in its sole discretion, pay the Participant in a lump sum.</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ACCELERATED DISTRIBUTION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Notwithstanding any other provision of the Plan, at any time, a Participant shall be entitled to receive, upon written request to the Committee, a lump-sum distribution equal to ninety percent (90%) of the vested Account balance as of the Determination Date immediately preceding the date on which the Committee receives the written request. The remaining balance shall be forfeited by the Participant and the Participant will not be allowed to participate in this Plan in the future. The amount payable under this section shall be paid in a lump sum within thirty (30) days following the receipt of the notice by the Committee from the Participant.</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EXCISE TAX AND LOST BENEFIT MAKEUP</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as a result of participating in this Plan the Participant is required to pay additional excise tax under Section 4999 of the Internal Revenue Code ("IRC"), or receives a smaller benefit from any other Employer Plan as a result of any IRC Section 280G Golden Parachute limitations, then a makeup amount shall be payable from this Plan. This amount shall be equal to the amount of Section 4999 excise tax payable and any lost benefit from other Employer Plans due to IRC Section 280G Golden Parachute limitation, as a result of participation in this Plan, plus any excise tax or income taxes payable due to this payment. The Company and Participant shall cooperate in good faith in making such determination and in providing the necessary information for this purpose.</w:t>
      </w:r>
    </w:p>
    <w:p>
      <w:pPr>
        <w:spacing w:after="0" w:line="35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5"/>
          <w:szCs w:val="15"/>
          <w:color w:val="auto"/>
        </w:rPr>
        <w:t>WITHHOLDING; PAYROLL TAXES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10 - EXECUTIVE DEFERRED COMPENSATION PLAN</w:t>
      </w:r>
    </w:p>
    <w:p>
      <w:pPr>
        <w:sectPr>
          <w:pgSz w:w="11900" w:h="16838" w:orient="portrait"/>
          <w:cols w:equalWidth="0" w:num="1">
            <w:col w:w="10219"/>
          </w:cols>
          <w:pgMar w:left="240" w:top="646" w:right="1440" w:bottom="1440" w:gutter="0" w:footer="0" w:header="0"/>
        </w:sectPr>
      </w:pPr>
    </w:p>
    <w:bookmarkStart w:id="118" w:name="page119"/>
    <w:bookmarkEnd w:id="118"/>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Employer shall withhold from payments made hereunder any taxes required to be withheld from such payments under federal, state or local law. However, a Beneficiary may elect not to have withholding for federal income tax pursuant to Section 3405(a)(2) of Internal Revenue Code, or any successor provision thereto.</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PAYMENT TO GUARDIAN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If a Plan benefit is payable to a minor or a person declared incompetent or to a person incapable of handling the disposition of his or her property, the Committee may direct payment of such Plan Benefit to the guardian, legal representative, or person having the care and custody of such minor, incompetent, or person. The Committee may require proof of incompetency, minority, incapacity or guardianship as it may deem appropriate prior to distribution of the Plan Benefit. Such distribution shall completely discharge the Committee from all liability with respect to such benefit.</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VI--BENEFICIARY DESIGNATION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BENEFICIARY DESIGNATION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Subject to Section 6.3, each Participant shall have the right, at any time, to designate one or more persons or an entity as Beneficiary (both primary as well as secondary) to whom benefits under this Plan shall be paid in the event of Participant's death prior to complete distribution of the Participant's Account. Each Beneficiary designation shall be in a written form prescribed by the Committee and shall be effective only when filed with the Committee during the Participant's lifetime.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CHANGING BENEFICIARY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Subject to Section 6.3, any Beneficiary designation may be changed by a Participant without the consent of the previously named Beneficiary by the filing of a new designation with the Committee. The filing of a new designation shall cancel all designations previously filed. If a Participant's Compensation is community property, any Beneficiary designation shall be valid or effective only as permitted by applicable law.</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COMMUNITY PROPERTY</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If the Participant resides in a community property state, the following rules shall apply:</w:t>
      </w:r>
    </w:p>
    <w:p>
      <w:pPr>
        <w:spacing w:after="0" w:line="175" w:lineRule="exact"/>
        <w:rPr>
          <w:sz w:val="20"/>
          <w:szCs w:val="20"/>
          <w:color w:val="auto"/>
        </w:rPr>
      </w:pPr>
    </w:p>
    <w:p>
      <w:pPr>
        <w:ind w:left="820" w:right="2899" w:firstLine="457"/>
        <w:spacing w:after="0" w:line="249" w:lineRule="auto"/>
        <w:tabs>
          <w:tab w:leader="none" w:pos="164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by a married Participant of a Beneficiary other than the Participant's spouse shall not be effective unless the spouse executes a written consent that acknowledges the effect of the designation, or it is established the consent cannot be obtained because the spouse cannot be located.</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married Participant's Beneficiary designation may be changed by a Participant with the consent of the Participant's spouse as provided for in Section 6.3(a) by the filing of a new designation with the Committee.</w:t>
      </w:r>
    </w:p>
    <w:p>
      <w:pPr>
        <w:spacing w:after="0" w:line="175" w:lineRule="exact"/>
        <w:rPr>
          <w:rFonts w:ascii="Courier New" w:cs="Courier New" w:eastAsia="Courier New" w:hAnsi="Courier New"/>
          <w:sz w:val="15"/>
          <w:szCs w:val="15"/>
          <w:color w:val="auto"/>
        </w:rPr>
      </w:pPr>
    </w:p>
    <w:p>
      <w:pPr>
        <w:ind w:left="820" w:right="2979" w:firstLine="457"/>
        <w:spacing w:after="0" w:line="250" w:lineRule="auto"/>
        <w:tabs>
          <w:tab w:leader="none" w:pos="164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marital status changes after the Participant has designated a Beneficiary, the following shall apply: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11 - EXECUTIVE DEFERRED COMPENSATION PLAN</w:t>
      </w:r>
    </w:p>
    <w:p>
      <w:pPr>
        <w:sectPr>
          <w:pgSz w:w="11900" w:h="16838" w:orient="portrait"/>
          <w:cols w:equalWidth="0" w:num="1">
            <w:col w:w="10219"/>
          </w:cols>
          <w:pgMar w:left="240" w:top="646" w:right="1440" w:bottom="1440" w:gutter="0" w:footer="0" w:header="0"/>
        </w:sectPr>
      </w:pPr>
    </w:p>
    <w:bookmarkStart w:id="119" w:name="page120"/>
    <w:bookmarkEnd w:id="119"/>
    <w:p>
      <w:pPr>
        <w:jc w:val="both"/>
        <w:ind w:left="1280" w:right="2899" w:firstLine="455"/>
        <w:spacing w:after="0" w:line="249" w:lineRule="auto"/>
        <w:tabs>
          <w:tab w:leader="none" w:pos="228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is married at the time of death but was unmarried when the designation was made, the designation shall be void unless the spouse has consented to it in the manner prescribed in Section 6.3(a).</w:t>
      </w:r>
    </w:p>
    <w:p>
      <w:pPr>
        <w:spacing w:after="0" w:line="175" w:lineRule="exact"/>
        <w:rPr>
          <w:rFonts w:ascii="Courier New" w:cs="Courier New" w:eastAsia="Courier New" w:hAnsi="Courier New"/>
          <w:sz w:val="15"/>
          <w:szCs w:val="15"/>
          <w:color w:val="auto"/>
        </w:rPr>
      </w:pPr>
    </w:p>
    <w:p>
      <w:pPr>
        <w:ind w:left="1280" w:right="2899" w:firstLine="455"/>
        <w:spacing w:after="0" w:line="250" w:lineRule="auto"/>
        <w:tabs>
          <w:tab w:leader="none" w:pos="228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is unmarried at the time of death but was married when the designation was made:</w:t>
      </w:r>
    </w:p>
    <w:p>
      <w:pPr>
        <w:spacing w:after="0" w:line="174" w:lineRule="exact"/>
        <w:rPr>
          <w:rFonts w:ascii="Courier New" w:cs="Courier New" w:eastAsia="Courier New" w:hAnsi="Courier New"/>
          <w:sz w:val="15"/>
          <w:szCs w:val="15"/>
          <w:color w:val="auto"/>
        </w:rPr>
      </w:pPr>
    </w:p>
    <w:p>
      <w:pPr>
        <w:jc w:val="both"/>
        <w:ind w:left="1740" w:right="2899" w:firstLine="453"/>
        <w:spacing w:after="0" w:line="249" w:lineRule="auto"/>
        <w:tabs>
          <w:tab w:leader="none" w:pos="2473"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shall be void if the spouse was named as Beneficiary unless Participant had submitted a change of beneficiary listing the former spouse as the beneficiary</w:t>
      </w:r>
    </w:p>
    <w:p>
      <w:pPr>
        <w:spacing w:after="0" w:line="175" w:lineRule="exact"/>
        <w:rPr>
          <w:rFonts w:ascii="Courier New" w:cs="Courier New" w:eastAsia="Courier New" w:hAnsi="Courier New"/>
          <w:sz w:val="15"/>
          <w:szCs w:val="15"/>
          <w:color w:val="auto"/>
        </w:rPr>
      </w:pPr>
    </w:p>
    <w:p>
      <w:pPr>
        <w:ind w:left="1740" w:right="2899" w:firstLine="453"/>
        <w:spacing w:after="0" w:line="250" w:lineRule="auto"/>
        <w:tabs>
          <w:tab w:leader="none" w:pos="2473"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shall remain valid if a nonspouse Beneficiary was named.</w:t>
      </w:r>
    </w:p>
    <w:p>
      <w:pPr>
        <w:spacing w:after="0" w:line="174" w:lineRule="exact"/>
        <w:rPr>
          <w:rFonts w:ascii="Courier New" w:cs="Courier New" w:eastAsia="Courier New" w:hAnsi="Courier New"/>
          <w:sz w:val="15"/>
          <w:szCs w:val="15"/>
          <w:color w:val="auto"/>
        </w:rPr>
      </w:pPr>
    </w:p>
    <w:p>
      <w:pPr>
        <w:jc w:val="both"/>
        <w:ind w:left="1280" w:right="2899" w:firstLine="455"/>
        <w:spacing w:after="0" w:line="249" w:lineRule="auto"/>
        <w:tabs>
          <w:tab w:leader="none" w:pos="228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was married when the designation was made and is married to a different spouse at death, the designation shall be void unless the new. spouse has consented to it in the manner prescribed above.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NO BENEFICIARY DESIGNATION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absence of an effective Beneficiary Designation, or if all designated Beneficiaries predecease the Participant or dies prior to complete distribution of the Participant's benefits, then the Participant's designated Beneficiary shall be deemed to be the person in the first of the following classes in which there is a survivor:</w:t>
      </w:r>
    </w:p>
    <w:p>
      <w:pPr>
        <w:spacing w:after="0" w:line="176" w:lineRule="exact"/>
        <w:rPr>
          <w:sz w:val="20"/>
          <w:szCs w:val="20"/>
          <w:color w:val="auto"/>
        </w:rPr>
      </w:pPr>
    </w:p>
    <w:p>
      <w:pPr>
        <w:ind w:left="1640" w:hanging="363"/>
        <w:spacing w:after="0"/>
        <w:tabs>
          <w:tab w:leader="none" w:pos="16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spouse;</w:t>
      </w:r>
    </w:p>
    <w:p>
      <w:pPr>
        <w:spacing w:after="0" w:line="182"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children, except that if any of the children predeceases the Participant but leaves issue surviving, then such issue shall take by right of representation the share the parent would have taken if living;</w:t>
      </w:r>
    </w:p>
    <w:p>
      <w:pPr>
        <w:spacing w:after="0" w:line="175" w:lineRule="exact"/>
        <w:rPr>
          <w:rFonts w:ascii="Courier New" w:cs="Courier New" w:eastAsia="Courier New" w:hAnsi="Courier New"/>
          <w:sz w:val="15"/>
          <w:szCs w:val="15"/>
          <w:color w:val="auto"/>
        </w:rPr>
      </w:pPr>
    </w:p>
    <w:p>
      <w:pPr>
        <w:ind w:left="1640" w:hanging="363"/>
        <w:spacing w:after="0"/>
        <w:tabs>
          <w:tab w:leader="none" w:pos="16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Participant's estate.</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EFFECT OF PAYMENT</w:t>
      </w:r>
    </w:p>
    <w:p>
      <w:pPr>
        <w:spacing w:after="0" w:line="182" w:lineRule="exact"/>
        <w:rPr>
          <w:sz w:val="20"/>
          <w:szCs w:val="20"/>
          <w:color w:val="auto"/>
        </w:rPr>
      </w:pPr>
    </w:p>
    <w:p>
      <w:pPr>
        <w:jc w:val="both"/>
        <w:ind w:right="2899" w:firstLine="824"/>
        <w:spacing w:after="0" w:line="250" w:lineRule="auto"/>
        <w:rPr>
          <w:sz w:val="20"/>
          <w:szCs w:val="20"/>
          <w:color w:val="auto"/>
        </w:rPr>
      </w:pPr>
      <w:r>
        <w:rPr>
          <w:rFonts w:ascii="Courier New" w:cs="Courier New" w:eastAsia="Courier New" w:hAnsi="Courier New"/>
          <w:sz w:val="15"/>
          <w:szCs w:val="15"/>
          <w:color w:val="auto"/>
        </w:rPr>
        <w:t>The payment to the deemed Beneficiary shall completely discharge Employer's obligations under the Plan.</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VII--ADMINISTRATION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COMMITTEE; DUTIES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Plan shall be administered by the Committee, which shall consist of not less than three (3) persons appointed by the Chief Executive Officer and which may include the CEO as a member. The Committee shall have the authority to make, amend, interpret and enforce all appropriate rules and regulations for the administration of this Plan and decide or resolve any and all questions, including interpretations of this Plan, as may arise in connection with the Plan. A majority vote of the Committee members shall control any decision. Members of the Committee may be Participants under this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12 - EXECUTIVE DEFERRED COMPENSATION PLAN</w:t>
      </w:r>
    </w:p>
    <w:p>
      <w:pPr>
        <w:sectPr>
          <w:pgSz w:w="11900" w:h="16838" w:orient="portrait"/>
          <w:cols w:equalWidth="0" w:num="1">
            <w:col w:w="10219"/>
          </w:cols>
          <w:pgMar w:left="240" w:top="647" w:right="1440" w:bottom="1440" w:gutter="0" w:footer="0" w:header="0"/>
        </w:sectPr>
      </w:pPr>
    </w:p>
    <w:bookmarkStart w:id="120" w:name="page121"/>
    <w:bookmarkEnd w:id="120"/>
    <w:p>
      <w:pPr>
        <w:spacing w:after="0"/>
        <w:tabs>
          <w:tab w:leader="none" w:pos="8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AGENTS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Committee may, from time to time, employ other agents and delegate to them such administrative duties as it sees fit, and may from time to time consult with counsel who may be counsel to the Employer.</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BINDING EFFECT OF DECISIONS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decision or action of the Committee with respect to any question arising out of or in connection with the administration, interpretation and application of the Plan and the rules and regulations promulgated hereunder shall be final, conclusive and binding upon all persons having any interest in the Plan.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INDEMNITY OF COMMITTEE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Employer shall indemnify and hold harmless the members of the Committee against any and all claims, loss, damage, expense or liability arising from any action or failure to act with respect to this Plan, except in the case of gross negligence or willful misconduct.</w:t>
      </w:r>
    </w:p>
    <w:p>
      <w:pPr>
        <w:spacing w:after="0" w:line="17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VIII--CLAIMS PROCEDURE</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CLAIM</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Any person claiming a benefit, requesting an interpretation or ruling under the Plan, or requesting information under the Plan shall present the request in writing to the Committee, which shall respond in writing as soon as practicable.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DENIAL OF CLAIM</w:t>
      </w:r>
    </w:p>
    <w:p>
      <w:pPr>
        <w:spacing w:after="0" w:line="182" w:lineRule="exact"/>
        <w:rPr>
          <w:sz w:val="20"/>
          <w:szCs w:val="20"/>
          <w:color w:val="auto"/>
        </w:rPr>
      </w:pPr>
    </w:p>
    <w:p>
      <w:pPr>
        <w:jc w:val="right"/>
        <w:ind w:right="2899"/>
        <w:spacing w:after="0"/>
        <w:tabs>
          <w:tab w:leader="none" w:pos="3180" w:val="left"/>
          <w:tab w:leader="none" w:pos="2000" w:val="left"/>
        </w:tabs>
        <w:rPr>
          <w:sz w:val="20"/>
          <w:szCs w:val="20"/>
          <w:color w:val="auto"/>
        </w:rPr>
      </w:pPr>
      <w:r>
        <w:rPr>
          <w:rFonts w:ascii="Courier New" w:cs="Courier New" w:eastAsia="Courier New" w:hAnsi="Courier New"/>
          <w:sz w:val="15"/>
          <w:szCs w:val="15"/>
          <w:color w:val="auto"/>
        </w:rPr>
        <w:t>If the claim or request is denied,</w:t>
        <w:tab/>
        <w:t>the written</w:t>
        <w:tab/>
        <w:t>notice of denial shall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w:t>
      </w:r>
    </w:p>
    <w:p>
      <w:pPr>
        <w:spacing w:after="0" w:line="182" w:lineRule="exact"/>
        <w:rPr>
          <w:sz w:val="20"/>
          <w:szCs w:val="20"/>
          <w:color w:val="auto"/>
        </w:rPr>
      </w:pPr>
    </w:p>
    <w:p>
      <w:pPr>
        <w:ind w:left="820" w:right="2899" w:firstLine="457"/>
        <w:spacing w:after="0" w:line="250" w:lineRule="auto"/>
        <w:tabs>
          <w:tab w:leader="none" w:pos="164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for denial, with specific reference to the Plan provisions on which the denial is based.</w:t>
      </w:r>
    </w:p>
    <w:p>
      <w:pPr>
        <w:spacing w:after="0" w:line="174" w:lineRule="exact"/>
        <w:rPr>
          <w:rFonts w:ascii="Courier New" w:cs="Courier New" w:eastAsia="Courier New" w:hAnsi="Courier New"/>
          <w:sz w:val="15"/>
          <w:szCs w:val="15"/>
          <w:color w:val="auto"/>
        </w:rPr>
      </w:pPr>
    </w:p>
    <w:p>
      <w:pPr>
        <w:ind w:left="820" w:right="2899" w:firstLine="457"/>
        <w:spacing w:after="0" w:line="250" w:lineRule="auto"/>
        <w:tabs>
          <w:tab w:leader="none" w:pos="164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required and an explanation of why it is necessary.</w:t>
      </w:r>
    </w:p>
    <w:p>
      <w:pPr>
        <w:spacing w:after="0" w:line="174" w:lineRule="exact"/>
        <w:rPr>
          <w:rFonts w:ascii="Courier New" w:cs="Courier New" w:eastAsia="Courier New" w:hAnsi="Courier New"/>
          <w:sz w:val="15"/>
          <w:szCs w:val="15"/>
          <w:color w:val="auto"/>
        </w:rPr>
      </w:pPr>
    </w:p>
    <w:p>
      <w:pPr>
        <w:ind w:left="1640" w:hanging="363"/>
        <w:spacing w:after="0"/>
        <w:tabs>
          <w:tab w:leader="none" w:pos="16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explanation of the Plan's claim review procedure.</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REVIEW OF CLAIM</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Any person whose claim or request is denied or who has not received a response within thirty (30) days may request review by notice given in writing to the Committee. The claim or request shall be reviewed by the Committee which may, but shall not be required to, grant the claimant a hearing. On review, the claimant may have representation, examine pertinent documents, and submit issues and comments in writing.</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FINAL DECISION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13 - EXECUTIVE DEFERRED COMPENSATION PLAN</w:t>
      </w:r>
    </w:p>
    <w:p>
      <w:pPr>
        <w:sectPr>
          <w:pgSz w:w="11900" w:h="16838" w:orient="portrait"/>
          <w:cols w:equalWidth="0" w:num="1">
            <w:col w:w="10219"/>
          </w:cols>
          <w:pgMar w:left="240" w:top="646" w:right="1440" w:bottom="1440" w:gutter="0" w:footer="0" w:header="0"/>
        </w:sectPr>
      </w:pPr>
    </w:p>
    <w:bookmarkStart w:id="121" w:name="page122"/>
    <w:bookmarkEnd w:id="121"/>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decision on review shall normally be made within sixty (60) days. If an extension of time is required for a hearing or other special circumstances, the claimant shall be notified and the time limit shall be one hundred twenty (120) days. The decision shall be in writing and shall state the reasons and the relevant Plan provisions. All decisions on review shall be final and bind all parties concerned.</w:t>
      </w:r>
    </w:p>
    <w:p>
      <w:pPr>
        <w:spacing w:after="0" w:line="17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ARTICLE IX--AMENDMENT AND TERMINATION OF PLAN</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AMENDMENT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Corporation may at any time amend the Plan in whole or in part; provided, however, that any such amendment that would materially increase the benefits provided under the Plan shall be subject to the prior approval of the Board. Provided, further, that no amendment shall be effective to decrease or restrict the amount accrued to the date of Amendment in any Account maintained under the Plan. Changes in the definition of "Interest" shall be subject to the following restrictions:</w:t>
      </w:r>
    </w:p>
    <w:p>
      <w:pPr>
        <w:spacing w:after="0" w:line="175" w:lineRule="exact"/>
        <w:rPr>
          <w:sz w:val="20"/>
          <w:szCs w:val="20"/>
          <w:color w:val="auto"/>
        </w:rPr>
      </w:pPr>
    </w:p>
    <w:p>
      <w:pPr>
        <w:jc w:val="both"/>
        <w:ind w:left="820" w:right="2899" w:firstLine="457"/>
        <w:spacing w:after="0" w:line="249" w:lineRule="auto"/>
        <w:tabs>
          <w:tab w:leader="none" w:pos="164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 change shall not become effective before the first day of the calendar year which follows the adoption of the amendment and at least thirty (30) days written notice of the amendment to the Participant.</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Any change in the definition of Interest after a Change in Control shall apply only to those amounts credited to the Participant's Account as a result of Deferral Commitments made after the Change in Control.</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EMPLOYER'S RIGHT TO TERMINATE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Corporation may at any time partially or completely terminate the Plan if, in its judgment, the tax, accounting or other effects of the continuance of the Plan, or potential payments thereunder would not be in the best interests of the Employer.</w:t>
      </w:r>
    </w:p>
    <w:p>
      <w:pPr>
        <w:spacing w:after="0" w:line="176" w:lineRule="exact"/>
        <w:rPr>
          <w:sz w:val="20"/>
          <w:szCs w:val="20"/>
          <w:color w:val="auto"/>
        </w:rPr>
      </w:pPr>
    </w:p>
    <w:p>
      <w:pPr>
        <w:jc w:val="both"/>
        <w:ind w:left="820" w:right="2899" w:firstLine="457"/>
        <w:spacing w:after="0" w:line="249" w:lineRule="auto"/>
        <w:tabs>
          <w:tab w:leader="none" w:pos="164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TERMINATION. The Corporation may partially terminate the Plan by instructing the Committee not to accept any additional Deferral Commitments. In the event of such a Partial Termination, the Plan shall continue to operate and be effective with regard to Deferral Commitments entered into prior to the effective date of such Partial Termination.</w:t>
      </w:r>
    </w:p>
    <w:p>
      <w:pPr>
        <w:spacing w:after="0" w:line="175" w:lineRule="exact"/>
        <w:rPr>
          <w:rFonts w:ascii="Courier New" w:cs="Courier New" w:eastAsia="Courier New" w:hAnsi="Courier New"/>
          <w:sz w:val="15"/>
          <w:szCs w:val="15"/>
          <w:color w:val="auto"/>
        </w:rPr>
      </w:pPr>
    </w:p>
    <w:p>
      <w:pPr>
        <w:jc w:val="both"/>
        <w:ind w:left="820" w:right="2899" w:firstLine="457"/>
        <w:spacing w:after="0" w:line="249" w:lineRule="auto"/>
        <w:tabs>
          <w:tab w:leader="none" w:pos="164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TERMINATION. The Corporation may completely terminate the Plan by instructing the Committee not to accept any additional Deferral Commitments, and by terminating all ongoing Deferral Commitments. In the event of Complete Termination, the Plan shall cease to operate and the Employer shall pay out to each Participant their Retirement Account as if the Participant had terminated service as of the effective date of the Complete Termination. Payments shall be made in equal annual installments over the period listed below, based on the Retirement Account balance:</w:t>
      </w:r>
    </w:p>
    <w:p>
      <w:pPr>
        <w:spacing w:after="0" w:line="175" w:lineRule="exact"/>
        <w:rPr>
          <w:sz w:val="20"/>
          <w:szCs w:val="20"/>
          <w:color w:val="auto"/>
        </w:rPr>
      </w:pPr>
    </w:p>
    <w:p>
      <w:pPr>
        <w:ind w:left="820"/>
        <w:spacing w:after="0"/>
        <w:tabs>
          <w:tab w:leader="none" w:pos="4380" w:val="left"/>
        </w:tabs>
        <w:rPr>
          <w:sz w:val="20"/>
          <w:szCs w:val="20"/>
          <w:color w:val="auto"/>
        </w:rPr>
      </w:pPr>
      <w:r>
        <w:rPr>
          <w:rFonts w:ascii="Courier New" w:cs="Courier New" w:eastAsia="Courier New" w:hAnsi="Courier New"/>
          <w:sz w:val="15"/>
          <w:szCs w:val="15"/>
          <w:color w:val="auto"/>
        </w:rPr>
        <w:t>RETIREMENT ACCOUNT BALANCE</w:t>
      </w:r>
      <w:r>
        <w:rPr>
          <w:sz w:val="20"/>
          <w:szCs w:val="20"/>
          <w:color w:val="auto"/>
        </w:rPr>
        <w:tab/>
      </w:r>
      <w:r>
        <w:rPr>
          <w:rFonts w:ascii="Courier New" w:cs="Courier New" w:eastAsia="Courier New" w:hAnsi="Courier New"/>
          <w:sz w:val="15"/>
          <w:szCs w:val="15"/>
          <w:color w:val="auto"/>
        </w:rPr>
        <w:t>PAYOUT PERIOD</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Less than $10,000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$10,000 but less than $50,000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w w:val="97"/>
              </w:rPr>
              <w:t>Years</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More than $50,000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w w:val="97"/>
              </w:rPr>
              <w:t>Years</w:t>
            </w:r>
          </w:p>
        </w:tc>
      </w:tr>
    </w:tbl>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14 - EXECUTIVE DEFERRED COMPENSATION PLAN</w:t>
      </w:r>
    </w:p>
    <w:p>
      <w:pPr>
        <w:sectPr>
          <w:pgSz w:w="11900" w:h="16838" w:orient="portrait"/>
          <w:cols w:equalWidth="0" w:num="1">
            <w:col w:w="10219"/>
          </w:cols>
          <w:pgMar w:left="240" w:top="646" w:right="1440" w:bottom="1440" w:gutter="0" w:footer="0" w:header="0"/>
        </w:sectPr>
      </w:pPr>
    </w:p>
    <w:bookmarkStart w:id="122" w:name="page123"/>
    <w:bookmarkEnd w:id="122"/>
    <w:p>
      <w:pPr>
        <w:ind w:left="2560"/>
        <w:spacing w:after="0"/>
        <w:rPr>
          <w:sz w:val="20"/>
          <w:szCs w:val="20"/>
          <w:color w:val="auto"/>
        </w:rPr>
      </w:pPr>
      <w:r>
        <w:rPr>
          <w:rFonts w:ascii="Courier New" w:cs="Courier New" w:eastAsia="Courier New" w:hAnsi="Courier New"/>
          <w:sz w:val="15"/>
          <w:szCs w:val="15"/>
          <w:color w:val="auto"/>
        </w:rPr>
        <w:t>ARTICLE X--MISCELLANEOUS</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UNFUNDED PLAN</w:t>
      </w:r>
    </w:p>
    <w:p>
      <w:pPr>
        <w:spacing w:after="0" w:line="182" w:lineRule="exact"/>
        <w:rPr>
          <w:sz w:val="20"/>
          <w:szCs w:val="20"/>
          <w:color w:val="auto"/>
        </w:rPr>
      </w:pPr>
    </w:p>
    <w:p>
      <w:pPr>
        <w:jc w:val="both"/>
        <w:ind w:right="2899" w:firstLine="824"/>
        <w:spacing w:after="0" w:line="248" w:lineRule="auto"/>
        <w:rPr>
          <w:sz w:val="20"/>
          <w:szCs w:val="20"/>
          <w:color w:val="auto"/>
        </w:rPr>
      </w:pPr>
      <w:r>
        <w:rPr>
          <w:rFonts w:ascii="Courier New" w:cs="Courier New" w:eastAsia="Courier New" w:hAnsi="Courier New"/>
          <w:sz w:val="15"/>
          <w:szCs w:val="15"/>
          <w:color w:val="auto"/>
        </w:rPr>
        <w:t>This Plan is intended to be an unfunded plan maintained primarily to provide deferred compensation benefits for a select group of "management or highly-compensated employees" within the meaning of Sections 201, 301 and 401 of the Employee Retirement Income Security Act of 1974, as amended ("ERISA"), and therefore is exempt from the provisions of Parts 2, 3 and 4 of Title I of ERISA. Accordingly, the Plan shall terminate and no further benefits shall accrue hereunder in the event it is determined by a court of competent jurisdiction or by an opinion of counsel that the Plan constitutes an employee pension benefit plan within the meaning of Section 3(2) of ERISA which is not so exempt. In the event of such termination, all ongoing Deferral Commitments shall terminate, no additional Deferral Commitments will be accepted by the Committee, and the amount of each Participant's vested Account balance shall be distributed to such Participant at such time and in such manner as the Committee, in its sole discretion, determines.</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UNSECURED GENERAL CREDITOR</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the event of Employer's insolvency, Participants and their Beneficiaries, heirs, successors, and assigns shall have no legal or equitable rights, interest or claims in any property or assets of the Employer, nor shall they be Beneficiaries of, or have any rights, claims or interests in any life insurance policies, annuity contracts or the proceeds therefrom owned or which may be acquired by the Employer. In that event, any and all of the Employer's assets and policies shall be, and remain, the general, unpledged, unrestricted assets of the Employer. The Employer's obligation under the Plan shall be that of an unfunded and unsecured promise of the Employer to pay money in the future.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TRUST FUND</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Employer shall be responsible for the payment of all benefits provided under the Plan. At its discretion, the Employer may establish one or more trusts, with such trustees as the Board may approve, for the purpose of providing for the payment of such benefits. Such trust or trusts may be irrevocable, but the assets thereof shall be subject to the claims of the Employer's creditors. To the extent any benefits provided under the Plan are actually paid from any such trust, the Employer shall have no further obligation with respect thereto, but to the extent not so paid, such benefits shall remain the obligation of, and shall be paid by, the Employer.</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NONASSIGNABILITY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NOT A CONTRACT OF EMPLOYMENT</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terms and conditions of the Plan shall not be deemed to constitute a contract of employment between the Employer and the Participant, and the Participant (or his or her Beneficiary) shall have no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15 - EXECUTIVE DEFERRED COMPENSATION PLAN</w:t>
      </w:r>
    </w:p>
    <w:p>
      <w:pPr>
        <w:sectPr>
          <w:pgSz w:w="11900" w:h="16838" w:orient="portrait"/>
          <w:cols w:equalWidth="0" w:num="1">
            <w:col w:w="10219"/>
          </w:cols>
          <w:pgMar w:left="240" w:top="647" w:right="1440" w:bottom="1440" w:gutter="0" w:footer="0" w:header="0"/>
        </w:sectPr>
      </w:pPr>
    </w:p>
    <w:bookmarkStart w:id="123" w:name="page124"/>
    <w:bookmarkEnd w:id="123"/>
    <w:p>
      <w:pPr>
        <w:jc w:val="both"/>
        <w:ind w:right="2899"/>
        <w:spacing w:after="0" w:line="249" w:lineRule="auto"/>
        <w:rPr>
          <w:sz w:val="20"/>
          <w:szCs w:val="20"/>
          <w:color w:val="auto"/>
        </w:rPr>
      </w:pPr>
      <w:r>
        <w:rPr>
          <w:rFonts w:ascii="Courier New" w:cs="Courier New" w:eastAsia="Courier New" w:hAnsi="Courier New"/>
          <w:sz w:val="15"/>
          <w:szCs w:val="15"/>
          <w:color w:val="auto"/>
        </w:rPr>
        <w:t>rights against the Employer except as may otherwise be specifically provided herein. Moreover, nothing in the Plan shall be deemed to give a Participant the right to be retained in the service of the Employer or to interfere with the right of the Employer to discipline or discharge the Participant at any time.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PROTECTIVE PROVISIONS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 Participant will cooperate with the Employer by furnishing any and all information requested by the Employer, in order to facilitate the payment of benefits hereunder, and by taking such physical examinations as the Employer may deem necessary and taking such other action as may be requested by the Employer.</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TERMS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Whenever any words are used herein in the masculine, they shall be construed as though they were used in the feminine in all cases where they would so apply; and wherever any words are used herein in the singular or in the plural, they shall be construed as though they were used in the plural or the singular, as the case may be, in all cases where they would so apply.</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CAPTIONS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captions of the articles, sections and paragraphs of the Plan are for convenience only and shall not control or affect the meaning or construction of any of its provisions.</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GOVERNING LAW; ARBITRATION</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provisions of the Plan shall be construed and interpreted according to the laws of the State of Oregon. Any dispute or claim that arises out of or that relates to the Plan or to the interpretation, breach, or enforcement of the Plan, must be resolved by mandatory arbitration in accordance with the then effective arbitration rules of Arbitration Service of Portland, Inc., and any judgment upon the award rendered pursuant to such arbitration may be entered in any court having jurisdiction thereof.</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VALIDITY</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 case any provision of the Plan shall be held illegal or invalid for any reason, said illegality or invalidity shall not affect the remaining parts hereof, but the Plan shall be construed and enforced as if such illegal and invalid provision had never been inserted herein.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NOTICE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Any notice or filing required or permitted to be given to the Committee under the Plan shall be sufficient if in writing and hand delivered, or sent by registered or certified mail, to any member of the Committee or the Secretary of the Employer. Such notice shall be deemed given as of the date of delivery or, if delivery is made by mail, as of the date shown on the postmark on the receipt for registration or certification.</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SUCCESSORS</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The provisions of the Plan shall bind and inure to the benefit of the Employer and its successors and assigns. The term successors as used herein shall include any corporate or other business entity which</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16 - EXECUTIVE DEFERRED COMPENSATION PLAN</w:t>
      </w:r>
    </w:p>
    <w:p>
      <w:pPr>
        <w:sectPr>
          <w:pgSz w:w="11900" w:h="16838" w:orient="portrait"/>
          <w:cols w:equalWidth="0" w:num="1">
            <w:col w:w="10219"/>
          </w:cols>
          <w:pgMar w:left="240" w:top="647" w:right="1440" w:bottom="1440" w:gutter="0" w:footer="0" w:header="0"/>
        </w:sectPr>
      </w:pPr>
    </w:p>
    <w:bookmarkStart w:id="124" w:name="page125"/>
    <w:bookmarkEnd w:id="124"/>
    <w:p>
      <w:pPr>
        <w:jc w:val="both"/>
        <w:ind w:right="2899"/>
        <w:spacing w:after="0" w:line="249" w:lineRule="auto"/>
        <w:rPr>
          <w:sz w:val="20"/>
          <w:szCs w:val="20"/>
          <w:color w:val="auto"/>
        </w:rPr>
      </w:pPr>
      <w:r>
        <w:rPr>
          <w:rFonts w:ascii="Courier New" w:cs="Courier New" w:eastAsia="Courier New" w:hAnsi="Courier New"/>
          <w:sz w:val="15"/>
          <w:szCs w:val="15"/>
          <w:color w:val="auto"/>
        </w:rPr>
        <w:t>shall, whether by merger, consolidation, purchase or otherwise acquire all or substantially all of the business and assets of the Employer, and successors of any such corporation or other business entity.</w:t>
      </w:r>
    </w:p>
    <w:p>
      <w:pPr>
        <w:spacing w:after="0" w:line="176"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LOUISIANA-PACIFIC CORPORATION</w:t>
      </w:r>
    </w:p>
    <w:p>
      <w:pPr>
        <w:spacing w:after="0" w:line="359" w:lineRule="exact"/>
        <w:rPr>
          <w:sz w:val="20"/>
          <w:szCs w:val="20"/>
          <w:color w:val="auto"/>
        </w:rPr>
      </w:pPr>
    </w:p>
    <w:p>
      <w:pPr>
        <w:ind w:left="3300"/>
        <w:spacing w:after="0"/>
        <w:tabs>
          <w:tab w:leader="none" w:pos="3740" w:val="left"/>
        </w:tabs>
        <w:rPr>
          <w:sz w:val="20"/>
          <w:szCs w:val="20"/>
          <w:color w:val="auto"/>
        </w:rPr>
      </w:pPr>
      <w:r>
        <w:rPr>
          <w:rFonts w:ascii="Courier New" w:cs="Courier New" w:eastAsia="Courier New" w:hAnsi="Courier New"/>
          <w:sz w:val="15"/>
          <w:szCs w:val="15"/>
          <w:color w:val="auto"/>
        </w:rPr>
        <w:t>By:</w:t>
        <w:tab/>
        <w:t>/s/ Mark A. Suwyn</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359" w:lineRule="exact"/>
        <w:rPr>
          <w:sz w:val="20"/>
          <w:szCs w:val="20"/>
          <w:color w:val="auto"/>
        </w:rPr>
      </w:pPr>
    </w:p>
    <w:p>
      <w:pPr>
        <w:ind w:left="3300"/>
        <w:spacing w:after="0"/>
        <w:tabs>
          <w:tab w:leader="none" w:pos="3740" w:val="left"/>
        </w:tabs>
        <w:rPr>
          <w:sz w:val="20"/>
          <w:szCs w:val="20"/>
          <w:color w:val="auto"/>
        </w:rPr>
      </w:pPr>
      <w:r>
        <w:rPr>
          <w:rFonts w:ascii="Courier New" w:cs="Courier New" w:eastAsia="Courier New" w:hAnsi="Courier New"/>
          <w:sz w:val="15"/>
          <w:szCs w:val="15"/>
          <w:color w:val="auto"/>
        </w:rPr>
        <w:t>By:</w:t>
        <w:tab/>
        <w:t>/s/ Anton C. Kirchhof</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Secretary</w:t>
      </w:r>
    </w:p>
    <w:p>
      <w:pPr>
        <w:spacing w:after="0" w:line="359" w:lineRule="exact"/>
        <w:rPr>
          <w:sz w:val="20"/>
          <w:szCs w:val="20"/>
          <w:color w:val="auto"/>
        </w:rPr>
      </w:pPr>
    </w:p>
    <w:p>
      <w:pPr>
        <w:ind w:left="3020"/>
        <w:spacing w:after="0"/>
        <w:tabs>
          <w:tab w:leader="none" w:pos="374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July 1, 1997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17 - EXECUTIVE DEFERRED COMPENSATION PLAN</w:t>
      </w:r>
    </w:p>
    <w:p>
      <w:pPr>
        <w:sectPr>
          <w:pgSz w:w="11900" w:h="16838" w:orient="portrait"/>
          <w:cols w:equalWidth="0" w:num="1">
            <w:col w:w="10219"/>
          </w:cols>
          <w:pgMar w:left="240" w:top="646" w:right="1440" w:bottom="1440" w:gutter="0" w:footer="0" w:header="0"/>
        </w:sectPr>
      </w:pPr>
    </w:p>
    <w:bookmarkStart w:id="125" w:name="page126"/>
    <w:bookmarkEnd w:id="125"/>
    <w:p>
      <w:pPr>
        <w:ind w:left="2380"/>
        <w:spacing w:after="0"/>
        <w:rPr>
          <w:sz w:val="20"/>
          <w:szCs w:val="20"/>
          <w:color w:val="auto"/>
        </w:rPr>
      </w:pPr>
      <w:r>
        <w:rPr>
          <w:rFonts w:ascii="Courier New" w:cs="Courier New" w:eastAsia="Courier New" w:hAnsi="Courier New"/>
          <w:sz w:val="15"/>
          <w:szCs w:val="15"/>
          <w:color w:val="auto"/>
        </w:rPr>
        <w:t>LOUISIANA-PACIFIC CORPORATION</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AND SUBSIDIARIES</w:t>
      </w:r>
    </w:p>
    <w:p>
      <w:pPr>
        <w:spacing w:after="0" w:line="359"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STATE/</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PROVINCE/COUNTRY</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OF DOMICILE</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1"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LOUISIANA-PACIFIC CORPORATION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82" w:lineRule="exact"/>
        <w:rPr>
          <w:sz w:val="20"/>
          <w:szCs w:val="20"/>
          <w:color w:val="auto"/>
        </w:rPr>
      </w:pPr>
    </w:p>
    <w:p>
      <w:pPr>
        <w:sectPr>
          <w:pgSz w:w="11900" w:h="16838" w:orient="portrait"/>
          <w:cols w:equalWidth="0" w:num="2">
            <w:col w:w="4860" w:space="720"/>
            <w:col w:w="4639"/>
          </w:cols>
          <w:pgMar w:left="240" w:top="141"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DOMESTIC SUBSIDIARIES</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1" w:right="1440" w:bottom="1440" w:gutter="0" w:footer="0" w:header="0"/>
          <w:type w:val="continuous"/>
        </w:sectPr>
      </w:pP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ASSOCIATED CHEMISTS, INC.</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CREATIVE POINT, INC.</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GREENSTONE INDUSTRIES, INC.</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PACIFIC RIM RECYCLING, INC.</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GREENSTONE INDUSTRIES-FT. WAYNE, INC.</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KETCHIKAN PULP COMPANY</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LOUISIANA-PACIFIC CORPORATION (W. VA.)</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LOUISIANA-PACIFIC POLYMERS, INC.</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LOUISIANA-PACIFIC TIMBER COMPANY</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L-PSPV, INC.</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LPS CORPORATION</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L-P REDWOOD, LLC</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LOUISIANA-PACIFIC SAMOA, INC.</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WAVERLY TRANSPORTATION, INC.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OREGON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OREGON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OREGON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OREGON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OREGON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182" w:lineRule="exact"/>
        <w:rPr>
          <w:sz w:val="20"/>
          <w:szCs w:val="20"/>
          <w:color w:val="auto"/>
        </w:rPr>
      </w:pPr>
    </w:p>
    <w:p>
      <w:pPr>
        <w:sectPr>
          <w:pgSz w:w="11900" w:h="16838" w:orient="portrait"/>
          <w:cols w:equalWidth="0" w:num="2">
            <w:col w:w="4940" w:space="640"/>
            <w:col w:w="4639"/>
          </w:cols>
          <w:pgMar w:left="240" w:top="141"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FOREIGN SUBSIDIARIES</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1" w:right="1440" w:bottom="1440" w:gutter="0" w:footer="0" w:header="0"/>
          <w:type w:val="continuous"/>
        </w:sectPr>
      </w:pP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LOUISIANA-PACIFIC CANADA LTD.</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LOUISIANA-PACIFIC CANADA DAWSON CREEK LTD</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LOUISIANA-PACIFIC CANADA PULP CO.</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LOUISIANA-PACIFIC DE MEXICO, S.A. DE C.V.</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LOUISIANA-PACIFIC, S.A. DE C.V.</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LOUISIANA-PACIFIC DE VENEZUELA, C.A.</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LOUISIANA-PACIFIC COILLTE IRELAND LIMITED</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L-P FOREIGN SALES CORPORATION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BRITISH COLUMBIA,</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BRITISH COLUMBIA,</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NOVA SCOTIA,</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VENEZUELA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GUAM</w:t>
      </w:r>
    </w:p>
    <w:p>
      <w:pPr>
        <w:sectPr>
          <w:pgSz w:w="11900" w:h="16838" w:orient="portrait"/>
          <w:cols w:equalWidth="0" w:num="2">
            <w:col w:w="5300" w:space="280"/>
            <w:col w:w="4639"/>
          </w:cols>
          <w:pgMar w:left="240" w:top="141" w:right="1440" w:bottom="1440" w:gutter="0" w:footer="0" w:header="0"/>
          <w:type w:val="continuous"/>
        </w:sectPr>
      </w:pPr>
    </w:p>
    <w:bookmarkStart w:id="126" w:name="page127"/>
    <w:bookmarkEnd w:id="126"/>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in this Form 10-K into the registratnt's previously filed Registration Statement File Nos. 2-97014, 33-42276, 33-62944, 33-62317 and 333-10987.</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ARTHUR ANDERSEN LLP</w:t>
      </w:r>
    </w:p>
    <w:p>
      <w:pPr>
        <w:spacing w:after="0" w:line="182" w:lineRule="exact"/>
        <w:rPr>
          <w:sz w:val="20"/>
          <w:szCs w:val="20"/>
          <w:color w:val="auto"/>
        </w:rPr>
      </w:pPr>
    </w:p>
    <w:p>
      <w:pPr>
        <w:jc w:val="right"/>
        <w:ind w:right="8759"/>
        <w:spacing w:after="0"/>
        <w:rPr>
          <w:sz w:val="20"/>
          <w:szCs w:val="20"/>
          <w:color w:val="auto"/>
        </w:rPr>
      </w:pPr>
      <w:r>
        <w:rPr>
          <w:rFonts w:ascii="Courier New" w:cs="Courier New" w:eastAsia="Courier New" w:hAnsi="Courier New"/>
          <w:sz w:val="15"/>
          <w:szCs w:val="15"/>
          <w:color w:val="auto"/>
        </w:rPr>
        <w:t>Portland, Oregon</w:t>
      </w:r>
    </w:p>
    <w:p>
      <w:pPr>
        <w:spacing w:after="0" w:line="6" w:lineRule="exact"/>
        <w:rPr>
          <w:sz w:val="20"/>
          <w:szCs w:val="20"/>
          <w:color w:val="auto"/>
        </w:rPr>
      </w:pPr>
    </w:p>
    <w:p>
      <w:pPr>
        <w:jc w:val="right"/>
        <w:ind w:right="8759"/>
        <w:spacing w:after="0"/>
        <w:rPr>
          <w:sz w:val="20"/>
          <w:szCs w:val="20"/>
          <w:color w:val="auto"/>
        </w:rPr>
      </w:pPr>
      <w:r>
        <w:rPr>
          <w:rFonts w:ascii="Courier New" w:cs="Courier New" w:eastAsia="Courier New" w:hAnsi="Courier New"/>
          <w:sz w:val="15"/>
          <w:szCs w:val="15"/>
          <w:color w:val="auto"/>
        </w:rPr>
        <w:t>March 27, 1998</w:t>
      </w:r>
    </w:p>
    <w:p>
      <w:pPr>
        <w:sectPr>
          <w:pgSz w:w="11900" w:h="16838" w:orient="portrait"/>
          <w:cols w:equalWidth="0" w:num="1">
            <w:col w:w="10219"/>
          </w:cols>
          <w:pgMar w:left="240" w:top="142"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20"/>
                <w:szCs w:val="20"/>
                <w:color w:val="auto"/>
              </w:rPr>
            </w:pPr>
            <w:r>
              <w:rPr>
                <w:rFonts w:ascii="Courier New" w:cs="Courier New" w:eastAsia="Courier New" w:hAnsi="Courier New"/>
                <w:sz w:val="15"/>
                <w:szCs w:val="15"/>
                <w:color w:val="auto"/>
              </w:rPr>
              <w:t>Deloitte &amp;</w:t>
            </w:r>
          </w:p>
        </w:tc>
        <w:tc>
          <w:tcPr>
            <w:tcW w:w="2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Touche LLP</w:t>
            </w:r>
          </w:p>
        </w:tc>
        <w:tc>
          <w:tcPr>
            <w:tcW w:w="2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1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960" w:type="dxa"/>
            <w:vAlign w:val="bottom"/>
          </w:tcPr>
          <w:p>
            <w:pPr>
              <w:spacing w:after="0"/>
              <w:rPr>
                <w:sz w:val="15"/>
                <w:szCs w:val="15"/>
                <w:color w:val="auto"/>
              </w:rPr>
            </w:pPr>
          </w:p>
        </w:tc>
        <w:tc>
          <w:tcPr>
            <w:tcW w:w="2880" w:type="dxa"/>
            <w:vAlign w:val="bottom"/>
          </w:tcPr>
          <w:p>
            <w:pPr>
              <w:ind w:left="780"/>
              <w:spacing w:after="0"/>
              <w:rPr>
                <w:sz w:val="20"/>
                <w:szCs w:val="20"/>
                <w:color w:val="auto"/>
              </w:rPr>
            </w:pPr>
            <w:r>
              <w:rPr>
                <w:rFonts w:ascii="Courier New" w:cs="Courier New" w:eastAsia="Courier New" w:hAnsi="Courier New"/>
                <w:sz w:val="15"/>
                <w:szCs w:val="15"/>
                <w:color w:val="auto"/>
              </w:rPr>
              <w:t>Suite 3900</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rPr>
              <w:t>Telephone: (503)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222-1341</w:t>
            </w:r>
          </w:p>
        </w:tc>
      </w:tr>
      <w:tr>
        <w:trPr>
          <w:trHeight w:val="176"/>
        </w:trPr>
        <w:tc>
          <w:tcPr>
            <w:tcW w:w="1960" w:type="dxa"/>
            <w:vAlign w:val="bottom"/>
          </w:tcPr>
          <w:p>
            <w:pPr>
              <w:spacing w:after="0"/>
              <w:rPr>
                <w:sz w:val="15"/>
                <w:szCs w:val="15"/>
                <w:color w:val="auto"/>
              </w:rPr>
            </w:pPr>
          </w:p>
        </w:tc>
        <w:tc>
          <w:tcPr>
            <w:tcW w:w="2880" w:type="dxa"/>
            <w:vAlign w:val="bottom"/>
          </w:tcPr>
          <w:p>
            <w:pPr>
              <w:ind w:left="780"/>
              <w:spacing w:after="0"/>
              <w:rPr>
                <w:sz w:val="20"/>
                <w:szCs w:val="20"/>
                <w:color w:val="auto"/>
              </w:rPr>
            </w:pPr>
            <w:r>
              <w:rPr>
                <w:rFonts w:ascii="Courier New" w:cs="Courier New" w:eastAsia="Courier New" w:hAnsi="Courier New"/>
                <w:sz w:val="15"/>
                <w:szCs w:val="15"/>
                <w:color w:val="auto"/>
              </w:rPr>
              <w:t>111 S.W. Fifth Avenue</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rPr>
              <w:t>Facsimile: (503)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224-2172</w:t>
            </w:r>
          </w:p>
        </w:tc>
      </w:tr>
      <w:tr>
        <w:trPr>
          <w:trHeight w:val="176"/>
        </w:trPr>
        <w:tc>
          <w:tcPr>
            <w:tcW w:w="1960" w:type="dxa"/>
            <w:vAlign w:val="bottom"/>
          </w:tcPr>
          <w:p>
            <w:pPr>
              <w:spacing w:after="0"/>
              <w:rPr>
                <w:sz w:val="15"/>
                <w:szCs w:val="15"/>
                <w:color w:val="auto"/>
              </w:rPr>
            </w:pPr>
          </w:p>
        </w:tc>
        <w:tc>
          <w:tcPr>
            <w:tcW w:w="45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Portland, Oregon 97204-3698</w:t>
            </w:r>
          </w:p>
        </w:tc>
        <w:tc>
          <w:tcPr>
            <w:tcW w:w="960" w:type="dxa"/>
            <w:vAlign w:val="bottom"/>
          </w:tcPr>
          <w:p>
            <w:pPr>
              <w:spacing w:after="0"/>
              <w:rPr>
                <w:sz w:val="15"/>
                <w:szCs w:val="15"/>
                <w:color w:val="auto"/>
              </w:rPr>
            </w:pP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2"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2-97014, 33-42276, 33-62944, 33-62317, and 333-10987 of Louisiana-Pacific Corporation on Form S-8 of our report dated February 6, 1998, appearing in this Annual Report on Form 10-K of Louisiana-Pacific Corporation for the year ended December 31, 1997.</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ectPr>
          <w:pgSz w:w="11900" w:h="16838" w:orient="portrait"/>
          <w:cols w:equalWidth="0" w:num="1">
            <w:col w:w="10219"/>
          </w:cols>
          <w:pgMar w:left="240" w:top="494" w:right="1440" w:bottom="1440" w:gutter="0" w:footer="0" w:header="0"/>
        </w:sectPr>
      </w:pPr>
    </w:p>
    <w:bookmarkStart w:id="128" w:name="page129"/>
    <w:bookmarkEnd w:id="128"/>
    <w:p>
      <w:pPr>
        <w:ind w:left="1640"/>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ind w:left="2320" w:right="2879" w:hanging="732"/>
        <w:spacing w:after="0" w:line="249" w:lineRule="auto"/>
        <w:tabs>
          <w:tab w:leader="none" w:pos="2300" w:val="left"/>
        </w:tabs>
        <w:rPr>
          <w:sz w:val="20"/>
          <w:szCs w:val="20"/>
          <w:color w:val="auto"/>
        </w:rPr>
      </w:pPr>
      <w:r>
        <w:rPr>
          <w:rFonts w:ascii="Courier New" w:cs="Courier New" w:eastAsia="Courier New" w:hAnsi="Courier New"/>
          <w:sz w:val="15"/>
          <w:szCs w:val="15"/>
          <w:color w:val="auto"/>
        </w:rPr>
        <w:t>This</w:t>
        <w:tab/>
        <w:t>schedule contains summary financial information extracted from Consolidated Financial Statements and Notes included in this Form 10-K and is qualified in its entirety by reference to such financial statements.</w:t>
      </w:r>
    </w:p>
    <w:p>
      <w:pPr>
        <w:spacing w:after="0" w:line="176"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1,000</w:t>
      </w:r>
    </w:p>
    <w:p>
      <w:pPr>
        <w:spacing w:after="0" w:line="359"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12-MOS</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DEC-31-1997</w:t>
      </w:r>
    </w:p>
    <w:p>
      <w:pPr>
        <w:spacing w:after="0" w:line="6"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JAN-01-1997</w:t>
      </w:r>
    </w:p>
    <w:p>
      <w:pPr>
        <w:spacing w:after="0" w:line="6"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DEC-31-1997</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31,900</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146,200</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(2,000)</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258,800</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596,800</w:t>
      </w:r>
    </w:p>
    <w:p>
      <w:pPr>
        <w:spacing w:after="0" w:line="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2,433,900</w:t>
      </w:r>
    </w:p>
    <w:p>
      <w:pPr>
        <w:spacing w:after="0" w:line="6"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(1,242,100)</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2,578,400</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319,300</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572,300</w:t>
      </w:r>
    </w:p>
    <w:p>
      <w:pPr>
        <w:spacing w:after="0" w:line="6"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117,000</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1,169,200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2,578,400</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2,402,500</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2,402,500</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2,322,600</w:t>
      </w:r>
    </w:p>
    <w:p>
      <w:pPr>
        <w:spacing w:after="0" w:line="6"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2,523,500</w:t>
      </w:r>
    </w:p>
    <w:p>
      <w:pPr>
        <w:spacing w:after="0" w:line="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30,900</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(150,000)</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(43,600)</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(101,800)</w:t>
      </w:r>
    </w:p>
    <w:p>
      <w:pPr>
        <w:spacing w:after="0" w:line="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(101,800)</w:t>
      </w:r>
    </w:p>
    <w:p>
      <w:pPr>
        <w:spacing w:after="0" w:line="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(.94)</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9399"/>
      </w:cols>
      <w:pgMar w:left="1060" w:top="4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lowerRoman"/>
      <w:start w:val="10"/>
    </w:lvl>
  </w:abstractNum>
  <w:abstractNum w:abstractNumId="1">
    <w:nsid w:val="275AC794"/>
    <w:multiLevelType w:val="hybridMultilevel"/>
    <w:lvl w:ilvl="0">
      <w:lvlJc w:val="left"/>
      <w:lvlText w:val="(%1)"/>
      <w:numFmt w:val="decimal"/>
      <w:start w:val="1"/>
    </w:lvl>
  </w:abstractNum>
  <w:abstractNum w:abstractNumId="2">
    <w:nsid w:val="39386575"/>
    <w:multiLevelType w:val="hybridMultilevel"/>
    <w:lvl w:ilvl="0">
      <w:lvlJc w:val="left"/>
      <w:lvlText w:val="%1)"/>
      <w:numFmt w:val="decimal"/>
      <w:start w:val="1"/>
    </w:lvl>
  </w:abstractNum>
  <w:abstractNum w:abstractNumId="3">
    <w:nsid w:val="1CF10FD8"/>
    <w:multiLevelType w:val="hybridMultilevel"/>
    <w:lvl w:ilvl="0">
      <w:lvlJc w:val="left"/>
      <w:lvlText w:val="a"/>
      <w:numFmt w:val="bullet"/>
      <w:start w:val="1"/>
    </w:lvl>
  </w:abstractNum>
  <w:abstractNum w:abstractNumId="4">
    <w:nsid w:val="180115BE"/>
    <w:multiLevelType w:val="hybridMultilevel"/>
    <w:lvl w:ilvl="0">
      <w:lvlJc w:val="left"/>
      <w:lvlText w:val="(%1)"/>
      <w:numFmt w:val="decimal"/>
      <w:start w:val="1"/>
    </w:lvl>
    <w:lvl w:ilvl="1">
      <w:lvlJc w:val="left"/>
      <w:lvlText w:val="-"/>
      <w:numFmt w:val="bullet"/>
      <w:start w:val="1"/>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1)"/>
      <w:numFmt w:val="decimal"/>
      <w:start w:val="2"/>
    </w:lvl>
  </w:abstractNum>
  <w:abstractNum w:abstractNumId="7">
    <w:nsid w:val="354FE9F9"/>
    <w:multiLevelType w:val="hybridMultilevel"/>
    <w:lvl w:ilvl="0">
      <w:lvlJc w:val="left"/>
      <w:lvlText w:val="(%1)"/>
      <w:numFmt w:val="decimal"/>
      <w:start w:val="3"/>
    </w:lvl>
    <w:lvl w:ilvl="1">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1."/>
      <w:numFmt w:val="decimal"/>
      <w:start w:val="1"/>
    </w:lvl>
  </w:abstractNum>
  <w:abstractNum w:abstractNumId="10">
    <w:nsid w:val="D34B6A8"/>
    <w:multiLevelType w:val="hybridMultilevel"/>
    <w:lvl w:ilvl="0">
      <w:lvlJc w:val="left"/>
      <w:lvlText w:val="A"/>
      <w:numFmt w:val="bullet"/>
      <w:start w:val="1"/>
    </w:lvl>
  </w:abstractNum>
  <w:abstractNum w:abstractNumId="11">
    <w:nsid w:val="10233C99"/>
    <w:multiLevelType w:val="hybridMultilevel"/>
    <w:lvl w:ilvl="0">
      <w:lvlJc w:val="left"/>
      <w:lvlText w:val="%1."/>
      <w:numFmt w:val="decimal"/>
      <w:start w:val="2"/>
    </w:lvl>
  </w:abstractNum>
  <w:abstractNum w:abstractNumId="12">
    <w:nsid w:val="3F6AB60F"/>
    <w:multiLevelType w:val="hybridMultilevel"/>
    <w:lvl w:ilvl="0">
      <w:lvlJc w:val="left"/>
      <w:lvlText w:val="%1."/>
      <w:numFmt w:val="decimal"/>
      <w:start w:val="3"/>
    </w:lvl>
  </w:abstractNum>
  <w:abstractNum w:abstractNumId="13">
    <w:nsid w:val="61574095"/>
    <w:multiLevelType w:val="hybridMultilevel"/>
    <w:lvl w:ilvl="0">
      <w:lvlJc w:val="left"/>
      <w:lvlText w:val="%1."/>
      <w:numFmt w:val="decimal"/>
      <w:start w:val="5"/>
    </w:lvl>
  </w:abstractNum>
  <w:abstractNum w:abstractNumId="14">
    <w:nsid w:val="7E0C57B1"/>
    <w:multiLevelType w:val="hybridMultilevel"/>
    <w:lvl w:ilvl="0">
      <w:lvlJc w:val="left"/>
      <w:lvlText w:val="%1."/>
      <w:numFmt w:val="decimal"/>
      <w:start w:val="6"/>
    </w:lvl>
  </w:abstractNum>
  <w:abstractNum w:abstractNumId="15">
    <w:nsid w:val="77AE35EB"/>
    <w:multiLevelType w:val="hybridMultilevel"/>
    <w:lvl w:ilvl="0">
      <w:lvlJc w:val="left"/>
      <w:lvlText w:val="%1."/>
      <w:numFmt w:val="decimal"/>
      <w:start w:val="7"/>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1."/>
      <w:numFmt w:val="decimal"/>
      <w:start w:val="8"/>
    </w:lvl>
  </w:abstractNum>
  <w:abstractNum w:abstractNumId="19">
    <w:nsid w:val="2F305DEF"/>
    <w:multiLevelType w:val="hybridMultilevel"/>
    <w:lvl w:ilvl="0">
      <w:lvlJc w:val="left"/>
      <w:lvlText w:val="A"/>
      <w:numFmt w:val="bullet"/>
      <w:start w:val="1"/>
    </w:lvl>
  </w:abstractNum>
  <w:abstractNum w:abstractNumId="20">
    <w:nsid w:val="25A70BF7"/>
    <w:multiLevelType w:val="hybridMultilevel"/>
    <w:lvl w:ilvl="0">
      <w:lvlJc w:val="left"/>
      <w:lvlText w:val="(%1)"/>
      <w:numFmt w:val="lowerRoman"/>
      <w:start w:val="1"/>
    </w:lvl>
  </w:abstractNum>
  <w:abstractNum w:abstractNumId="21">
    <w:nsid w:val="1DBABF00"/>
    <w:multiLevelType w:val="hybridMultilevel"/>
    <w:lvl w:ilvl="0">
      <w:lvlJc w:val="left"/>
      <w:lvlText w:val="A"/>
      <w:numFmt w:val="bullet"/>
      <w:start w:val="1"/>
    </w:lvl>
    <w:lvl w:ilvl="1">
      <w:lvlJc w:val="left"/>
      <w:lvlText w:val="-"/>
      <w:numFmt w:val="bullet"/>
      <w:start w:val="1"/>
    </w:lvl>
  </w:abstractNum>
  <w:abstractNum w:abstractNumId="22">
    <w:nsid w:val="4AD084E9"/>
    <w:multiLevelType w:val="hybridMultilevel"/>
    <w:lvl w:ilvl="0">
      <w:lvlJc w:val="left"/>
      <w:lvlText w:val="%1."/>
      <w:numFmt w:val="decimal"/>
      <w:start w:val="9"/>
    </w:lvl>
  </w:abstractNum>
  <w:abstractNum w:abstractNumId="23">
    <w:nsid w:val="1F48EAA1"/>
    <w:multiLevelType w:val="hybridMultilevel"/>
    <w:lvl w:ilvl="0">
      <w:lvlJc w:val="left"/>
      <w:lvlText w:val="%1."/>
      <w:numFmt w:val="decimal"/>
      <w:start w:val="10"/>
    </w:lvl>
  </w:abstractNum>
  <w:abstractNum w:abstractNumId="24">
    <w:nsid w:val="1381823A"/>
    <w:multiLevelType w:val="hybridMultilevel"/>
    <w:lvl w:ilvl="0">
      <w:lvlJc w:val="left"/>
      <w:lvlText w:val="(%1)"/>
      <w:numFmt w:val="decimal"/>
      <w:start w:val="1"/>
    </w:lvl>
    <w:lvl w:ilvl="1">
      <w:lvlJc w:val="left"/>
      <w:lvlText w:val="-"/>
      <w:numFmt w:val="bullet"/>
      <w:start w:val="1"/>
    </w:lvl>
  </w:abstractNum>
  <w:abstractNum w:abstractNumId="25">
    <w:nsid w:val="5DB70AE5"/>
    <w:multiLevelType w:val="hybridMultilevel"/>
    <w:lvl w:ilvl="0">
      <w:lvlJc w:val="left"/>
      <w:lvlText w:val="%1."/>
      <w:numFmt w:val="upperLetter"/>
      <w:start w:val="1"/>
    </w:lvl>
  </w:abstractNum>
  <w:abstractNum w:abstractNumId="26">
    <w:nsid w:val="100F8FCA"/>
    <w:multiLevelType w:val="hybridMultilevel"/>
    <w:lvl w:ilvl="0">
      <w:lvlJc w:val="left"/>
      <w:lvlText w:val="%1."/>
      <w:numFmt w:val="upperLetter"/>
      <w:start w:val="2"/>
    </w:lvl>
  </w:abstractNum>
  <w:abstractNum w:abstractNumId="27">
    <w:nsid w:val="6590700B"/>
    <w:multiLevelType w:val="hybridMultilevel"/>
    <w:lvl w:ilvl="0">
      <w:lvlJc w:val="left"/>
      <w:lvlText w:val="%1."/>
      <w:numFmt w:val="upperLetter"/>
      <w:start w:val="3"/>
    </w:lvl>
  </w:abstractNum>
  <w:abstractNum w:abstractNumId="28">
    <w:nsid w:val="15014ACB"/>
    <w:multiLevelType w:val="hybridMultilevel"/>
    <w:lvl w:ilvl="0">
      <w:lvlJc w:val="left"/>
      <w:lvlText w:val="%1."/>
      <w:numFmt w:val="decimal"/>
      <w:start w:val="1"/>
    </w:lvl>
  </w:abstractNum>
  <w:abstractNum w:abstractNumId="29">
    <w:nsid w:val="5F5E7FD0"/>
    <w:multiLevelType w:val="hybridMultilevel"/>
    <w:lvl w:ilvl="0">
      <w:lvlJc w:val="left"/>
      <w:lvlText w:val="%1."/>
      <w:numFmt w:val="decimal"/>
      <w:start w:val="3"/>
    </w:lvl>
  </w:abstractNum>
  <w:abstractNum w:abstractNumId="30">
    <w:nsid w:val="98A3148"/>
    <w:multiLevelType w:val="hybridMultilevel"/>
    <w:lvl w:ilvl="0">
      <w:lvlJc w:val="left"/>
      <w:lvlText w:val="%1."/>
      <w:numFmt w:val="decimal"/>
      <w:start w:val="4"/>
    </w:lvl>
  </w:abstractNum>
  <w:abstractNum w:abstractNumId="31">
    <w:nsid w:val="799D0247"/>
    <w:multiLevelType w:val="hybridMultilevel"/>
    <w:lvl w:ilvl="0">
      <w:lvlJc w:val="left"/>
      <w:lvlText w:val="(%1)"/>
      <w:numFmt w:val="lowerLetter"/>
      <w:start w:val="1"/>
    </w:lvl>
  </w:abstractNum>
  <w:abstractNum w:abstractNumId="32">
    <w:nsid w:val="6B94764"/>
    <w:multiLevelType w:val="hybridMultilevel"/>
    <w:lvl w:ilvl="0">
      <w:lvlJc w:val="left"/>
      <w:lvlText w:val="%1."/>
      <w:numFmt w:val="decimal"/>
      <w:start w:val="6"/>
    </w:lvl>
  </w:abstractNum>
  <w:abstractNum w:abstractNumId="33">
    <w:nsid w:val="42C296BD"/>
    <w:multiLevelType w:val="hybridMultilevel"/>
    <w:lvl w:ilvl="0">
      <w:lvlJc w:val="left"/>
      <w:lvlText w:val="(%1)"/>
      <w:numFmt w:val="lowerLetter"/>
      <w:start w:val="1"/>
    </w:lvl>
  </w:abstractNum>
  <w:abstractNum w:abstractNumId="34">
    <w:nsid w:val="168E121F"/>
    <w:multiLevelType w:val="hybridMultilevel"/>
    <w:lvl w:ilvl="0">
      <w:lvlJc w:val="left"/>
      <w:lvlText w:val="%1"/>
      <w:numFmt w:val="lowerLetter"/>
      <w:start w:val="1"/>
    </w:lvl>
    <w:lvl w:ilvl="1">
      <w:lvlJc w:val="left"/>
      <w:lvlText w:val="(%2)"/>
      <w:numFmt w:val="lowerLetter"/>
      <w:start w:val="2"/>
    </w:lvl>
  </w:abstractNum>
  <w:abstractNum w:abstractNumId="35">
    <w:nsid w:val="1EBA5D23"/>
    <w:multiLevelType w:val="hybridMultilevel"/>
    <w:lvl w:ilvl="0">
      <w:lvlJc w:val="left"/>
      <w:lvlText w:val="(%1)"/>
      <w:numFmt w:val="lowerLetter"/>
      <w:start w:val="35"/>
    </w:lvl>
    <w:lvl w:ilvl="1">
      <w:lvlJc w:val="left"/>
      <w:lvlText w:val="(%2)"/>
      <w:numFmt w:val="lowerLetter"/>
      <w:start w:val="3"/>
    </w:lvl>
  </w:abstractNum>
  <w:abstractNum w:abstractNumId="36">
    <w:nsid w:val="661E3F1E"/>
    <w:multiLevelType w:val="hybridMultilevel"/>
    <w:lvl w:ilvl="0">
      <w:lvlJc w:val="left"/>
      <w:lvlText w:val="(%1)"/>
      <w:numFmt w:val="lowerLetter"/>
      <w:start w:val="5"/>
    </w:lvl>
  </w:abstractNum>
  <w:abstractNum w:abstractNumId="37">
    <w:nsid w:val="5DC79EA8"/>
    <w:multiLevelType w:val="hybridMultilevel"/>
    <w:lvl w:ilvl="0">
      <w:lvlJc w:val="left"/>
      <w:lvlText w:val="(%1)"/>
      <w:numFmt w:val="lowerRoman"/>
      <w:start w:val="1"/>
    </w:lvl>
  </w:abstractNum>
  <w:abstractNum w:abstractNumId="38">
    <w:nsid w:val="540A471C"/>
    <w:multiLevelType w:val="hybridMultilevel"/>
    <w:lvl w:ilvl="0">
      <w:lvlJc w:val="left"/>
      <w:lvlText w:val="(%1)"/>
      <w:numFmt w:val="lowerLetter"/>
      <w:start w:val="6"/>
    </w:lvl>
  </w:abstractNum>
  <w:abstractNum w:abstractNumId="39">
    <w:nsid w:val="7BD3EE7B"/>
    <w:multiLevelType w:val="hybridMultilevel"/>
    <w:lvl w:ilvl="0">
      <w:lvlJc w:val="left"/>
      <w:lvlText w:val="(%1)"/>
      <w:numFmt w:val="lowerRoman"/>
      <w:start w:val="1"/>
    </w:lvl>
  </w:abstractNum>
  <w:abstractNum w:abstractNumId="40">
    <w:nsid w:val="51D9C564"/>
    <w:multiLevelType w:val="hybridMultilevel"/>
    <w:lvl w:ilvl="0">
      <w:lvlJc w:val="left"/>
      <w:lvlText w:val="(%1)"/>
      <w:numFmt w:val="lowerLetter"/>
      <w:start w:val="7"/>
    </w:lvl>
  </w:abstractNum>
  <w:abstractNum w:abstractNumId="41">
    <w:nsid w:val="613EFDC5"/>
    <w:multiLevelType w:val="hybridMultilevel"/>
    <w:lvl w:ilvl="0">
      <w:lvlJc w:val="left"/>
      <w:lvlText w:val="(%1)"/>
      <w:numFmt w:val="lowerLetter"/>
      <w:start w:val="8"/>
    </w:lvl>
  </w:abstractNum>
  <w:abstractNum w:abstractNumId="42">
    <w:nsid w:val="BF72B14"/>
    <w:multiLevelType w:val="hybridMultilevel"/>
    <w:lvl w:ilvl="0">
      <w:lvlJc w:val="left"/>
      <w:lvlText w:val="(%1)"/>
      <w:numFmt w:val="lowerLetter"/>
      <w:start w:val="11"/>
    </w:lvl>
  </w:abstractNum>
  <w:abstractNum w:abstractNumId="43">
    <w:nsid w:val="11447B73"/>
    <w:multiLevelType w:val="hybridMultilevel"/>
    <w:lvl w:ilvl="0">
      <w:lvlJc w:val="left"/>
      <w:lvlText w:val="%1."/>
      <w:numFmt w:val="decimal"/>
      <w:start w:val="7"/>
    </w:lvl>
  </w:abstractNum>
  <w:abstractNum w:abstractNumId="44">
    <w:nsid w:val="42963E5A"/>
    <w:multiLevelType w:val="hybridMultilevel"/>
    <w:lvl w:ilvl="0">
      <w:lvlJc w:val="left"/>
      <w:lvlText w:val="%1."/>
      <w:numFmt w:val="decimal"/>
      <w:start w:val="8"/>
    </w:lvl>
  </w:abstractNum>
  <w:abstractNum w:abstractNumId="45">
    <w:nsid w:val="A0382C5"/>
    <w:multiLevelType w:val="hybridMultilevel"/>
    <w:lvl w:ilvl="0">
      <w:lvlJc w:val="left"/>
      <w:lvlText w:val="%1."/>
      <w:numFmt w:val="decimal"/>
      <w:start w:val="10"/>
    </w:lvl>
  </w:abstractNum>
  <w:abstractNum w:abstractNumId="46">
    <w:nsid w:val="8F2B15E"/>
    <w:multiLevelType w:val="hybridMultilevel"/>
    <w:lvl w:ilvl="0">
      <w:lvlJc w:val="left"/>
      <w:lvlText w:val="(%1)"/>
      <w:numFmt w:val="lowerLetter"/>
      <w:start w:val="1"/>
    </w:lvl>
  </w:abstractNum>
  <w:abstractNum w:abstractNumId="47">
    <w:nsid w:val="1A32234B"/>
    <w:multiLevelType w:val="hybridMultilevel"/>
    <w:lvl w:ilvl="0">
      <w:lvlJc w:val="left"/>
      <w:lvlText w:val="(%1)"/>
      <w:numFmt w:val="lowerLetter"/>
      <w:start w:val="1"/>
    </w:lvl>
    <w:lvl w:ilvl="1">
      <w:lvlJc w:val="left"/>
      <w:lvlText w:val="(%2)"/>
      <w:numFmt w:val="lowerRoman"/>
      <w:start w:val="1"/>
    </w:lvl>
  </w:abstractNum>
  <w:abstractNum w:abstractNumId="48">
    <w:nsid w:val="3B0FD379"/>
    <w:multiLevelType w:val="hybridMultilevel"/>
    <w:lvl w:ilvl="0">
      <w:lvlJc w:val="left"/>
      <w:lvlText w:val="(%1)"/>
      <w:numFmt w:val="lowerRoman"/>
      <w:start w:val="1"/>
    </w:lvl>
  </w:abstractNum>
  <w:abstractNum w:abstractNumId="49">
    <w:nsid w:val="68EB2F63"/>
    <w:multiLevelType w:val="hybridMultilevel"/>
    <w:lvl w:ilvl="0">
      <w:lvlJc w:val="left"/>
      <w:lvlText w:val="(%1)"/>
      <w:numFmt w:val="lowerLetter"/>
      <w:start w:val="4"/>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lowerLetter"/>
      <w:start w:val="1"/>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1"/>
    </w:lvl>
  </w:abstractNum>
  <w:abstractNum w:abstractNumId="54">
    <w:nsid w:val="7FFFCA11"/>
    <w:multiLevelType w:val="hybridMultilevel"/>
    <w:lvl w:ilvl="0">
      <w:lvlJc w:val="left"/>
      <w:lvlText w:val="%1"/>
      <w:numFmt w:val="decimal"/>
      <w:start w:val="1"/>
    </w:lvl>
    <w:lvl w:ilvl="1">
      <w:lvlJc w:val="left"/>
      <w:lvlText w:val="(%2)"/>
      <w:numFmt w:val="lowerLetter"/>
      <w:start w:val="1"/>
    </w:lvl>
  </w:abstractNum>
  <w:abstractNum w:abstractNumId="55">
    <w:nsid w:val="1A27709E"/>
    <w:multiLevelType w:val="hybridMultilevel"/>
    <w:lvl w:ilvl="0">
      <w:lvlJc w:val="left"/>
      <w:lvlText w:val="(%1)"/>
      <w:numFmt w:val="decimal"/>
      <w:start w:val="2"/>
    </w:lvl>
    <w:lvl w:ilvl="1">
      <w:lvlJc w:val="left"/>
      <w:lvlText w:val="(%2)"/>
      <w:numFmt w:val="lowerLetter"/>
      <w:start w:val="2"/>
    </w:lvl>
  </w:abstractNum>
  <w:abstractNum w:abstractNumId="56">
    <w:nsid w:val="71EA1109"/>
    <w:multiLevelType w:val="hybridMultilevel"/>
    <w:lvl w:ilvl="0">
      <w:lvlJc w:val="left"/>
      <w:lvlText w:val="(%1)"/>
      <w:numFmt w:val="lowerLetter"/>
      <w:start w:val="1"/>
    </w:lvl>
    <w:lvl w:ilvl="1">
      <w:lvlJc w:val="left"/>
      <w:lvlText w:val="(%2)"/>
      <w:numFmt w:val="lowerRoman"/>
      <w:start w:val="1"/>
    </w:lvl>
  </w:abstractNum>
  <w:abstractNum w:abstractNumId="57">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58">
    <w:nsid w:val="7FB7E0AA"/>
    <w:multiLevelType w:val="hybridMultilevel"/>
    <w:lvl w:ilvl="0">
      <w:lvlJc w:val="left"/>
      <w:lvlText w:val="%1)"/>
      <w:numFmt w:val="lowerLetter"/>
      <w:start w:val="2"/>
    </w:lvl>
  </w:abstractNum>
  <w:abstractNum w:abstractNumId="59">
    <w:nsid w:val="6EB5BD4"/>
    <w:multiLevelType w:val="hybridMultilevel"/>
    <w:lvl w:ilvl="0">
      <w:lvlJc w:val="left"/>
      <w:lvlText w:val="(%1)"/>
      <w:numFmt w:val="lowerLetter"/>
      <w:start w:val="1"/>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1)"/>
      <w:numFmt w:val="lowerLetter"/>
      <w:start w:val="1"/>
    </w:lvl>
  </w:abstractNum>
  <w:abstractNum w:abstractNumId="62">
    <w:nsid w:val="885E1B"/>
    <w:multiLevelType w:val="hybridMultilevel"/>
    <w:lvl w:ilvl="0">
      <w:lvlJc w:val="left"/>
      <w:lvlText w:val="(%1)"/>
      <w:numFmt w:val="lowerLetter"/>
      <w:start w:val="1"/>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Letter"/>
      <w:start w:val="1"/>
    </w:lvl>
    <w:lvl w:ilvl="1">
      <w:lvlJc w:val="left"/>
      <w:lvlText w:val="(%2)"/>
      <w:numFmt w:val="lowerRoman"/>
      <w:start w:val="1"/>
    </w:lvl>
  </w:abstractNum>
  <w:abstractNum w:abstractNumId="65">
    <w:nsid w:val="1716703B"/>
    <w:multiLevelType w:val="hybridMultilevel"/>
    <w:lvl w:ilvl="0">
      <w:lvlJc w:val="left"/>
      <w:lvlText w:val="%1"/>
      <w:numFmt w:val="lowerLetter"/>
      <w:start w:val="1"/>
    </w:lvl>
    <w:lvl w:ilvl="1">
      <w:lvlJc w:val="left"/>
      <w:lvlText w:val="(%2)"/>
      <w:numFmt w:val="lowerLetter"/>
      <w:start w:val="61"/>
    </w:lvl>
  </w:abstractNum>
  <w:abstractNum w:abstractNumId="66">
    <w:nsid w:val="14E17E33"/>
    <w:multiLevelType w:val="hybridMultilevel"/>
    <w:lvl w:ilvl="0">
      <w:lvlJc w:val="left"/>
      <w:lvlText w:val="(%1)"/>
      <w:numFmt w:val="lowerLetter"/>
      <w:start w:val="4"/>
    </w:lvl>
    <w:lvl w:ilvl="1">
      <w:lvlJc w:val="left"/>
      <w:lvlText w:val="%2"/>
      <w:numFmt w:val="lowerLetter"/>
      <w:start w:val="1"/>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lowerLetter"/>
      <w:start w:val="1"/>
    </w:lvl>
  </w:abstractNum>
  <w:abstractNum w:abstractNumId="70">
    <w:nsid w:val="2DF6D648"/>
    <w:multiLevelType w:val="hybridMultilevel"/>
    <w:lvl w:ilvl="0">
      <w:lvlJc w:val="left"/>
      <w:lvlText w:val="(%1)"/>
      <w:numFmt w:val="lowerLetter"/>
      <w:start w:val="1"/>
    </w:lvl>
    <w:lvl w:ilvl="1">
      <w:lvlJc w:val="left"/>
      <w:lvlText w:val="(%2)"/>
      <w:numFmt w:val="lowerRoman"/>
      <w:start w:val="1"/>
    </w:lvl>
  </w:abstractNum>
  <w:abstractNum w:abstractNumId="71">
    <w:nsid w:val="46B7D447"/>
    <w:multiLevelType w:val="hybridMultilevel"/>
    <w:lvl w:ilvl="0">
      <w:lvlJc w:val="left"/>
      <w:lvlText w:val="(%1)"/>
      <w:numFmt w:val="lowerLetter"/>
      <w:start w:val="1"/>
    </w:lvl>
    <w:lvl w:ilvl="1">
      <w:lvlJc w:val="left"/>
      <w:lvlText w:val="(%2)"/>
      <w:numFmt w:val="lowerRoman"/>
      <w:start w:val="1"/>
    </w:lvl>
  </w:abstractNum>
  <w:abstractNum w:abstractNumId="72">
    <w:nsid w:val="4A2AC315"/>
    <w:multiLevelType w:val="hybridMultilevel"/>
    <w:lvl w:ilvl="0">
      <w:lvlJc w:val="left"/>
      <w:lvlText w:val="(%1)"/>
      <w:numFmt w:val="lowerLetter"/>
      <w:start w:val="2"/>
    </w:lvl>
  </w:abstractNum>
  <w:abstractNum w:abstractNumId="73">
    <w:nsid w:val="39EE015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lowerLetter"/>
      <w:start w:val="1"/>
    </w:lvl>
  </w:abstractNum>
  <w:abstractNum w:abstractNumId="76">
    <w:nsid w:val="43F18422"/>
    <w:multiLevelType w:val="hybridMultilevel"/>
    <w:lvl w:ilvl="0">
      <w:lvlJc w:val="left"/>
      <w:lvlText w:val="(%1)"/>
      <w:numFmt w:val="lowerLetter"/>
      <w:start w:val="1"/>
    </w:lvl>
  </w:abstractNum>
  <w:abstractNum w:abstractNumId="77">
    <w:nsid w:val="60EF0119"/>
    <w:multiLevelType w:val="hybridMultilevel"/>
    <w:lvl w:ilvl="0">
      <w:lvlJc w:val="left"/>
      <w:lvlText w:val="(%1)"/>
      <w:numFmt w:val="lowerLetter"/>
      <w:start w:val="3"/>
    </w:lvl>
    <w:lvl w:ilvl="1">
      <w:lvlJc w:val="left"/>
      <w:lvlText w:val="-"/>
      <w:numFmt w:val="bullet"/>
      <w:start w:val="1"/>
    </w:lvl>
  </w:abstractNum>
  <w:abstractNum w:abstractNumId="78">
    <w:nsid w:val="26F324BA"/>
    <w:multiLevelType w:val="hybridMultilevel"/>
    <w:lvl w:ilvl="0">
      <w:lvlJc w:val="left"/>
      <w:lvlText w:val="(%1)"/>
      <w:numFmt w:val="lowerLetter"/>
      <w:start w:val="1"/>
    </w:lvl>
  </w:abstractNum>
  <w:abstractNum w:abstractNumId="79">
    <w:nsid w:val="7F01579B"/>
    <w:multiLevelType w:val="hybridMultilevel"/>
    <w:lvl w:ilvl="0">
      <w:lvlJc w:val="left"/>
      <w:lvlText w:val="(%1)"/>
      <w:numFmt w:val="lowerLetter"/>
      <w:start w:val="1"/>
    </w:lvl>
  </w:abstractNum>
  <w:abstractNum w:abstractNumId="80">
    <w:nsid w:val="49DA307D"/>
    <w:multiLevelType w:val="hybridMultilevel"/>
    <w:lvl w:ilvl="0">
      <w:lvlJc w:val="left"/>
      <w:lvlText w:val="(%1)"/>
      <w:numFmt w:val="lowerLetter"/>
      <w:start w:val="3"/>
    </w:lvl>
    <w:lvl w:ilvl="1">
      <w:lvlJc w:val="left"/>
      <w:lvlText w:val="-"/>
      <w:numFmt w:val="bullet"/>
      <w:start w:val="1"/>
    </w:lvl>
  </w:abstractNum>
  <w:abstractNum w:abstractNumId="81">
    <w:nsid w:val="7055A5F5"/>
    <w:multiLevelType w:val="hybridMultilevel"/>
    <w:lvl w:ilvl="0">
      <w:lvlJc w:val="left"/>
      <w:lvlText w:val="(%1)"/>
      <w:numFmt w:val="lowerLetter"/>
      <w:start w:val="5"/>
    </w:lvl>
  </w:abstractNum>
  <w:abstractNum w:abstractNumId="82">
    <w:nsid w:val="5FB8370B"/>
    <w:multiLevelType w:val="hybridMultilevel"/>
    <w:lvl w:ilvl="0">
      <w:lvlJc w:val="left"/>
      <w:lvlText w:val="(%1)"/>
      <w:numFmt w:val="lowerRoman"/>
      <w:start w:val="1"/>
    </w:lvl>
  </w:abstractNum>
  <w:abstractNum w:abstractNumId="83">
    <w:nsid w:val="50801EE1"/>
    <w:multiLevelType w:val="hybridMultilevel"/>
    <w:lvl w:ilvl="0">
      <w:lvlJc w:val="left"/>
      <w:lvlText w:val="(%1)"/>
      <w:numFmt w:val="lowerLetter"/>
      <w:start w:val="1"/>
    </w:lvl>
    <w:lvl w:ilvl="1">
      <w:lvlJc w:val="left"/>
      <w:lvlText w:val="-"/>
      <w:numFmt w:val="bullet"/>
      <w:start w:val="1"/>
    </w:lvl>
  </w:abstractNum>
  <w:abstractNum w:abstractNumId="84">
    <w:nsid w:val="488AC1A"/>
    <w:multiLevelType w:val="hybridMultilevel"/>
    <w:lvl w:ilvl="0">
      <w:lvlJc w:val="left"/>
      <w:lvlText w:val="%1."/>
      <w:numFmt w:val="upperLetter"/>
      <w:start w:val="1"/>
    </w:lvl>
  </w:abstractNum>
  <w:abstractNum w:abstractNumId="85">
    <w:nsid w:val="5FB8011C"/>
    <w:multiLevelType w:val="hybridMultilevel"/>
    <w:lvl w:ilvl="0">
      <w:lvlJc w:val="left"/>
      <w:lvlText w:val="%1:"/>
      <w:numFmt w:val="lowerLetter"/>
      <w:start w:val="29"/>
    </w:lvl>
  </w:abstractNum>
  <w:abstractNum w:abstractNumId="86">
    <w:nsid w:val="6AA78F7F"/>
    <w:multiLevelType w:val="hybridMultilevel"/>
    <w:lvl w:ilvl="0">
      <w:lvlJc w:val="left"/>
      <w:lvlText w:val="-"/>
      <w:numFmt w:val="bullet"/>
      <w:start w:val="1"/>
    </w:lvl>
    <w:lvl w:ilvl="1">
      <w:lvlJc w:val="left"/>
      <w:lvlText w:val="%2)"/>
      <w:numFmt w:val="decimal"/>
      <w:start w:val="4"/>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1)"/>
      <w:numFmt w:val="lowerLetter"/>
      <w:start w:val="1"/>
    </w:lvl>
  </w:abstractNum>
  <w:abstractNum w:abstractNumId="90">
    <w:nsid w:val="7D5E18F8"/>
    <w:multiLevelType w:val="hybridMultilevel"/>
    <w:lvl w:ilvl="0">
      <w:lvlJc w:val="left"/>
      <w:lvlText w:val="(%1)"/>
      <w:numFmt w:val="lowerLetter"/>
      <w:start w:val="1"/>
    </w:lvl>
    <w:lvl w:ilvl="1">
      <w:lvlJc w:val="left"/>
      <w:lvlText w:val="(%2)"/>
      <w:numFmt w:val="lowerRoman"/>
      <w:start w:val="1"/>
    </w:lvl>
  </w:abstractNum>
  <w:abstractNum w:abstractNumId="91">
    <w:nsid w:val="5F3534A4"/>
    <w:multiLevelType w:val="hybridMultilevel"/>
    <w:lvl w:ilvl="0">
      <w:lvlJc w:val="left"/>
      <w:lvlText w:val="%1"/>
      <w:numFmt w:val="lowerLetter"/>
      <w:start w:val="1"/>
    </w:lvl>
    <w:lvl w:ilvl="1">
      <w:lvlJc w:val="left"/>
      <w:lvlText w:val="(%2)"/>
      <w:numFmt w:val="lowerRoman"/>
      <w:start w:val="1"/>
    </w:lvl>
  </w:abstractNum>
  <w:abstractNum w:abstractNumId="92">
    <w:nsid w:val="73A1821B"/>
    <w:multiLevelType w:val="hybridMultilevel"/>
    <w:lvl w:ilvl="0">
      <w:lvlJc w:val="left"/>
      <w:lvlText w:val="(%1)"/>
      <w:numFmt w:val="lowerLetter"/>
      <w:start w:val="4"/>
    </w:lvl>
    <w:lvl w:ilvl="1">
      <w:lvlJc w:val="left"/>
      <w:lvlText w:val="%2"/>
      <w:numFmt w:val="lowerRoman"/>
      <w:start w:val="1"/>
    </w:lvl>
  </w:abstractNum>
  <w:abstractNum w:abstractNumId="93">
    <w:nsid w:val="7DE67713"/>
    <w:multiLevelType w:val="hybridMultilevel"/>
    <w:lvl w:ilvl="0">
      <w:lvlJc w:val="left"/>
      <w:lvlText w:val="(%1)"/>
      <w:numFmt w:val="decimal"/>
      <w:start w:val="1"/>
    </w:lvl>
  </w:abstractNum>
  <w:abstractNum w:abstractNumId="94">
    <w:nsid w:val="555C55B5"/>
    <w:multiLevelType w:val="hybridMultilevel"/>
    <w:lvl w:ilvl="0">
      <w:lvlJc w:val="left"/>
      <w:lvlText w:val="(%1)"/>
      <w:numFmt w:val="lowerLetter"/>
      <w:start w:val="1"/>
    </w:lvl>
  </w:abstractNum>
  <w:abstractNum w:abstractNumId="95">
    <w:nsid w:val="3FA62ACA"/>
    <w:multiLevelType w:val="hybridMultilevel"/>
    <w:lvl w:ilvl="0">
      <w:lvlJc w:val="left"/>
      <w:lvlText w:val="(%1)"/>
      <w:numFmt w:val="lowerLetter"/>
      <w:start w:val="1"/>
    </w:lvl>
  </w:abstractNum>
  <w:abstractNum w:abstractNumId="96">
    <w:nsid w:val="14FCE74E"/>
    <w:multiLevelType w:val="hybridMultilevel"/>
    <w:lvl w:ilvl="0">
      <w:lvlJc w:val="left"/>
      <w:lvlText w:val="(%1)"/>
      <w:numFmt w:val="lowerLetter"/>
      <w:start w:val="1"/>
    </w:lvl>
  </w:abstractNum>
  <w:abstractNum w:abstractNumId="97">
    <w:nsid w:val="6A3DD3E8"/>
    <w:multiLevelType w:val="hybridMultilevel"/>
    <w:lvl w:ilvl="0">
      <w:lvlJc w:val="left"/>
      <w:lvlText w:val="A"/>
      <w:numFmt w:val="bullet"/>
      <w:start w:val="1"/>
    </w:lvl>
    <w:lvl w:ilvl="1">
      <w:lvlJc w:val="left"/>
      <w:lvlText w:val="(%2)"/>
      <w:numFmt w:val="lowerLetter"/>
      <w:start w:val="1"/>
    </w:lvl>
  </w:abstractNum>
  <w:abstractNum w:abstractNumId="98">
    <w:nsid w:val="71C91298"/>
    <w:multiLevelType w:val="hybridMultilevel"/>
    <w:lvl w:ilvl="0">
      <w:lvlJc w:val="left"/>
      <w:lvlText w:val="(%1)"/>
      <w:numFmt w:val="lowerLetter"/>
      <w:start w:val="1"/>
    </w:lvl>
  </w:abstractNum>
  <w:abstractNum w:abstractNumId="99">
    <w:nsid w:val="9DAF632"/>
    <w:multiLevelType w:val="hybridMultilevel"/>
    <w:lvl w:ilvl="0">
      <w:lvlJc w:val="left"/>
      <w:lvlText w:val="(%1)"/>
      <w:numFmt w:val="lowerLetter"/>
      <w:start w:val="1"/>
    </w:lvl>
  </w:abstractNum>
  <w:abstractNum w:abstractNumId="100">
    <w:nsid w:val="53299938"/>
    <w:multiLevelType w:val="hybridMultilevel"/>
    <w:lvl w:ilvl="0">
      <w:lvlJc w:val="left"/>
      <w:lvlText w:val="(%1)"/>
      <w:numFmt w:val="lowerLetter"/>
      <w:start w:val="1"/>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lowerLetter"/>
      <w:start w:val="1"/>
    </w:lvl>
    <w:lvl w:ilvl="1">
      <w:lvlJc w:val="left"/>
      <w:lvlText w:val="(%2)"/>
      <w:numFmt w:val="lowerRoman"/>
      <w:start w:val="1"/>
    </w:lvl>
  </w:abstractNum>
  <w:abstractNum w:abstractNumId="103">
    <w:nsid w:val="1D545C4D"/>
    <w:multiLevelType w:val="hybridMultilevel"/>
    <w:lvl w:ilvl="0">
      <w:lvlJc w:val="left"/>
      <w:lvlText w:val="(%1)"/>
      <w:numFmt w:val="lowerLetter"/>
      <w:start w:val="2"/>
    </w:lvl>
    <w:lvl w:ilvl="1">
      <w:lvlJc w:val="left"/>
      <w:lvlText w:val="%2"/>
      <w:numFmt w:val="lowerRoman"/>
      <w:start w:val="1"/>
    </w:lvl>
  </w:abstractNum>
  <w:abstractNum w:abstractNumId="104">
    <w:nsid w:val="59ADEA3D"/>
    <w:multiLevelType w:val="hybridMultilevel"/>
    <w:lvl w:ilvl="0">
      <w:lvlJc w:val="left"/>
      <w:lvlText w:val="(%1)"/>
      <w:numFmt w:val="lowerLetter"/>
      <w:start w:val="1"/>
    </w:lvl>
  </w:abstractNum>
  <w:abstractNum w:abstractNumId="105">
    <w:nsid w:val="288F1A34"/>
    <w:multiLevelType w:val="hybridMultilevel"/>
    <w:lvl w:ilvl="0">
      <w:lvlJc w:val="left"/>
      <w:lvlText w:val="(%1)"/>
      <w:numFmt w:val="lowerRoman"/>
      <w:start w:val="1"/>
    </w:lvl>
    <w:lvl w:ilvl="1">
      <w:lvlJc w:val="left"/>
      <w:lvlText w:val="%2)"/>
      <w:numFmt w:val="lowerLetter"/>
      <w:start w:val="1"/>
    </w:lvl>
  </w:abstractNum>
  <w:abstractNum w:abstractNumId="106">
    <w:nsid w:val="2A155DBC"/>
    <w:multiLevelType w:val="hybridMultilevel"/>
    <w:lvl w:ilvl="0">
      <w:lvlJc w:val="left"/>
      <w:lvlText w:val="(%1)"/>
      <w:numFmt w:val="lowerLetter"/>
      <w:start w:val="1"/>
    </w:lvl>
  </w:abstractNum>
  <w:abstractNum w:abstractNumId="107">
    <w:nsid w:val="1D9F6E5F"/>
    <w:multiLevelType w:val="hybridMultilevel"/>
    <w:lvl w:ilvl="0">
      <w:lvlJc w:val="left"/>
      <w:lvlText w:val="(%1)"/>
      <w:numFmt w:val="lowerLetter"/>
      <w:start w:val="1"/>
    </w:lvl>
  </w:abstractNum>
  <w:abstractNum w:abstractNumId="108">
    <w:nsid w:val="97E1B4E"/>
    <w:multiLevelType w:val="hybridMultilevel"/>
    <w:lvl w:ilvl="0">
      <w:lvlJc w:val="left"/>
      <w:lvlText w:val="(%1)"/>
      <w:numFmt w:val="lowerLetter"/>
      <w:start w:val="1"/>
    </w:lvl>
  </w:abstractNum>
  <w:abstractNum w:abstractNumId="109">
    <w:nsid w:val="5108827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2019-12-13T03:29:08Z</dcterms:created>
  <dcterms:modified xsi:type="dcterms:W3CDTF">2019-12-13T03:29:08Z</dcterms:modified>
</cp:coreProperties>
</file>