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81280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64770</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7" w:lineRule="exact"/>
        <w:rPr>
          <w:sz w:val="24"/>
          <w:szCs w:val="24"/>
          <w:color w:val="auto"/>
        </w:rPr>
      </w:pPr>
    </w:p>
    <w:p>
      <w:pPr>
        <w:jc w:val="center"/>
        <w:ind w:left="3200" w:right="40" w:hanging="3155"/>
        <w:spacing w:after="0" w:line="313" w:lineRule="auto"/>
        <w:tabs>
          <w:tab w:leader="none" w:pos="216" w:val="left"/>
        </w:tabs>
        <w:numPr>
          <w:ilvl w:val="0"/>
          <w:numId w:val="1"/>
        </w:numPr>
        <w:rPr>
          <w:rFonts w:ascii="Arial" w:cs="Arial" w:eastAsia="Arial" w:hAnsi="Arial"/>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ind w:left="340" w:right="40"/>
        <w:spacing w:after="0" w:line="351" w:lineRule="auto"/>
        <w:rPr>
          <w:sz w:val="20"/>
          <w:szCs w:val="20"/>
          <w:color w:val="auto"/>
        </w:rPr>
      </w:pPr>
      <w:r>
        <w:rPr>
          <w:rFonts w:ascii="Arial" w:cs="Arial" w:eastAsia="Arial" w:hAnsi="Arial"/>
          <w:sz w:val="18"/>
          <w:szCs w:val="18"/>
          <w:color w:val="auto"/>
        </w:rPr>
        <w:t xml:space="preserve">o </w:t>
      </w:r>
      <w:r>
        <w:rPr>
          <w:rFonts w:ascii="Times New Roman" w:cs="Times New Roman" w:eastAsia="Times New Roman" w:hAnsi="Times New Roman"/>
          <w:sz w:val="21"/>
          <w:szCs w:val="21"/>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Times New Roman" w:cs="Times New Roman" w:eastAsia="Times New Roman" w:hAnsi="Times New Roman"/>
          <w:sz w:val="21"/>
          <w:szCs w:val="21"/>
          <w:b w:val="1"/>
          <w:bCs w:val="1"/>
          <w:color w:val="auto"/>
        </w:rPr>
        <w:t xml:space="preserve">Commission File Number </w:t>
      </w:r>
      <w:r>
        <w:rPr>
          <w:rFonts w:ascii="Times New Roman" w:cs="Times New Roman" w:eastAsia="Times New Roman" w:hAnsi="Times New Roman"/>
          <w:sz w:val="17"/>
          <w:szCs w:val="17"/>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-26670</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6"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4"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62865</wp:posOffset>
            </wp:positionV>
            <wp:extent cx="228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00"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w w:val="98"/>
              </w:rPr>
              <w:t>93-0609074</w:t>
            </w:r>
          </w:p>
        </w:tc>
      </w:tr>
      <w:tr>
        <w:trPr>
          <w:trHeight w:val="146"/>
        </w:trPr>
        <w:tc>
          <w:tcPr>
            <w:tcW w:w="3960" w:type="dxa"/>
            <w:vAlign w:val="bottom"/>
          </w:tcPr>
          <w:p>
            <w:pPr>
              <w:jc w:val="center"/>
              <w:ind w:right="20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00" w:type="dxa"/>
            <w:vAlign w:val="bottom"/>
          </w:tcPr>
          <w:p>
            <w:pPr>
              <w:jc w:val="center"/>
              <w:ind w:left="19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0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1610 West End Avenue, Suite 200, Nashville, TN 37203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63500</wp:posOffset>
            </wp:positionV>
            <wp:extent cx="228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LPX</w:t>
            </w: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8" w:lineRule="exact"/>
        <w:rPr>
          <w:sz w:val="24"/>
          <w:szCs w:val="24"/>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8"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4"/>
        </w:trPr>
        <w:tc>
          <w:tcPr>
            <w:tcW w:w="26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Large accelerated filer</w:t>
            </w:r>
          </w:p>
        </w:tc>
        <w:tc>
          <w:tcPr>
            <w:tcW w:w="2340" w:type="dxa"/>
            <w:vAlign w:val="bottom"/>
          </w:tcPr>
          <w:p>
            <w:pPr>
              <w:ind w:left="660"/>
              <w:spacing w:after="0" w:line="204" w:lineRule="exact"/>
              <w:rPr>
                <w:sz w:val="20"/>
                <w:szCs w:val="20"/>
                <w:color w:val="auto"/>
              </w:rPr>
            </w:pPr>
            <w:r>
              <w:rPr>
                <w:rFonts w:ascii="Arial" w:cs="Arial" w:eastAsia="Arial" w:hAnsi="Arial"/>
                <w:sz w:val="18"/>
                <w:szCs w:val="18"/>
                <w:color w:val="auto"/>
              </w:rPr>
              <w:t>x</w:t>
            </w:r>
          </w:p>
        </w:tc>
        <w:tc>
          <w:tcPr>
            <w:tcW w:w="4120" w:type="dxa"/>
            <w:vAlign w:val="bottom"/>
          </w:tcPr>
          <w:p>
            <w:pPr>
              <w:ind w:left="1540"/>
              <w:spacing w:after="0" w:line="204" w:lineRule="exact"/>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204" w:lineRule="exact"/>
              <w:rPr>
                <w:sz w:val="20"/>
                <w:szCs w:val="20"/>
                <w:color w:val="auto"/>
              </w:rPr>
            </w:pPr>
            <w:r>
              <w:rPr>
                <w:rFonts w:ascii="Arial" w:cs="Arial" w:eastAsia="Arial" w:hAnsi="Arial"/>
                <w:sz w:val="18"/>
                <w:szCs w:val="18"/>
                <w:color w:val="auto"/>
              </w:rPr>
              <w:t>o</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40" w:type="dxa"/>
            <w:vAlign w:val="bottom"/>
          </w:tcPr>
          <w:p>
            <w:pPr>
              <w:ind w:left="660"/>
              <w:spacing w:after="0"/>
              <w:rPr>
                <w:sz w:val="20"/>
                <w:szCs w:val="20"/>
                <w:color w:val="auto"/>
              </w:rPr>
            </w:pPr>
            <w:r>
              <w:rPr>
                <w:rFonts w:ascii="Arial" w:cs="Arial" w:eastAsia="Arial" w:hAnsi="Arial"/>
                <w:sz w:val="18"/>
                <w:szCs w:val="18"/>
                <w:color w:val="auto"/>
              </w:rPr>
              <w:t>o</w:t>
            </w:r>
          </w:p>
        </w:tc>
        <w:tc>
          <w:tcPr>
            <w:tcW w:w="4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10" w:lineRule="exact"/>
        <w:rPr>
          <w:sz w:val="24"/>
          <w:szCs w:val="24"/>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 w:lineRule="exact"/>
        <w:rPr>
          <w:sz w:val="24"/>
          <w:szCs w:val="24"/>
          <w:color w:val="auto"/>
        </w:r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92"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71,695,455 shares of common stock, $1 par value, outstanding as of October 31, 2022.</w:t>
      </w:r>
    </w:p>
    <w:p>
      <w:pPr>
        <w:spacing w:after="0" w:line="1" w:lineRule="exact"/>
        <w:rPr>
          <w:sz w:val="24"/>
          <w:szCs w:val="24"/>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expressed or implied by the forward-looking statements include, but are not limited to, the following, which may be amplified by the invasion of Ukraine by Russia, the sanctions (including their duration), and other measures being imposed in response to this conflict, as well as any escalation or expansion of economic disruption or the conflict’s current scope:</w:t>
      </w:r>
    </w:p>
    <w:p>
      <w:pPr>
        <w:spacing w:after="0" w:line="68"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global pandemics, such as the ongoing COVID-19 pandemic) on the economy, demand for our products or our operations, including the actions and recommendations of governmental authorities to contain such public health issues;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fiscal and monetary policies, including tariffs and levels of employment;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impacts from the ongoing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home construction and repair and remodel activity;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prices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supply of and demand for building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conditions of third-party wholesale distributors and dealers;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relationship between the supply of and demand for raw materials, including wood fiber and resins, used in manufacturing our products;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energy, primarily natural gas, electricity, and diesel fuel;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transportation;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manufacturing our products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launch or production ramp-up of newly introduced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significant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values and exchange rates between the U.S. dollar and other currencies, particularly the Canadian dollar, Brazilian real, and Chilean peso;</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giving rise to environmental liabilities or expenditures;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costs exceeding our warranty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or exploitation of our intellectual property or other proprietary information by others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funding requirements of our defined benefit pension plans;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existing and future product-related litigation, environmental proceedings and remediation efforts, and other legal or environmental proceedings or matters;</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 of covenants and events of default contained in our debt instruments;</w:t>
      </w:r>
    </w:p>
    <w:p>
      <w:pPr>
        <w:spacing w:after="0" w:line="1"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repurchases of our common stock and the payment of dividends on our common stock, which will depend on market and business conditions and other considerations;</w:t>
      </w:r>
    </w:p>
    <w:p>
      <w:pPr>
        <w:spacing w:after="0" w:line="23"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cybersecurity events affecting our information technology systems or those of our third-party providers and the related costs and impact of any disruption on our business; and</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public authorities, war, civil unrest, natural disasters, fire, floods, earthquakes, inclement weather, and other matters beyond our control.</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that we make or that are made by others on our behalf are based on our knowledge of our business and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We undertake no obligation to revise or update any of the forward-looking statements to reflect subsequent events or circumstances except to the extent required by applicable law.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160" w:type="dxa"/>
            <w:vAlign w:val="bottom"/>
            <w:gridSpan w:val="8"/>
          </w:tcPr>
          <w:p>
            <w:pPr>
              <w:jc w:val="center"/>
              <w:ind w:left="1530"/>
              <w:spacing w:after="0"/>
              <w:rPr>
                <w:sz w:val="20"/>
                <w:szCs w:val="20"/>
                <w:color w:val="auto"/>
              </w:rPr>
            </w:pPr>
            <w:r>
              <w:rPr>
                <w:rFonts w:ascii="Times New Roman" w:cs="Times New Roman" w:eastAsia="Times New Roman" w:hAnsi="Times New Roman"/>
                <w:sz w:val="18"/>
                <w:szCs w:val="18"/>
                <w:color w:val="auto"/>
              </w:rPr>
              <w:t>Dollar and share amounts in millions, except per share amounts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320" w:type="dxa"/>
            <w:vAlign w:val="bottom"/>
            <w:gridSpan w:val="2"/>
          </w:tcPr>
          <w:p>
            <w:pPr>
              <w:jc w:val="center"/>
              <w:ind w:left="1234"/>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1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25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26"/>
        </w:trPr>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5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0" w:type="dxa"/>
            <w:vAlign w:val="bottom"/>
          </w:tcPr>
          <w:p>
            <w:pPr>
              <w:spacing w:after="0"/>
              <w:rPr>
                <w:sz w:val="1"/>
                <w:szCs w:val="1"/>
                <w:color w:val="auto"/>
              </w:rPr>
            </w:pPr>
          </w:p>
        </w:tc>
      </w:tr>
      <w:tr>
        <w:trPr>
          <w:trHeight w:val="213"/>
        </w:trPr>
        <w:tc>
          <w:tcPr>
            <w:tcW w:w="38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8"/>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1,507</w:t>
            </w:r>
          </w:p>
        </w:tc>
        <w:tc>
          <w:tcPr>
            <w:tcW w:w="0" w:type="dxa"/>
            <w:vAlign w:val="bottom"/>
          </w:tcPr>
          <w:p>
            <w:pPr>
              <w:spacing w:after="0"/>
              <w:rPr>
                <w:sz w:val="1"/>
                <w:szCs w:val="1"/>
                <w:color w:val="auto"/>
              </w:rPr>
            </w:pPr>
          </w:p>
        </w:tc>
      </w:tr>
      <w:tr>
        <w:trPr>
          <w:trHeight w:val="218"/>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1,482</w:t>
            </w:r>
          </w:p>
        </w:tc>
        <w:tc>
          <w:tcPr>
            <w:tcW w:w="0" w:type="dxa"/>
            <w:vAlign w:val="bottom"/>
          </w:tcPr>
          <w:p>
            <w:pPr>
              <w:spacing w:after="0"/>
              <w:rPr>
                <w:sz w:val="1"/>
                <w:szCs w:val="1"/>
                <w:color w:val="auto"/>
              </w:rPr>
            </w:pPr>
          </w:p>
        </w:tc>
      </w:tr>
      <w:tr>
        <w:trPr>
          <w:trHeight w:val="218"/>
        </w:trPr>
        <w:tc>
          <w:tcPr>
            <w:tcW w:w="3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Equity in unconsolidated affiliate</w:t>
            </w:r>
          </w:p>
        </w:tc>
        <w:tc>
          <w:tcPr>
            <w:tcW w:w="1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1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1,134</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5"/>
        </w:trPr>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5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tcBorders>
              <w:top w:val="single" w:sz="8" w:color="CCEEFF"/>
              <w:bottom w:val="single" w:sz="8" w:color="CCEEFF"/>
            </w:tcBorders>
            <w:gridSpan w:val="2"/>
            <w:vMerge w:val="continue"/>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w:t>
            </w:r>
          </w:p>
        </w:tc>
        <w:tc>
          <w:tcPr>
            <w:tcW w:w="1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 per share of common stock:</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per share continuing operations - basic</w:t>
            </w:r>
          </w:p>
        </w:tc>
        <w:tc>
          <w:tcPr>
            <w:tcW w:w="232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per share discontinued operations - basic</w:t>
            </w:r>
          </w:p>
        </w:tc>
        <w:tc>
          <w:tcPr>
            <w:tcW w:w="1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7"/>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192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per share continuing operations - diluted</w:t>
            </w:r>
          </w:p>
        </w:tc>
        <w:tc>
          <w:tcPr>
            <w:tcW w:w="232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219"/>
        </w:trPr>
        <w:tc>
          <w:tcPr>
            <w:tcW w:w="3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per share discontinued operations - diluted</w:t>
            </w:r>
          </w:p>
        </w:tc>
        <w:tc>
          <w:tcPr>
            <w:tcW w:w="19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7"/>
        </w:trPr>
        <w:tc>
          <w:tcPr>
            <w:tcW w:w="3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92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2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1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of common stock used to compute net income per share: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5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4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3"/>
        </w:trPr>
        <w:tc>
          <w:tcPr>
            <w:tcW w:w="1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43" w:right="61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Changes in defined benefit pension plans</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43"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2260" w:type="dxa"/>
        <w:tblCellMar>
          <w:top w:w="0" w:type="dxa"/>
          <w:left w:w="0" w:type="dxa"/>
          <w:bottom w:w="0" w:type="dxa"/>
          <w:right w:w="0" w:type="dxa"/>
        </w:tblCellMar>
      </w:tblPr>
      <w:tr>
        <w:trPr>
          <w:trHeight w:val="215"/>
        </w:trPr>
        <w:tc>
          <w:tcPr>
            <w:tcW w:w="302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8"/>
        </w:trPr>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r>
      <w:tr>
        <w:trPr>
          <w:trHeight w:val="430"/>
        </w:trPr>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-553085</wp:posOffset>
            </wp:positionV>
            <wp:extent cx="704659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145415"/>
                    </a:xfrm>
                    <a:prstGeom prst="rect">
                      <a:avLst/>
                    </a:prstGeom>
                    <a:noFill/>
                  </pic:spPr>
                </pic:pic>
              </a:graphicData>
            </a:graphic>
          </wp:anchor>
        </w:drawing>
        <w:drawing>
          <wp:anchor simplePos="0" relativeHeight="251657728" behindDoc="1" locked="0" layoutInCell="0" allowOverlap="1">
            <wp:simplePos x="0" y="0"/>
            <wp:positionH relativeFrom="column">
              <wp:posOffset>-1983740</wp:posOffset>
            </wp:positionH>
            <wp:positionV relativeFrom="paragraph">
              <wp:posOffset>-269875</wp:posOffset>
            </wp:positionV>
            <wp:extent cx="70465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00" w:space="120"/>
            <w:col w:w="7980"/>
          </w:cols>
          <w:pgMar w:left="400" w:top="1008" w:right="399" w:bottom="1440" w:gutter="0" w:footer="0" w:header="0"/>
        </w:sectPr>
      </w:pPr>
    </w:p>
    <w:tbl>
      <w:tblPr>
        <w:tblLayout w:type="fixed"/>
        <w:tblInd w:w="0" w:type="dxa"/>
        <w:tblCellMar>
          <w:top w:w="0" w:type="dxa"/>
          <w:left w:w="0" w:type="dxa"/>
          <w:bottom w:w="0" w:type="dxa"/>
          <w:right w:w="0" w:type="dxa"/>
        </w:tblCellMar>
      </w:tblPr>
      <w:tr>
        <w:trPr>
          <w:trHeight w:val="215"/>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8"/>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1,164</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associated with noncontrolling interest</w:t>
            </w:r>
          </w:p>
        </w:tc>
        <w:tc>
          <w:tcPr>
            <w:tcW w:w="5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8"/>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attributed to LP</w:t>
            </w: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w:t>
            </w:r>
          </w:p>
        </w:tc>
        <w:tc>
          <w:tcPr>
            <w:tcW w:w="34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1,078</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1,165</w:t>
            </w:r>
          </w:p>
        </w:tc>
      </w:tr>
      <w:tr>
        <w:trPr>
          <w:trHeight w:val="22"/>
        </w:trPr>
        <w:tc>
          <w:tcPr>
            <w:tcW w:w="5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08" w:right="39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Receivables, net of allowance for doubtful accounts of $1 million as of September 30, 2022, and December 31,</w:t>
            </w: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890</w:t>
            </w:r>
          </w:p>
        </w:tc>
        <w:tc>
          <w:tcPr>
            <w:tcW w:w="0" w:type="dxa"/>
            <w:vAlign w:val="bottom"/>
          </w:tcPr>
          <w:p>
            <w:pPr>
              <w:spacing w:after="0"/>
              <w:rPr>
                <w:sz w:val="1"/>
                <w:szCs w:val="1"/>
                <w:color w:val="auto"/>
              </w:rPr>
            </w:pPr>
          </w:p>
        </w:tc>
      </w:tr>
      <w:tr>
        <w:trPr>
          <w:trHeight w:val="76"/>
        </w:trPr>
        <w:tc>
          <w:tcPr>
            <w:tcW w:w="7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Timber and timberlands</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2,194</w:t>
            </w:r>
          </w:p>
        </w:tc>
        <w:tc>
          <w:tcPr>
            <w:tcW w:w="0" w:type="dxa"/>
            <w:vAlign w:val="bottom"/>
          </w:tcPr>
          <w:p>
            <w:pPr>
              <w:spacing w:after="0"/>
              <w:rPr>
                <w:sz w:val="1"/>
                <w:szCs w:val="1"/>
                <w:color w:val="auto"/>
              </w:rPr>
            </w:pPr>
          </w:p>
        </w:tc>
      </w:tr>
      <w:tr>
        <w:trPr>
          <w:trHeight w:val="48"/>
        </w:trPr>
        <w:tc>
          <w:tcPr>
            <w:tcW w:w="75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75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351</w:t>
            </w:r>
          </w:p>
        </w:tc>
        <w:tc>
          <w:tcPr>
            <w:tcW w:w="0" w:type="dxa"/>
            <w:vAlign w:val="bottom"/>
          </w:tcPr>
          <w:p>
            <w:pPr>
              <w:spacing w:after="0"/>
              <w:rPr>
                <w:sz w:val="1"/>
                <w:szCs w:val="1"/>
                <w:color w:val="auto"/>
              </w:rPr>
            </w:pPr>
          </w:p>
        </w:tc>
      </w:tr>
      <w:tr>
        <w:trPr>
          <w:trHeight w:val="76"/>
        </w:trPr>
        <w:tc>
          <w:tcPr>
            <w:tcW w:w="7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Contingency reserves, excluding current portion</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8"/>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955</w:t>
            </w:r>
          </w:p>
        </w:tc>
        <w:tc>
          <w:tcPr>
            <w:tcW w:w="0" w:type="dxa"/>
            <w:vAlign w:val="bottom"/>
          </w:tcPr>
          <w:p>
            <w:pPr>
              <w:spacing w:after="0"/>
              <w:rPr>
                <w:sz w:val="1"/>
                <w:szCs w:val="1"/>
                <w:color w:val="auto"/>
              </w:rPr>
            </w:pPr>
          </w:p>
        </w:tc>
      </w:tr>
      <w:tr>
        <w:trPr>
          <w:trHeight w:val="96"/>
        </w:trPr>
        <w:tc>
          <w:tcPr>
            <w:tcW w:w="7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97"/>
        </w:trPr>
        <w:tc>
          <w:tcPr>
            <w:tcW w:w="7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58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$1 par value, 200,000,000 shares authorized; 87,986,865 and 71,690,061 shares issued and</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respectively, as of September 30, 2022; and 102,415,883 and 85,636,154 shares issued and</w:t>
            </w:r>
          </w:p>
        </w:tc>
        <w:tc>
          <w:tcPr>
            <w:tcW w:w="1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respectively, as of December 31, 2021</w:t>
            </w: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Treasury stock, 16,296,804 shares and 16,779,729 shares, at cost as of September 30, 2022, and December 31,</w:t>
            </w:r>
          </w:p>
        </w:tc>
        <w:tc>
          <w:tcPr>
            <w:tcW w:w="1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2021, respectively</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1,235</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40" w:type="dxa"/>
            <w:vAlign w:val="bottom"/>
            <w:tcBorders>
              <w:bottom w:val="single" w:sz="8" w:color="auto"/>
            </w:tcBorders>
          </w:tcPr>
          <w:p>
            <w:pPr>
              <w:spacing w:after="0"/>
              <w:rPr>
                <w:sz w:val="18"/>
                <w:szCs w:val="18"/>
                <w:color w:val="auto"/>
              </w:rPr>
            </w:pPr>
          </w:p>
        </w:tc>
      </w:tr>
      <w:tr>
        <w:trPr>
          <w:trHeight w:val="211"/>
        </w:trPr>
        <w:tc>
          <w:tcPr>
            <w:tcW w:w="75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19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18"/>
                <w:szCs w:val="18"/>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net income:</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assets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taxes</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12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adjustments, net</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acquisitions and divestitures):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3"/>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0"/>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 net of receivables</w:t>
            </w:r>
          </w:p>
        </w:tc>
        <w:tc>
          <w:tcPr>
            <w:tcW w:w="1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1,103</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1,283</w:t>
            </w:r>
          </w:p>
        </w:tc>
      </w:tr>
      <w:tr>
        <w:trPr>
          <w:trHeight w:val="19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18"/>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additions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r>
      <w:tr>
        <w:trPr>
          <w:trHeight w:val="197"/>
        </w:trPr>
        <w:tc>
          <w:tcPr>
            <w:tcW w:w="20" w:type="dxa"/>
            <w:vAlign w:val="bottom"/>
            <w:shd w:val="clear" w:color="auto" w:fill="CCEEFF"/>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Borrowing of long-term debt</w:t>
            </w:r>
          </w:p>
        </w:tc>
        <w:tc>
          <w:tcPr>
            <w:tcW w:w="7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long-term debt, including redemption premium</w:t>
            </w:r>
          </w:p>
        </w:tc>
        <w:tc>
          <w:tcPr>
            <w:tcW w:w="7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3"/>
        </w:trPr>
        <w:tc>
          <w:tcPr>
            <w:tcW w:w="20" w:type="dxa"/>
            <w:vAlign w:val="bottom"/>
          </w:tcPr>
          <w:p>
            <w:pPr>
              <w:spacing w:after="0"/>
              <w:rPr>
                <w:sz w:val="18"/>
                <w:szCs w:val="18"/>
                <w:color w:val="auto"/>
              </w:rPr>
            </w:pPr>
          </w:p>
        </w:tc>
        <w:tc>
          <w:tcPr>
            <w:tcW w:w="7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7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tc>
        <w:tc>
          <w:tcPr>
            <w:tcW w:w="7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(968)</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(1,058)</w:t>
            </w:r>
          </w:p>
        </w:tc>
      </w:tr>
      <w:tr>
        <w:trPr>
          <w:trHeight w:val="207"/>
        </w:trPr>
        <w:tc>
          <w:tcPr>
            <w:tcW w:w="20" w:type="dxa"/>
            <w:vAlign w:val="bottom"/>
            <w:tcBorders>
              <w:bottom w:val="single" w:sz="8" w:color="CCEEFF"/>
            </w:tcBorders>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EFFECT OF EXCHANGE RATE ON CASH, CASH EQUIVALENTS, AND RESTRICTED CASH</w:t>
            </w:r>
          </w:p>
        </w:tc>
        <w:tc>
          <w:tcPr>
            <w:tcW w:w="7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7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5"/>
        </w:trPr>
        <w:tc>
          <w:tcPr>
            <w:tcW w:w="20" w:type="dxa"/>
            <w:vAlign w:val="bottom"/>
            <w:shd w:val="clear" w:color="auto" w:fill="CCEEFF"/>
          </w:tcPr>
          <w:p>
            <w:pPr>
              <w:spacing w:after="0"/>
              <w:rPr>
                <w:sz w:val="15"/>
                <w:szCs w:val="15"/>
                <w:color w:val="auto"/>
              </w:rPr>
            </w:pPr>
          </w:p>
        </w:tc>
        <w:tc>
          <w:tcPr>
            <w:tcW w:w="75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paid for income taxes, net of cash received</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9"/>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 net of cash received</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Unpaid capital expenditures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 and share amounts 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98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060" w:type="dxa"/>
            <w:vAlign w:val="bottom"/>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1,235</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1,613</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2"/>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w:t>
            </w:r>
          </w:p>
        </w:tc>
        <w:tc>
          <w:tcPr>
            <w:tcW w:w="0" w:type="dxa"/>
            <w:vAlign w:val="bottom"/>
          </w:tcPr>
          <w:p>
            <w:pPr>
              <w:spacing w:after="0"/>
              <w:rPr>
                <w:sz w:val="1"/>
                <w:szCs w:val="1"/>
                <w:color w:val="auto"/>
              </w:rPr>
            </w:pPr>
          </w:p>
        </w:tc>
      </w:tr>
      <w:tr>
        <w:trPr>
          <w:trHeight w:val="20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(0.22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Compensation expense associated with</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1,361</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5"/>
                <w:szCs w:val="5"/>
                <w:color w:val="auto"/>
              </w:rPr>
            </w:pPr>
          </w:p>
        </w:tc>
        <w:tc>
          <w:tcPr>
            <w:tcW w:w="100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00" w:type="dxa"/>
            <w:vAlign w:val="bottom"/>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268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4"/>
                <w:szCs w:val="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4"/>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1,234</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80"/>
              <w:spacing w:after="0" w:line="165" w:lineRule="exact"/>
              <w:rPr>
                <w:sz w:val="20"/>
                <w:szCs w:val="20"/>
                <w:color w:val="auto"/>
              </w:rPr>
            </w:pPr>
            <w:r>
              <w:rPr>
                <w:rFonts w:ascii="Times New Roman" w:cs="Times New Roman" w:eastAsia="Times New Roman" w:hAnsi="Times New Roman"/>
                <w:sz w:val="16"/>
                <w:szCs w:val="16"/>
                <w:color w:val="auto"/>
              </w:rPr>
              <w:t>Taxes paid related to net settlement of</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awards</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Compensation expense associated</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with stock-based compensation</w:t>
            </w: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1,404</w:t>
            </w:r>
          </w:p>
        </w:tc>
        <w:tc>
          <w:tcPr>
            <w:tcW w:w="0" w:type="dxa"/>
            <w:vAlign w:val="bottom"/>
          </w:tcPr>
          <w:p>
            <w:pPr>
              <w:spacing w:after="0"/>
              <w:rPr>
                <w:sz w:val="1"/>
                <w:szCs w:val="1"/>
                <w:color w:val="auto"/>
              </w:rPr>
            </w:pPr>
          </w:p>
        </w:tc>
      </w:tr>
      <w:tr>
        <w:trPr>
          <w:trHeight w:val="22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Dividends paid ($0.16 per share)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under stock plans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162"/>
        </w:trPr>
        <w:tc>
          <w:tcPr>
            <w:tcW w:w="26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8"/>
        </w:trPr>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446</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0" w:type="dxa"/>
            <w:vAlign w:val="bottom"/>
          </w:tcPr>
          <w:p>
            <w:pPr>
              <w:spacing w:after="0"/>
              <w:rPr>
                <w:sz w:val="1"/>
                <w:szCs w:val="1"/>
                <w:color w:val="auto"/>
              </w:rPr>
            </w:pPr>
          </w:p>
        </w:tc>
      </w:tr>
      <w:tr>
        <w:trPr>
          <w:trHeight w:val="211"/>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attributed to LP</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 ($0.18 per share)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162"/>
        </w:trPr>
        <w:tc>
          <w:tcPr>
            <w:tcW w:w="268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Compensation expense associated</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stock-based compensation</w:t>
            </w: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1,368</w:t>
            </w: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72" w:right="35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FOR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and reliability. The Company operates 22 plants in our continuing operations across the U.S., Canada, Chile, and Brazil through foreign subsidiaries, and it operates facilities through joint ventures. The principal customers for our building solutions are retailers, wholesalers, and homebuilding and industrial businesses in North America and South America, with limited sales to Asia, Australia, and Europe. References to "LP," the "Company," "we," "our," and "us" refer to Louisiana-Pacific Corporation and its consolidated subsidiaries as a whole.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2022, LP and one of its wholly-owned subsidiaries sold the assets related to the Engineered Wood Products (EWP) segment to Pacific Woodtech Corporation, a Washington corporation, and Pacific Woodtech Canada Holdings Limited, a British Columbia limited company (collectively, the Purchaser) for $217 million in gross cash proceeds after taking into account working capital adjustments (including $3 million received subsequent to September 30, 2022). Upon closing, the Company entered into a transition services agreement (TSA) with the Purchaser, pursuant to which the Company agreed to support the various activities of the EWP segment for a period not to exceed eight months. We have classified the related assets and liabilities associated with the EWP segment as discontinued operations in our Condensed Consolidated Balance Sheets. The results of our EWP segment have been presented as discontinued operations in our Condensed Consolidated Statements of Income for all periods presented. See Note 7 –Discontinued Operations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2021, filed with the SEC on February 22, 2022 (2021 Annual Report on Form 10-K). Results of operations for interim periods are not necessarily indicative of results to be expected for an entire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 revenues, disaggregated by revenue source. We disaggregate revenue from contracts with customers into major product lines. We have determined that disaggregating revenue into these categories achieves the disclosure objective to depict how the nature, amount, timing, and uncertainty of revenue and cash flows are affected by economic factors.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in the segment reporting information in Note 17 below, our reportable segments are Siding, Oriented Strand Board (OSB), and South America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4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28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4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5"/>
        </w:trPr>
        <w:tc>
          <w:tcPr>
            <w:tcW w:w="28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11" w:name="page12"/>
    <w:bookmarkEnd w:id="11"/>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4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6"/>
        </w:trPr>
        <w:tc>
          <w:tcPr>
            <w:tcW w:w="28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2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By product type and family:</w:t>
            </w:r>
          </w:p>
        </w:tc>
        <w:tc>
          <w:tcPr>
            <w:tcW w:w="2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20"/>
                <w:szCs w:val="20"/>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CCEEFF"/>
            </w:tcBorders>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Value-add</w:t>
            </w: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Siding Solutions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4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9"/>
        </w:trPr>
        <w:tc>
          <w:tcPr>
            <w:tcW w:w="20" w:type="dxa"/>
            <w:vAlign w:val="bottom"/>
            <w:shd w:val="clear" w:color="auto" w:fill="CCEEFF"/>
          </w:tcPr>
          <w:p>
            <w:pPr>
              <w:spacing w:after="0"/>
              <w:rPr>
                <w:sz w:val="19"/>
                <w:szCs w:val="19"/>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r>
      <w:tr>
        <w:trPr>
          <w:trHeight w:val="207"/>
        </w:trPr>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w:t>
            </w: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4"/>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Commodity</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OSB - commodity</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253"/>
        </w:trPr>
        <w:tc>
          <w:tcPr>
            <w:tcW w:w="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175"/>
        </w:trPr>
        <w:tc>
          <w:tcPr>
            <w:tcW w:w="2800" w:type="dxa"/>
            <w:vAlign w:val="bottom"/>
            <w:gridSpan w:val="5"/>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products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7"/>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3,080</w:t>
            </w: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obligations under the terms of a contract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upon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(dollar and share amounts in millions, except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308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for discontinued operations, net of income taxes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attributed to LP</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Dilutive effect of employee stock plans</w:t>
            </w:r>
          </w:p>
        </w:tc>
        <w:tc>
          <w:tcPr>
            <w:tcW w:w="9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for diluted earnings per share</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basic:</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basic</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BFE4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22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diluted:</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attributed to LP per share - diluted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Trading securities consist of rabbi trust financial assets, which are recorded in Other assets in our Condensed Consolidated Balance Sheets. The assets of the rabbi trust are invested in mutual funds and are reported at fair value based on active market quotations, which represent Level 1 inputs.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3.625% Senior Notes due in 2029 (2029 Senior Notes) was estimated to be $276 million and $358 million as of September 30, 2022, and December 31, 2021, respectively, based on market quotations. The 2029 Senior Notes and other long-term debt are categorized as Level 1 in the U.S. GAAP fair value hierarchy.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are based on trading activity among the Company’s lenders and the average bid and ask price is determined using published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amounts borrowed under our Amended Credit Facility (defined below) as of September 30, 2022.</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Carrying amounts reported on the balance sheet for cash and cash equivalents, accounts receivables, and accounts payable approximate fair value due to the short-term maturity of these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consisted of the following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74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1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receivables are primarily generated by sales of our products to our wholesale and retail customers. Other receivables as of September 30, 2022, and December 31, 2021, primarily consist of sales tax receivables, vendor rebates, and other miscellaneous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Logs</w:t>
            </w:r>
          </w:p>
        </w:tc>
        <w:tc>
          <w:tcPr>
            <w:tcW w:w="1760" w:type="dxa"/>
            <w:vAlign w:val="bottom"/>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raw materials</w:t>
            </w:r>
          </w:p>
        </w:tc>
        <w:tc>
          <w:tcPr>
            <w:tcW w:w="1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Semi-finished inventory</w:t>
            </w:r>
          </w:p>
        </w:tc>
        <w:tc>
          <w:tcPr>
            <w:tcW w:w="1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1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bottom w:val="single" w:sz="8" w:color="auto"/>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Wood Products (EWP)</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2022, the Company completed the sale of the assets related to the EWP segment to the Purchaser. As a result of the sale, the Company received $217 million in gross cash proceeds after taking into account working capital adjustments (including $3 million received subsequent to September 30, 2022). The Company paid $12 million in direct transaction costs, resulting in net proceeds of $205 million. The net carrying value of the EWP assets at the time of sale was $87 million, which resulted in a pre-tax gain of approximately $118 million within Income from discontinued operations in the Condensed Consolidated Statements of Income.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closing, the Company entered into the TSA with the Purchaser, pursuant to which the Company agreed to support the various activities of the EWP segment for a period not to exceed eight months. During the three months ended September 30, 2022, the Company collected $33 million on the Purchaser's behalf pursuant to the TSA. As of September 30, 2022, the Company has $14 million due to the Purchaser, which is included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classified the results of its EWP segment as discontinued operations in its Condensed Consolidated Statements of Income and we have classified the related assets and liabilities associated with the EWP segment as discontinued operations in our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EWP Joint Ventures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sold our 50% equity interest in two joint ventures that produce I-joists to Resolute Forest Products Inc. for $59 million. The total net carrying value of our equity method investment at the date of sale was $19 million, and we recognized a gain associated with the sale of $39 million within Income from discontinued operations in the Condensed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financial results of the EWP segment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302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7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w:t>
            </w:r>
          </w:p>
        </w:tc>
      </w:tr>
      <w:tr>
        <w:trPr>
          <w:trHeight w:val="213"/>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2"/>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of discontinued operations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non-operating items</w:t>
            </w:r>
          </w:p>
        </w:tc>
        <w:tc>
          <w:tcPr>
            <w:tcW w:w="9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disposal before income taxes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before income taxes</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r>
      <w:tr>
        <w:trPr>
          <w:trHeight w:val="218"/>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8"/>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income taxes</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r>
      <w:tr>
        <w:trPr>
          <w:trHeight w:val="22"/>
        </w:trPr>
        <w:tc>
          <w:tcPr>
            <w:tcW w:w="5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total cash provided by operations and total cash used for investing activities related to the EWP segment and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September 30, 2022 and 2021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7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discontinued operating activities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discontinued investing activities</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discontinued investing activities for the nine months ended September 30, 2022, includes $59 million of proceeds from the sale of our 50% equity interest in two joint ventures that produce I-joists and $202 million of net proceeds from the sale of the EWP segment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carrying amounts of discontinued operations related to the EWP segment in the Condensed Consolidated Balance Sheets (in millions):</w:t>
      </w:r>
    </w:p>
    <w:p>
      <w:pPr>
        <w:sectPr>
          <w:pgSz w:w="11900" w:h="16838" w:orient="portrait"/>
          <w:cols w:equalWidth="0" w:num="1">
            <w:col w:w="11240"/>
          </w:cols>
          <w:pgMar w:left="320" w:top="1417" w:right="339" w:bottom="1440" w:gutter="0" w:footer="0" w:header="0"/>
        </w:sect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amounts of assets included as part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Timber and timberlands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Operating lease assets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assets classified as discontinued operations in the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amounts of liabilities included as part of discontinued operations: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classified as discontinued operations in the Condensed Consolidated Balance Sheet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409"/>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1"/>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w:t>
            </w:r>
          </w:p>
        </w:tc>
      </w:tr>
      <w:tr>
        <w:trPr>
          <w:trHeight w:val="22"/>
        </w:trPr>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649"/>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1"/>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r>
      <w:tr>
        <w:trPr>
          <w:trHeight w:val="22"/>
        </w:trPr>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720"/>
            <w:col w:w="1980"/>
          </w:cols>
          <w:pgMar w:left="320" w:top="1417"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OTHER INTANGIBLES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goodwill and other intangible assets for the nine months ended September 30, 2022, are provided in the following table (dollar amounts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Timber licenses</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16"/>
                <w:szCs w:val="16"/>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Developed</w:t>
            </w:r>
          </w:p>
        </w:tc>
        <w:tc>
          <w:tcPr>
            <w:tcW w:w="200" w:type="dxa"/>
            <w:vAlign w:val="bottom"/>
          </w:tcPr>
          <w:p>
            <w:pPr>
              <w:spacing w:after="0"/>
              <w:rPr>
                <w:sz w:val="16"/>
                <w:szCs w:val="16"/>
                <w:color w:val="auto"/>
              </w:rPr>
            </w:pPr>
          </w:p>
        </w:tc>
        <w:tc>
          <w:tcPr>
            <w:tcW w:w="12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Trademarks</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2021</w:t>
            </w: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September 30, 2022</w:t>
            </w: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Timber licenses are included in Timber and timberlands on the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REDEEMABLE NONCONTROLLING INTEREST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 is interest in subsidiaries that is redeemable outside of our control, either for cash or other assets. These interests are classified as mezzanine equity and measured at the greater of estimated redemption value or carrying value at the end of each reporting period. Net loss attributed to noncontrolling interest is recorded in the Condensed Consolidated Statements of Income. Any adjustments to the redemption value of redeemable noncontrolling interest are recognized in either net income or through accumulated paid-in capital, depending on the nature of the underlying security (preferred or common units).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redeemable noncontrolling interest as of September 30, 2022, were as follows (dollar amounts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December 31, 2021</w:t>
            </w: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center"/>
              <w:ind w:left="1259"/>
              <w:spacing w:after="0"/>
              <w:rPr>
                <w:sz w:val="20"/>
                <w:szCs w:val="20"/>
                <w:color w:val="auto"/>
              </w:rPr>
            </w:pPr>
            <w:r>
              <w:rPr>
                <w:rFonts w:ascii="Times New Roman" w:cs="Times New Roman" w:eastAsia="Times New Roman" w:hAnsi="Times New Roman"/>
                <w:sz w:val="16"/>
                <w:szCs w:val="16"/>
                <w:color w:val="auto"/>
                <w:w w:val="99"/>
              </w:rPr>
              <w:t>4</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left="12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September 30, 2022</w:t>
            </w:r>
          </w:p>
        </w:tc>
        <w:tc>
          <w:tcPr>
            <w:tcW w:w="1440" w:type="dxa"/>
            <w:vAlign w:val="bottom"/>
            <w:tcBorders>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w w:val="99"/>
              </w:rPr>
              <w:t>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provision for income taxes from continuing operations for the nine months ended September 30, 2022 and 2021, reflected an estimated annual</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effective tax rate of 25% and 24%, respectively, excluding discrete items discussed below. The total effective tax rate for continuing operations for the three and nine months ended September 30, 2022, was 26% and 24%, compared to 25% and 24% for the comparable periods in 2021, respectively.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net discrete tax benefits of $9 million and $7 million in the nine months ended September 30, 2022 and 2021, respectively. The discrete tax benefits primarily relate to excess tax benefits from stock-based compensation and changes to estimates in the prior year including our deferred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reserves for various contingent liabilities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reserves</w:t>
            </w:r>
          </w:p>
        </w:tc>
        <w:tc>
          <w:tcPr>
            <w:tcW w:w="1920" w:type="dxa"/>
            <w:vAlign w:val="bottom"/>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192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contingencies</w:t>
            </w: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Current portion (included in Accounts payable and accrued liabilities)</w:t>
            </w:r>
          </w:p>
        </w:tc>
        <w:tc>
          <w:tcPr>
            <w:tcW w:w="1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Long-term portion</w:t>
            </w:r>
          </w:p>
        </w:tc>
        <w:tc>
          <w:tcPr>
            <w:tcW w:w="1920" w:type="dxa"/>
            <w:vAlign w:val="bottom"/>
            <w:tcBorders>
              <w:bottom w:val="single" w:sz="8" w:color="auto"/>
            </w:tcBorders>
            <w:shd w:val="clear" w:color="auto" w:fill="CCEEFF"/>
          </w:tcPr>
          <w:p>
            <w:pPr>
              <w:jc w:val="right"/>
              <w:ind w:right="17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and our subsidiaries are parties to certain legal proceedings. Based on the information currently available, management believes the resolution of such proceedings will not have a material effect on our financial position, results of operations, cash flows,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the carrying values of our long-lived assets.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September 30, 2022, there were no indications of impairment.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PRODUCT 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and nine months ended September 30, 2022 and 2021, is summarized in the following table (dollar amounts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to expense</w:t>
            </w:r>
          </w:p>
        </w:tc>
        <w:tc>
          <w:tcPr>
            <w:tcW w:w="1040" w:type="dxa"/>
            <w:vAlign w:val="bottom"/>
          </w:tcPr>
          <w:p>
            <w:pPr>
              <w:spacing w:after="0"/>
              <w:rPr>
                <w:sz w:val="18"/>
                <w:szCs w:val="18"/>
                <w:color w:val="auto"/>
              </w:rPr>
            </w:pP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tcPr>
          <w:p>
            <w:pPr>
              <w:spacing w:after="0"/>
              <w:rPr>
                <w:sz w:val="18"/>
                <w:szCs w:val="18"/>
                <w:color w:val="auto"/>
              </w:rPr>
            </w:pPr>
          </w:p>
        </w:tc>
        <w:tc>
          <w:tcPr>
            <w:tcW w:w="124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warranty reserves</w:t>
            </w: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Current portion of warranty reserves (included in Accounts payable and</w:t>
            </w:r>
          </w:p>
        </w:tc>
        <w:tc>
          <w:tcPr>
            <w:tcW w:w="104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16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Long-term portion of warranty reserves (included in Other long-term</w:t>
            </w:r>
          </w:p>
        </w:tc>
        <w:tc>
          <w:tcPr>
            <w:tcW w:w="1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2"/>
                <w:szCs w:val="12"/>
                <w:color w:val="auto"/>
              </w:rPr>
            </w:pPr>
          </w:p>
        </w:tc>
        <w:tc>
          <w:tcPr>
            <w:tcW w:w="1200" w:type="dxa"/>
            <w:vAlign w:val="bottom"/>
            <w:vMerge w:val="restart"/>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center"/>
              <w:ind w:left="95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center"/>
              <w:ind w:left="819"/>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194"/>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liabilities)</w:t>
            </w:r>
          </w:p>
        </w:tc>
        <w:tc>
          <w:tcPr>
            <w:tcW w:w="10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monitor warranty and other claims associated with our products and believe, as of September 30, 2022, that the warranty reserve balances associated with these matters are adequate to cover future warranty payments. However, it is possible that additional changes may be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DEFINED BENEFIT PENSION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periodic pension cost for our defined benefit pension and postretirement plans during the three and nine months ended September 30, 2022 and 2021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51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components of net periodic pension cost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prior service cost</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loss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due to settlement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1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Other components of net periodic pension cost are included in Other non-operating items on our Condensed Consolidated Statements of Income.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2021, the Company initiated the termination of our frozen U.S. and Canadian defined benefit pension plans (collectively, the Plan), which would result in the full settlement of the Company's Plan obligations.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we made lump-sum pension distributions and purchased non-participating group annuity contracts totaling $33 million which triggered partial settlement accounting for the Plan. Accordingly, reflected in the table above is a non-cash pre-tax loss due to settlement of $4 million for the three and nine months ended September 30, 2022 representing the recognition of a pro rata portion of the unrecognized loss recorded within Accumulated comprehensive loss.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recognized in Other comprehensive loss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Net actuarial gain (loss) and prior service (cost) arising during the period, net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tax</w:t>
            </w: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actuarial loss, prior service cost and settlements, net of tax</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959"/>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amounts recognized in Other comprehensive income</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95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Remaining Plan participants will receive their full accrued benefits from Plan assets by electing either lump-sum distributions or annuity contracts with a qualifying third-party annuity provider. The remaining distribution of Plan assets pursuant to the termination will not be made until the Plan termination satisfies all regulatory requirements. The remaining Plan termination is expected to be substantially complete in the fourth quarter of 2022 and result in pension settlement expense, which will be determined based on prevailing market conditions, the actual lump-sum distributions, and annuity purchase rates at the date of distribution. Upon final settlement, we expect to recognize pre-tax pension settlement charges that will include (1) a non-cash charge for the recognition of all pre-tax actuarial losses in Accumulated comprehensive loss ($93 million as of September 30, 2022) and (2) any cash contributions to settle the Plan’s obligations ($9 million net projected benefit obligation as of September 30, 2022). The actual amount of the settlement charges and any potential cash contribution will depend on various factors, including interest rates, Plan asset returns, and the lump-sum election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ACCUMULATED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three months ended September 30, 2022 and 2021 (dollar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4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Amounts of actuarial loss and prior service cost are components of net periodic benefit cost. See Note 14 above for additional details.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comprehensive loss is provided in the following table for the nine months ended September 30, 2022 and 2021 (dollar amounts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6"/>
                <w:szCs w:val="16"/>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6"/>
                <w:szCs w:val="16"/>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4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24"/>
                <w:szCs w:val="24"/>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24"/>
                <w:szCs w:val="24"/>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0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Reclassified to income statement, net of taxes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Amounts of actuarial loss and prior service cost are components of net periodic benefit cost. See Note 14 above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OPERATING AND NON-OPERATING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credits and charges, net,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780" w:type="dxa"/>
            <w:vAlign w:val="bottom"/>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charges</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costs</w:t>
            </w: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credits and charges, net</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non-operating items is comprised of the following components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80" w:type="dxa"/>
            <w:vAlign w:val="bottom"/>
            <w:gridSpan w:val="4"/>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 excluding service cost</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 charges</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debt extinguishment</w:t>
            </w:r>
          </w:p>
        </w:tc>
        <w:tc>
          <w:tcPr>
            <w:tcW w:w="10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non-operating items</w:t>
            </w:r>
          </w:p>
        </w:tc>
        <w:tc>
          <w:tcPr>
            <w:tcW w:w="102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0"/>
        </w:trPr>
        <w:tc>
          <w:tcPr>
            <w:tcW w:w="5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SELECTED SEGMENT DATA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three segments: Siding, OSB, and South America.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 On June 21, 2022, LP reached an agreement for the sale of its EWP segment assets which subsequently closed on August 1, 2022. As a result of this transaction, the results of the EWP segment have been reclassified to discontinued operations and EWP is no longer a reportable segment of the Company. See "Note 7 –Discontinued Operations" for additional information.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business segments based on net sales and Adjusted EBITDA. Accordingly, our chief operating decision maker evaluates performance and allocates resources based primarily on net sales and Adjusted EBITDA for our business segments. Adjusted EBITDA is a non-GAAP financial measure and is defined as income attributed to LP from continuing operations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pension settlement charges, and other non-operating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Information about our business segments is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10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80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5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OSB</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r>
      <w:tr>
        <w:trPr>
          <w:trHeight w:val="21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South America</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3"/>
        </w:trPr>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Intersegment sales</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PROFIT BY SEGMENT</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(deduct):</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7"/>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1,600</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 See "Cautionary Statement Regarding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serve these markets, we operate in three segments: Siding, OSB, and South America.</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2022, we sold our 50% equity interest in two joint ventures that produce I-joists to Resolute for $59 million. The joint ventures were comprised of Resolute-LP Engineered Wood Larouche Inc. in Larouche, Quebec, and Resolute-LP Engineered Wood St-Prime Limited Partnership in Saint-Prime, Quebec. The total net carrying value of our equity method investment at the date of sale was $19 million. We recognized a gain on the sale of $39 million during the nine months ended September 30, 2022, within Income from discontinued operations in the Condensed Consolidated Statements of Income.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2022, LP completed the sale of the EWP segment assets to the Purchaser in exchange for the Purchaser’s payment to the Company of $217 million in gross cash proceeds after taking into account working capital adjustments (including $3 million received subsequent to September 30, 2022). Upon closing, the Company entered into the TSA with the Purchaser, pursuant to which the Company agreed to support the various activities of the EWP segment for a period not to exceed eight months. We have classified the related assets and liabilities associated with the EWP segment as discontinued operations in our Condensed Consolidated Balance Sheets. The results of our EWP segment have been presented as discontinued operations in our Condensed Consolidated Statements of Income for all periods presented. See "Note 7 – Discontinued Operations" of the Notes to the Condensed Consolidated Financial Statements included in Item 1 of this quarterly report on Form 10-Q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our Building Products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our products correlates positively with new home construction and repair and remodeling activity in North America, which historically has been characterized by significant cyclicality. The U.S. Department of Census reported on October 19, 2022, that actual single housing starts were 18% lower for the three months ended September 30, 2022, and 6% lower for the nine months ended September 30, 2022, as compared to the same periods in 2021. Repair and remodeling activity is difficult to reasonably measure, but many indications, including the increase in LP’s retail sales, suggest that repair and remodeling activity is continuing to grow.</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shortages, which will be a challenge as we continue to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Demand for OSB</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cannot predict whether the prices of our OSB products will remain at current levels or increase or decrease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factors affecting our results, refer to the “Overview” within our “Management's Discussion and Analysis of Financial Condition and Results of Operations” section and our “Risk Factors” section contained in our 2021 Annual Report on Form 10-K, and to the “Cautionary Statement Regarding Forward-Looking Statements” section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Significant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1 of the Notes to the Condensed Consolidated Financial Statements included in our 2021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application of principles, methods, and assumptions used to determine our significant estimates since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 and Other Key Performance Indicators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from continuing operations before interest expense, provision for income taxes, depreciation and amortization, and exclude stock-based compensation expense, loss on impairment attributed to LP, product-line discontinuance charges, other operating credits and charges, net, loss on early debt extinguishment, investment income, pension settlement charges, and other non-operating items as Adjusted EBITDA from continuing operations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from continuing operations, excluding loss on impairment attributed to LP, product-line discontinuance charges, interest expense outside of normal operations, other operating credits and charges, net, loss on early debt extinguishment, gain (loss) on acquisition, pension settlement charges, and adjusting for a normalized tax rate as Adjusted Income from continuing operations (Adjusted Income). We also disclose Adjusted Diluted EPS from continuing operations (Adjusted Diluted EPS),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Adjusted Income, and Adjusted Diluted EPS are not substitutes for the U.S. GAAP measures of net income and net income attributed to LP from continuing operations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(dollar amounts in millions):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29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72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3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r>
      <w:tr>
        <w:trPr>
          <w:trHeight w:val="21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Add (deduct):</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Income from discontinued operations, net of income taxes</w:t>
            </w: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1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9"/>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9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income</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non-operating items</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94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Siding</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OSB</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19"/>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 America</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1,600</w:t>
            </w: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of Net income to Adjusted Income (dollar amounts in millions, except per share amounts):</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140" w:type="dxa"/>
            <w:vAlign w:val="bottom"/>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9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Add (deduct):</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 attributed to noncontrolling interest</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attributed to LP from continuing operations</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1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operating credits and charges, net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early debt extinguishment</w:t>
            </w:r>
          </w:p>
        </w:tc>
        <w:tc>
          <w:tcPr>
            <w:tcW w:w="10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 settlement charges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Reported tax provision</w:t>
            </w: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7"/>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Adjusted income before tax</w:t>
            </w: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Normalized tax provision at 25%</w:t>
            </w:r>
          </w:p>
        </w:tc>
        <w:tc>
          <w:tcPr>
            <w:tcW w:w="10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2"/>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Income</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Diluted net income attributed to LP from continuing operations per</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940" w:type="dxa"/>
            <w:vAlign w:val="bottom"/>
            <w:vMerge w:val="continue"/>
          </w:tcPr>
          <w:p>
            <w:pPr>
              <w:spacing w:after="0"/>
              <w:rPr>
                <w:sz w:val="9"/>
                <w:szCs w:val="9"/>
                <w:color w:val="auto"/>
              </w:rPr>
            </w:pPr>
          </w:p>
        </w:tc>
        <w:tc>
          <w:tcPr>
            <w:tcW w:w="1000" w:type="dxa"/>
            <w:vAlign w:val="bottom"/>
            <w:vMerge w:val="restart"/>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1.74</w:t>
            </w:r>
          </w:p>
        </w:tc>
        <w:tc>
          <w:tcPr>
            <w:tcW w:w="120" w:type="dxa"/>
            <w:vAlign w:val="bottom"/>
          </w:tcPr>
          <w:p>
            <w:pPr>
              <w:spacing w:after="0"/>
              <w:rPr>
                <w:sz w:val="9"/>
                <w:szCs w:val="9"/>
                <w:color w:val="auto"/>
              </w:rPr>
            </w:pPr>
          </w:p>
        </w:tc>
        <w:tc>
          <w:tcPr>
            <w:tcW w:w="3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3.52</w:t>
            </w:r>
          </w:p>
        </w:tc>
        <w:tc>
          <w:tcPr>
            <w:tcW w:w="12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11.16</w:t>
            </w:r>
          </w:p>
        </w:tc>
        <w:tc>
          <w:tcPr>
            <w:tcW w:w="120" w:type="dxa"/>
            <w:vAlign w:val="bottom"/>
          </w:tcPr>
          <w:p>
            <w:pPr>
              <w:spacing w:after="0"/>
              <w:rPr>
                <w:sz w:val="9"/>
                <w:szCs w:val="9"/>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11.26</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Diluted EPS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3.52</w:t>
            </w: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management monitors certain key performance indicators to evaluate our business performance, which include our Overall Equipment Effectiveness (OEE) and our sales volume relative to housing starts, as provided by reports from the U.S. Department of Census.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set forth: (1) housing starts, (2) our North American sales volume,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housing starts data presented by us may not be comparable to similarly-titled indicators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9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3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Housing starts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Single-Family</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09"/>
        </w:trPr>
        <w:tc>
          <w:tcPr>
            <w:tcW w:w="53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3"/>
        </w:trPr>
        <w:tc>
          <w:tcPr>
            <w:tcW w:w="53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ind w:left="100" w:hanging="74"/>
        <w:spacing w:after="0"/>
        <w:tabs>
          <w:tab w:leader="none" w:pos="10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Actual U.S. Housing starts data reported by U.S. Census Bureau as published through October 19, 2022.</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sales volumes for our products in our Siding and OSB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sales volumes for the three and nine months ended September 30, 2022 and 2021:</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0"/>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2021</w:t>
            </w:r>
          </w:p>
        </w:tc>
        <w:tc>
          <w:tcPr>
            <w:tcW w:w="0" w:type="dxa"/>
            <w:vAlign w:val="bottom"/>
          </w:tcPr>
          <w:p>
            <w:pPr>
              <w:spacing w:after="0"/>
              <w:rPr>
                <w:sz w:val="1"/>
                <w:szCs w:val="1"/>
                <w:color w:val="auto"/>
              </w:rPr>
            </w:pPr>
          </w:p>
        </w:tc>
      </w:tr>
      <w:tr>
        <w:trPr>
          <w:trHeight w:val="17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84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OSB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380"/>
              <w:spacing w:after="0" w:line="172" w:lineRule="exact"/>
              <w:rPr>
                <w:sz w:val="20"/>
                <w:szCs w:val="20"/>
                <w:color w:val="auto"/>
              </w:rPr>
            </w:pPr>
            <w:r>
              <w:rPr>
                <w:rFonts w:ascii="Times New Roman" w:cs="Times New Roman" w:eastAsia="Times New Roman" w:hAnsi="Times New Roman"/>
                <w:sz w:val="16"/>
                <w:szCs w:val="16"/>
                <w:b w:val="1"/>
                <w:bCs w:val="1"/>
                <w:color w:val="auto"/>
                <w:w w:val="94"/>
              </w:rPr>
              <w:t>South</w:t>
            </w:r>
          </w:p>
        </w:tc>
        <w:tc>
          <w:tcPr>
            <w:tcW w:w="9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4"/>
                <w:szCs w:val="14"/>
                <w:color w:val="auto"/>
              </w:rPr>
            </w:pPr>
          </w:p>
        </w:tc>
        <w:tc>
          <w:tcPr>
            <w:tcW w:w="96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w w:val="96"/>
              </w:rPr>
              <w:t>Siding</w:t>
            </w:r>
          </w:p>
        </w:tc>
        <w:tc>
          <w:tcPr>
            <w:tcW w:w="80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1020" w:type="dxa"/>
            <w:vAlign w:val="bottom"/>
            <w:gridSpan w:val="4"/>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auto"/>
              </w:rPr>
              <w:t>South</w:t>
            </w: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3"/>
              </w:rPr>
              <w:t>America</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72"/>
              </w:rPr>
              <w:t>America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 (MMSF)</w:t>
            </w:r>
          </w:p>
        </w:tc>
        <w:tc>
          <w:tcPr>
            <w:tcW w:w="1060" w:type="dxa"/>
            <w:vAlign w:val="bottom"/>
            <w:gridSpan w:val="3"/>
            <w:shd w:val="clear" w:color="auto" w:fill="CCEEFF"/>
          </w:tcPr>
          <w:p>
            <w:pPr>
              <w:jc w:val="center"/>
              <w:ind w:left="444"/>
              <w:spacing w:after="0"/>
              <w:rPr>
                <w:sz w:val="20"/>
                <w:szCs w:val="20"/>
                <w:color w:val="auto"/>
              </w:rPr>
            </w:pPr>
            <w:r>
              <w:rPr>
                <w:rFonts w:ascii="Times New Roman" w:cs="Times New Roman" w:eastAsia="Times New Roman" w:hAnsi="Times New Roman"/>
                <w:sz w:val="14"/>
                <w:szCs w:val="14"/>
                <w:color w:val="auto"/>
              </w:rPr>
              <w:t>471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432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 (MMSF)</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460</w:t>
            </w:r>
          </w:p>
        </w:tc>
        <w:tc>
          <w:tcPr>
            <w:tcW w:w="9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127</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419</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149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bl>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0"/>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0" w:type="dxa"/>
            <w:vAlign w:val="bottom"/>
          </w:tcPr>
          <w:p>
            <w:pPr>
              <w:spacing w:after="0"/>
              <w:rPr>
                <w:sz w:val="1"/>
                <w:szCs w:val="1"/>
                <w:color w:val="auto"/>
              </w:rPr>
            </w:pPr>
          </w:p>
        </w:tc>
      </w:tr>
      <w:tr>
        <w:trPr>
          <w:trHeight w:val="17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Sales Volume</w:t>
            </w:r>
          </w:p>
        </w:tc>
        <w:tc>
          <w:tcPr>
            <w:tcW w:w="104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Siding</w:t>
            </w:r>
          </w:p>
        </w:tc>
        <w:tc>
          <w:tcPr>
            <w:tcW w:w="84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OSB</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360"/>
              <w:spacing w:after="0" w:line="172" w:lineRule="exact"/>
              <w:rPr>
                <w:sz w:val="20"/>
                <w:szCs w:val="20"/>
                <w:color w:val="auto"/>
              </w:rPr>
            </w:pPr>
            <w:r>
              <w:rPr>
                <w:rFonts w:ascii="Times New Roman" w:cs="Times New Roman" w:eastAsia="Times New Roman" w:hAnsi="Times New Roman"/>
                <w:sz w:val="16"/>
                <w:szCs w:val="16"/>
                <w:b w:val="1"/>
                <w:bCs w:val="1"/>
                <w:color w:val="auto"/>
                <w:w w:val="94"/>
              </w:rPr>
              <w:t>South</w:t>
            </w:r>
          </w:p>
        </w:tc>
        <w:tc>
          <w:tcPr>
            <w:tcW w:w="9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4"/>
                <w:szCs w:val="14"/>
                <w:color w:val="auto"/>
              </w:rPr>
            </w:pPr>
          </w:p>
        </w:tc>
        <w:tc>
          <w:tcPr>
            <w:tcW w:w="96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6"/>
                <w:szCs w:val="16"/>
                <w:b w:val="1"/>
                <w:bCs w:val="1"/>
                <w:color w:val="auto"/>
                <w:w w:val="96"/>
              </w:rPr>
              <w:t>Siding</w:t>
            </w:r>
          </w:p>
        </w:tc>
        <w:tc>
          <w:tcPr>
            <w:tcW w:w="80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w w:val="99"/>
              </w:rPr>
              <w:t>OSB</w:t>
            </w:r>
          </w:p>
        </w:tc>
        <w:tc>
          <w:tcPr>
            <w:tcW w:w="1020" w:type="dxa"/>
            <w:vAlign w:val="bottom"/>
            <w:gridSpan w:val="4"/>
          </w:tcPr>
          <w:p>
            <w:pPr>
              <w:ind w:left="80"/>
              <w:spacing w:after="0" w:line="172" w:lineRule="exact"/>
              <w:rPr>
                <w:sz w:val="20"/>
                <w:szCs w:val="20"/>
                <w:color w:val="auto"/>
              </w:rPr>
            </w:pPr>
            <w:r>
              <w:rPr>
                <w:rFonts w:ascii="Times New Roman" w:cs="Times New Roman" w:eastAsia="Times New Roman" w:hAnsi="Times New Roman"/>
                <w:sz w:val="16"/>
                <w:szCs w:val="16"/>
                <w:b w:val="1"/>
                <w:bCs w:val="1"/>
                <w:color w:val="auto"/>
              </w:rPr>
              <w:t>South</w:t>
            </w:r>
          </w:p>
        </w:tc>
        <w:tc>
          <w:tcPr>
            <w:tcW w:w="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3"/>
              </w:rPr>
              <w:t>America</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5"/>
                <w:szCs w:val="15"/>
                <w:b w:val="1"/>
                <w:bCs w:val="1"/>
                <w:color w:val="auto"/>
                <w:w w:val="72"/>
              </w:rPr>
              <w:t>America</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 (MMSF)</w:t>
            </w:r>
          </w:p>
        </w:tc>
        <w:tc>
          <w:tcPr>
            <w:tcW w:w="104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1,365</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1,241</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 (MMSF)</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1,470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1,470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 (MMSF)</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1,499</w:t>
            </w:r>
          </w:p>
        </w:tc>
        <w:tc>
          <w:tcPr>
            <w:tcW w:w="9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420</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1,222</w:t>
            </w:r>
          </w:p>
        </w:tc>
        <w:tc>
          <w:tcPr>
            <w:tcW w:w="10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418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the OEE of each of our mills to track improvements in the utilization and productivity of our manufacturing assets. OEE is a composite metric that considers asset uptime (adjusted for capital project downtime and similar events), production rates, and finished product quality. It should be noted that other companies may present OEE differently and, therefore, as presented by us, OEE may not be comparable to similarly-titled measures reported by other companies. We believe that when used in conjunction with other metrics, OEE can be a useful measure for evaluating our ability to generate profits, and providing this measure should allow interested persons to more readily monitor operational improvements. OEE for the three and nine months ended September 30, 2022 and 2021, for each of our segments is listed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5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82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1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results of operations are separately discussed below for each of our segments, as well as for the “Other” category, which comprises other products that are not individually significant. See Note 17 of the Notes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Condensed Consolidated Financial Statements included in Item 1 of this quarterly report on Form 10-Q for further information regarding our segments.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Siding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Siding segment serves diverse end markets with a broad product offering of engineered wood siding, trim, and fascia, including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w:t>
      </w:r>
    </w:p>
    <w:p>
      <w:pPr>
        <w:ind w:firstLine="8"/>
        <w:spacing w:after="0" w:line="224" w:lineRule="auto"/>
        <w:tabs>
          <w:tab w:leader="none" w:pos="1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Siding,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SmartSide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ExpertFinish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Trim &amp; Siding, LP BuilderSeries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Lap Siding,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Outdoor Building Solutions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(collectively referred to as Siding Solutions).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Adjusted EBITDA, and Adjusted EBITDA margin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56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800" w:type="dxa"/>
            <w:vAlign w:val="bottom"/>
            <w:gridSpan w:val="8"/>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3"/>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35"/>
        </w:trPr>
        <w:tc>
          <w:tcPr>
            <w:tcW w:w="3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889</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sales prices and unit shipments for the three and nine months ended September 30, 2022, compared to the corresponding periods in 2021,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32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66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2022 versus 2021</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2022 versus 2021</w:t>
            </w:r>
          </w:p>
        </w:tc>
      </w:tr>
      <w:tr>
        <w:trPr>
          <w:trHeight w:val="157"/>
        </w:trPr>
        <w:tc>
          <w:tcPr>
            <w:tcW w:w="3660" w:type="dxa"/>
            <w:vAlign w:val="bottom"/>
          </w:tcPr>
          <w:p>
            <w:pPr>
              <w:spacing w:after="0"/>
              <w:rPr>
                <w:sz w:val="13"/>
                <w:szCs w:val="13"/>
                <w:color w:val="auto"/>
              </w:rPr>
            </w:pPr>
          </w:p>
        </w:tc>
        <w:tc>
          <w:tcPr>
            <w:tcW w:w="1360" w:type="dxa"/>
            <w:vAlign w:val="bottom"/>
          </w:tcPr>
          <w:p>
            <w:pPr>
              <w:ind w:left="48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Unit</w:t>
            </w:r>
          </w:p>
        </w:tc>
      </w:tr>
      <w:tr>
        <w:trPr>
          <w:trHeight w:val="213"/>
        </w:trPr>
        <w:tc>
          <w:tcPr>
            <w:tcW w:w="366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Selling Price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Shipments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Siding Solutions</w:t>
            </w:r>
          </w:p>
        </w:tc>
        <w:tc>
          <w:tcPr>
            <w:tcW w:w="1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effects of list price increases and improving mix of innovative products drove year-over-year increases in the average net selling price for the three and nine months ended September 30, 2022. The volume increases for the three and nine months ended September 30, 2022 are attributable to steady customer demand and production increases made possible by the ongoing ramp-up of the Houlton facility as well as increasing operational efficiency at other Siding facilities.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year-over-year increase of $17 million for the three months ended September 30, 2022 reflects price and volume growth largely offset by $32 million of raw material, freight and labor inflation and $4 million of facility maintenance costs. The year-over-year increase in Adjusted EBITDA of $11 million for the nine months ended September 30, 2022 reflects price and volume growth, offset primarily by $89 million of raw material, freight, and labor inflation, $8 million of facility maintenance costs, and $19 million of discretionary investments in support of future growth, including siding mill conversions and sales and marketing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OSB</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OSB segment manufactures and distributes OSB structural panel products, including our value-added OSB portfolio known as LP Structural Solutions (which includes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TechShield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Radiant Barrier, LP WeatherLogic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Air &amp; Water Barrier, LP Legacy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Premium Sub-Flooring,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FlameBlock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Fire-Rated Sheathing) and LP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TopNotch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Sub-Flooring. OSB is manufactured using wood strands arranged in layers and bonded with resins.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Adjusted EBITDA, and Adjusted EBITDA margin for this segment were as follows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8"/>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56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1,917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800" w:type="dxa"/>
            <w:vAlign w:val="bottom"/>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260" w:type="dxa"/>
            <w:vAlign w:val="bottom"/>
            <w:gridSpan w:val="6"/>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8"/>
                <w:szCs w:val="18"/>
                <w:color w:val="auto"/>
              </w:rPr>
            </w:pPr>
          </w:p>
        </w:tc>
      </w:tr>
      <w:tr>
        <w:trPr>
          <w:trHeight w:val="211"/>
        </w:trPr>
        <w:tc>
          <w:tcPr>
            <w:tcW w:w="37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Borders>
              <w:top w:val="single" w:sz="8" w:color="auto"/>
              <w:bottom w:val="single" w:sz="8" w:color="auto"/>
            </w:tcBorders>
          </w:tcPr>
          <w:p>
            <w:pPr>
              <w:spacing w:after="0"/>
              <w:rPr>
                <w:sz w:val="18"/>
                <w:szCs w:val="18"/>
                <w:color w:val="auto"/>
              </w:rPr>
            </w:pP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600</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1,917</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22"/>
        </w:trPr>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Percent changes in average net sales prices and unit shipments for the three and nine months ended September 30, 2022, compared to the corresponding periods in 2021,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32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720" w:type="dxa"/>
            <w:vAlign w:val="bottom"/>
          </w:tcPr>
          <w:p>
            <w:pPr>
              <w:spacing w:after="0"/>
              <w:rPr>
                <w:sz w:val="18"/>
                <w:szCs w:val="18"/>
                <w:color w:val="auto"/>
              </w:rPr>
            </w:pPr>
          </w:p>
        </w:tc>
        <w:tc>
          <w:tcPr>
            <w:tcW w:w="324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2022 versus 2021</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 2022 versus 2021</w:t>
            </w:r>
          </w:p>
        </w:tc>
      </w:tr>
      <w:tr>
        <w:trPr>
          <w:trHeight w:val="157"/>
        </w:trPr>
        <w:tc>
          <w:tcPr>
            <w:tcW w:w="372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90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jc w:val="right"/>
              <w:ind w:right="739"/>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580" w:type="dxa"/>
            <w:vAlign w:val="bottom"/>
          </w:tcPr>
          <w:p>
            <w:pPr>
              <w:jc w:val="right"/>
              <w:ind w:right="65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72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Shipments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Selling Price</w:t>
            </w:r>
          </w:p>
        </w:tc>
        <w:tc>
          <w:tcPr>
            <w:tcW w:w="15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Shipments</w:t>
            </w:r>
          </w:p>
        </w:tc>
      </w:tr>
      <w:tr>
        <w:trPr>
          <w:trHeight w:val="21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900" w:type="dxa"/>
            <w:vAlign w:val="bottom"/>
            <w:shd w:val="clear" w:color="auto" w:fill="CCEEFF"/>
          </w:tcPr>
          <w:p>
            <w:pPr>
              <w:jc w:val="right"/>
              <w:ind w:right="1379"/>
              <w:spacing w:after="0"/>
              <w:rPr>
                <w:sz w:val="20"/>
                <w:szCs w:val="20"/>
                <w:color w:val="auto"/>
              </w:rPr>
            </w:pPr>
            <w:r>
              <w:rPr>
                <w:rFonts w:ascii="Times New Roman" w:cs="Times New Roman" w:eastAsia="Times New Roman" w:hAnsi="Times New Roman"/>
                <w:sz w:val="16"/>
                <w:szCs w:val="16"/>
                <w:color w:val="auto"/>
              </w:rPr>
              <w:t>(39)%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(11)%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OSB - commodity</w:t>
            </w:r>
          </w:p>
        </w:tc>
        <w:tc>
          <w:tcPr>
            <w:tcW w:w="1900" w:type="dxa"/>
            <w:vAlign w:val="bottom"/>
          </w:tcPr>
          <w:p>
            <w:pPr>
              <w:jc w:val="right"/>
              <w:ind w:right="1379"/>
              <w:spacing w:after="0"/>
              <w:rPr>
                <w:sz w:val="20"/>
                <w:szCs w:val="20"/>
                <w:color w:val="auto"/>
              </w:rPr>
            </w:pPr>
            <w:r>
              <w:rPr>
                <w:rFonts w:ascii="Times New Roman" w:cs="Times New Roman" w:eastAsia="Times New Roman" w:hAnsi="Times New Roman"/>
                <w:sz w:val="16"/>
                <w:szCs w:val="16"/>
                <w:color w:val="auto"/>
              </w:rPr>
              <w:t>(39)%</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8"/>
                <w:szCs w:val="18"/>
                <w:color w:val="auto"/>
              </w:rPr>
            </w:pPr>
          </w:p>
        </w:tc>
        <w:tc>
          <w:tcPr>
            <w:tcW w:w="2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(18)%</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bl>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OSB average net selling prices decreased year-over-year by 39% on 5% higher OSB sales volume for the three months ended September 30, 2022, resulting in a 35% decrease in net sales. OSB average net selling prices decreased year-over-year by 14% on 9% higher OSB sales volume for the nine months ended September 30, 2022, resulting in a 6% decrease in net sales.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year-over-year decrease in Adjusted EBITDA of $268 million for the three months ended September 30, 2022 reflects $252 million from lower prices, $25 million of increased raw material and wage inflation, and $10 million facility maintenance costs, partially offset by $29 million from higher sales volume and the positive incremental margin generated by Structural Solutions products compared to commodity OSB products. The year-over-year decrease in Adjusted EBITDA of $279 million for the nine months ended September 30, 2022 reflects $325 million from lower prices, $68 million of increased raw material and wage inflation, and $12 million facility maintenance costs, offset partially by $140 million from higher sales volume.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America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Colombia, Argentina, and Paraguay.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Adjusted EBITDA, and Adjusted EBITDA margin for this segment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Pr>
          <w:p>
            <w:pPr>
              <w:spacing w:after="0"/>
              <w:rPr>
                <w:sz w:val="18"/>
                <w:szCs w:val="18"/>
                <w:color w:val="auto"/>
              </w:rPr>
            </w:pPr>
          </w:p>
        </w:tc>
        <w:tc>
          <w:tcPr>
            <w:tcW w:w="4160" w:type="dxa"/>
            <w:vAlign w:val="bottom"/>
            <w:gridSpan w:val="9"/>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56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5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6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in this segment by product line were as follows (dollar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3820" w:type="dxa"/>
            <w:vAlign w:val="bottom"/>
            <w:gridSpan w:val="8"/>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3460" w:type="dxa"/>
            <w:vAlign w:val="bottom"/>
            <w:gridSpan w:val="6"/>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37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08"/>
        </w:trPr>
        <w:tc>
          <w:tcPr>
            <w:tcW w:w="3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1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r>
      <w:tr>
        <w:trPr>
          <w:trHeight w:val="22"/>
        </w:trPr>
        <w:tc>
          <w:tcPr>
            <w:tcW w:w="3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 changes in average sales prices and unit shipments for the three and nine months ended September 30, 2022, compared to the corresponding periods in 2021,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4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3"/>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3640" w:type="dxa"/>
            <w:vAlign w:val="bottom"/>
          </w:tcPr>
          <w:p>
            <w:pPr>
              <w:spacing w:after="0"/>
              <w:rPr>
                <w:sz w:val="18"/>
                <w:szCs w:val="18"/>
                <w:color w:val="auto"/>
              </w:rPr>
            </w:pPr>
          </w:p>
        </w:tc>
        <w:tc>
          <w:tcPr>
            <w:tcW w:w="324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September 30, 2022 versus 2021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 2022 versus 2021</w:t>
            </w:r>
          </w:p>
        </w:tc>
      </w:tr>
      <w:tr>
        <w:trPr>
          <w:trHeight w:val="157"/>
        </w:trPr>
        <w:tc>
          <w:tcPr>
            <w:tcW w:w="3640" w:type="dxa"/>
            <w:vAlign w:val="bottom"/>
          </w:tcPr>
          <w:p>
            <w:pPr>
              <w:spacing w:after="0"/>
              <w:rPr>
                <w:sz w:val="13"/>
                <w:szCs w:val="13"/>
                <w:color w:val="auto"/>
              </w:rPr>
            </w:pPr>
          </w:p>
        </w:tc>
        <w:tc>
          <w:tcPr>
            <w:tcW w:w="1340" w:type="dxa"/>
            <w:vAlign w:val="bottom"/>
          </w:tcPr>
          <w:p>
            <w:pPr>
              <w:ind w:left="50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left="419"/>
              <w:spacing w:after="0" w:line="158" w:lineRule="exact"/>
              <w:rPr>
                <w:sz w:val="20"/>
                <w:szCs w:val="20"/>
                <w:color w:val="auto"/>
              </w:rPr>
            </w:pPr>
            <w:r>
              <w:rPr>
                <w:rFonts w:ascii="Times New Roman" w:cs="Times New Roman" w:eastAsia="Times New Roman" w:hAnsi="Times New Roman"/>
                <w:sz w:val="16"/>
                <w:szCs w:val="16"/>
                <w:color w:val="auto"/>
              </w:rPr>
              <w:t>Unit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520"/>
              <w:spacing w:after="0" w:line="158" w:lineRule="exact"/>
              <w:rPr>
                <w:sz w:val="20"/>
                <w:szCs w:val="20"/>
                <w:color w:val="auto"/>
              </w:rPr>
            </w:pPr>
            <w:r>
              <w:rPr>
                <w:rFonts w:ascii="Times New Roman" w:cs="Times New Roman" w:eastAsia="Times New Roman" w:hAnsi="Times New Roman"/>
                <w:sz w:val="16"/>
                <w:szCs w:val="16"/>
                <w:color w:val="auto"/>
              </w:rPr>
              <w:t>Average Net</w:t>
            </w:r>
          </w:p>
        </w:tc>
        <w:tc>
          <w:tcPr>
            <w:tcW w:w="1800" w:type="dxa"/>
            <w:vAlign w:val="bottom"/>
          </w:tcPr>
          <w:p>
            <w:pPr>
              <w:jc w:val="right"/>
              <w:ind w:right="679"/>
              <w:spacing w:after="0" w:line="158" w:lineRule="exact"/>
              <w:rPr>
                <w:sz w:val="20"/>
                <w:szCs w:val="20"/>
                <w:color w:val="auto"/>
              </w:rPr>
            </w:pPr>
            <w:r>
              <w:rPr>
                <w:rFonts w:ascii="Times New Roman" w:cs="Times New Roman" w:eastAsia="Times New Roman" w:hAnsi="Times New Roman"/>
                <w:sz w:val="16"/>
                <w:szCs w:val="16"/>
                <w:color w:val="auto"/>
              </w:rPr>
              <w:t>Unit</w:t>
            </w:r>
          </w:p>
        </w:tc>
      </w:tr>
      <w:tr>
        <w:trPr>
          <w:trHeight w:val="213"/>
        </w:trPr>
        <w:tc>
          <w:tcPr>
            <w:tcW w:w="3640" w:type="dxa"/>
            <w:vAlign w:val="bottom"/>
          </w:tcPr>
          <w:p>
            <w:pPr>
              <w:spacing w:after="0"/>
              <w:rPr>
                <w:sz w:val="18"/>
                <w:szCs w:val="18"/>
                <w:color w:val="auto"/>
              </w:rPr>
            </w:pPr>
          </w:p>
        </w:tc>
        <w:tc>
          <w:tcPr>
            <w:tcW w:w="13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Selling Price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Shipments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Selling Price</w:t>
            </w:r>
          </w:p>
        </w:tc>
        <w:tc>
          <w:tcPr>
            <w:tcW w:w="18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Shipments</w:t>
            </w:r>
          </w:p>
        </w:tc>
      </w:tr>
      <w:tr>
        <w:trPr>
          <w:trHeight w:val="212"/>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OSB - Structural Solutions</w:t>
            </w:r>
          </w:p>
        </w:tc>
        <w:tc>
          <w:tcPr>
            <w:tcW w:w="13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Siding</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South America decreased year-over-year by 30% for the three months ended September 30, 2022, predominantly driven by lower OSB sales volumes and $10 million of unfavorable currency movements. Net sales decreased year-over-year by 6% for the nine months ended September 30, 2022, due in large part to lower Siding sales volumes and prices.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year-over-year decrease in Adjusted EBITDA of $23 million and $26 million for the three and nine months ended September 30, 2022, respectively, reflects lower sales volumes, higher raw material costs, and unfavorable currency movements.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Other products segment includes off-site framing operation Entekra Holdings LLC (Entekra), remaining timber and timberlands, and other minor products, services, and closed operations, which do not qualify as discontinued operations. Other net sales were $17 million and $72 million for the three and nine months ended September 30, 2022, respectively, as compared to $30 million and $73 million for the corresponding periods in 2021. The decrease in net sales for the three months ended September 30, 2022 is primarily due to lower Entekra revenue.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was $(7) million and $(19) million for the three and nine months ended September 30, 2022, respectively, as compared to $(3) million and $(11) million for the corresponding periods in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$67 million and $196 million for the three and nine months ended September 30, 2022, respectively, compared to $58 million and $155 million for the corresponding periods in 2021. The increase in 2022 is due to increased labor, travel, sales and marketing, and corporate overhead costs primarily driven by the reduction of restrictions related to the COVID-19 pandemic and costs associated with stock compensation and performance incentives.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an estimated tax provision from continuing operations of $44 million and $284 million for the three and nine months ended September 30, 2022, respectively, compared to $111 million and $350 million for the corresponding periods of 2021. The total effective tax rate for continuing operations for the three and nine months ended September 30, 2022, was 26% and 24% compared to 25% and 24% for the comparable periods in 2021, respectively. Each quarter the income tax accrual is adjusted to the latest estimate, and the difference from the previously accrued year-to-date balance is recorded in the current quarter. For 2022 and 2021, the primary difference between the U.S. statutory rate of 21% and the effective rate relates to state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legal and environmental matters involving us and the potential impact thereof on our financial position, results of operations, and cash flows, see Items 3, 7, and 8 in our 2021 Annual Report on Form 10-K and Note 11 of the Notes to the Condensed Consolidated Financial Statements included in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existing cash and investment balances, cash generated by our operations, and our ability to borrow under such credit facilities as we may have in effect from time to time. We may also, from time to time, issue and sell equity, debt, or hybrid securities or engage in other capital market transactions.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effecting any such repurchases may be changed, at any time, or from time to time, without prior notice.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fund our capital expenditures through cash on hand, cash generated from operations, and available borrowing under our Amended Credit Facility (as defined below), as necessary.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cash provided by operations was $1,103 million and $1,283 million, respectively. The decrease in cash provided by operations was primarily related a lower income from operations offset by improvements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and 2021, cash used in investing activities was $14 million and $131 million, respectively. During the nine months ended September 30, 2022, we received $265 million in proceeds from sales of assets, primarily associated with the sale of the EWP segment assets and the sale of our 50% equity interest in two joint ventures.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2022 and 2021, were $282 million and $133 million, respectively, primarily related to siding conversion expenditures and growth and maintenance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2022, cash used in financing activities was $968 million. On November 2, 2021, LP's Board of Directors authorized a share repurchase plan under which LP may repurchase shares of its common stock totaling up to $500 million (the Second 2021 Share Repurchase Program). In May 2022, LP's Board of Directors authorized a share repurchase plan under which LP was authorized to repurchase shares of LP's common stock totaling up to $600 million (the 2022 Share Repurchase Program). During the nine months ended September 30, 2022, we used $900 million to repurchase shares of LP common stock ($500 million from the Second 2021 Share Repurchase Program and $400 million from the 2022 Share Repurchase Program). Additionally, we paid cash dividends of $53 million and used $15 million to repurchase stock from employees in connection with income tax withholding requirements associated with our employee stock-based compensation plans.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2021, cash used in financing activities was $1,058 million. During the nine months ended September 30, 2021, we used $300 million to repurchase shares of LP common stock under the share repurchase program authorized by LP's Board of Directors in 2020 and $687 million to repurchase shares of LP common stock under the repurchase program authorized by LP's Board of Directors in May 2021. Additionally, we paid cash dividends of $50 million and used $6 million to repurchase stock from employees in connection with income tax withholding requirements associated with our employee stock-based compensation plans. In March 2021, we issued $350 million in aggregate principal amount of the 2029 Senior Notes, and in February 2021,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delivered to holders of the 2024 Senior Notes a conditional notice of redemption to redeem on March 27, 2021, all of the 2024 Senior Notes outstanding at a redemption price of 102.438% of the principal amount thereof plus accrued and unpaid interest up to, but not including, the redemption date. The redemption notice became irrevocable on March 11, 2021, and the 2024 Senior Notes were fully redeemed on March 27, 2021. In connection with these aforementioned financing activities, we paid $13 million in redemption premiums and debt issuance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Letter of Credit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and August 2021, we entered into the third and fourth amendments to our revolving credit facility, dated as of June 27, 2019 (Credit Facility), with American AgCredit, PCA, as administrative agent, and CoBank, ACB, as letter of credit issuer (as amended, the Amended Credit Facility). The Amended Credit Facility provides for a revolving credit facility in the principal amount of up to $550 million, with a $60 million sub-limit for letters of credit. The Amended Credit Facility, and all loans thereunder, become due on June 8, 2027. As of September 30, 2022, we had no amounts outstanding under the Amended Credit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a capitalization ratio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funded debt less unrestricted cash to total capitalization) of no more than 57.5%. As of September 30, 2022, we were in compliance with all financial covenants under the Amended Credit Facility.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the capitalization ratio covenant. As of September 30, 2022, we were in compliance with all financial covenants under the Letter of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had standby letters of credit of $13 million outstanding related to collateral for environmental impact on owned properties, a deposit for a forestry license, and insurance collateral, including workers'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Impairments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the carrying values of our long-lived assets for potential impairments and believe we have adequate support for the carrying values of our long-lived assets as of September 30, 2022.</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September 30, 2022, there were no indications of impairment.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Canadian dollar, the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previously disclosed under the caption “Item 7A. Quantitative and Qualitative Disclosures about Market Risk” in our 2021 Annual Report on Form 10-K.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September 30, 2022, we had no outstanding amounts borrowed under our Amended Credit Facility. We do not currently have any derivative or hedging arrangements, or other known exposures, to changes in interest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September 30, 2022, LP’s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most recently completed fiscal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certain legal and environmental matters involving LP set forth in Item 1 of this quarterly report on Form 10-Q under Note 11 of the Notes to the Condensed Consolidated Financial Statements contained herein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an investor should carefully consider the factors discussed in Part I, “Item 1A. Risk Factors” in the Company’s 2021 Annual Report on Form 10-K and Part II, "Item 1A. Risk Factors" in the Company's quarterly reports on Form 10-Q for the quarters ended March 31, 2022 and June 30, 2022. There have been no material changes to the risk factors previously disclosed under the caption "Item 1A. Risk Factors" in Part I of our 2021 Annual Report on Form 10-K and in Part II of our quarterly reports on Form 10-Q for the quarters ended March 31, 2022 and June 30, 2022.</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risks, as described in our 2021 Annual Report on Form 10-K and our quarterly reports on Form 10-Q for the quarters ended March 31, 2022 and June 30, 2022,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200" w:lineRule="exact"/>
        <w:rPr>
          <w:sz w:val="20"/>
          <w:szCs w:val="20"/>
          <w:color w:val="auto"/>
        </w:rPr>
      </w:pP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2022, LP's Board of Directors authorized the 2022 Share Repurchase Program. Repurchases of such shares may be effected, among other ways, in open market transactions, privately negotiated transactions, or through a series of forward purchase agreements, option contracts, or similar agreements and contracts, including a Rule 10b5-1 plan, in accordance with the rules and regulations of the SEC. The timing and amount of repurchase transactions are subject to the Company’s discretion and will depend on a variety of factors, including market and business conditions and other considerations.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of our common stock were repurchased under this authorization during the quarter ended September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5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4"/>
                <w:szCs w:val="14"/>
                <w:color w:val="auto"/>
              </w:rPr>
            </w:pPr>
          </w:p>
        </w:tc>
        <w:tc>
          <w:tcPr>
            <w:tcW w:w="16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2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162"/>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 Plans 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8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Programs</w:t>
            </w:r>
            <w:r>
              <w:rPr>
                <w:rFonts w:ascii="Times New Roman" w:cs="Times New Roman" w:eastAsia="Times New Roman" w:hAnsi="Times New Roman"/>
                <w:sz w:val="21"/>
                <w:szCs w:val="21"/>
                <w:b w:val="1"/>
                <w:bCs w:val="1"/>
                <w:color w:val="auto"/>
                <w:w w:val="99"/>
                <w:vertAlign w:val="superscript"/>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in millions</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2022 - July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2,702,207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2,702,207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2022 - August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2,730,497</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2,730,497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2022 - September 30,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126,763</w:t>
            </w:r>
          </w:p>
        </w:tc>
        <w:tc>
          <w:tcPr>
            <w:tcW w:w="3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for Third Quarter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5,559,467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5,559,467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0" w:firstLine="8"/>
        <w:spacing w:after="0" w:line="191" w:lineRule="auto"/>
        <w:tabs>
          <w:tab w:leader="none" w:pos="87"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On May 3, 2022, LP's Board of Directors authorized the 2022 Share Repurchase Program under which LP may repurchase shares of its common stock totaling up to $600 million. As of September 30, 2022, LP had used $400 million under the 2022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10"/>
        </w:trPr>
        <w:tc>
          <w:tcPr>
            <w:tcW w:w="460" w:type="dxa"/>
            <w:vAlign w:val="bottom"/>
            <w:gridSpan w:val="2"/>
          </w:tcPr>
          <w:p>
            <w:pPr>
              <w:spacing w:after="0"/>
              <w:rPr>
                <w:sz w:val="24"/>
                <w:szCs w:val="24"/>
                <w:color w:val="auto"/>
              </w:rPr>
            </w:pPr>
          </w:p>
        </w:tc>
        <w:tc>
          <w:tcPr>
            <w:tcW w:w="260" w:type="dxa"/>
            <w:vAlign w:val="bottom"/>
            <w:gridSpan w:val="2"/>
          </w:tcPr>
          <w:p>
            <w:pPr>
              <w:jc w:val="center"/>
              <w:ind w:right="60"/>
              <w:spacing w:after="0"/>
              <w:rPr>
                <w:rFonts w:ascii="Times New Roman" w:cs="Times New Roman" w:eastAsia="Times New Roman" w:hAnsi="Times New Roman"/>
                <w:sz w:val="18"/>
                <w:szCs w:val="18"/>
                <w:color w:val="0000FF"/>
                <w:w w:val="88"/>
              </w:rPr>
            </w:pPr>
            <w:hyperlink r:id="rId62">
              <w:r>
                <w:rPr>
                  <w:rFonts w:ascii="Times New Roman" w:cs="Times New Roman" w:eastAsia="Times New Roman" w:hAnsi="Times New Roman"/>
                  <w:sz w:val="18"/>
                  <w:szCs w:val="18"/>
                  <w:color w:val="0000FF"/>
                  <w:w w:val="88"/>
                </w:rPr>
                <w:t>2.</w:t>
              </w:r>
              <w:r>
                <w:rPr>
                  <w:rFonts w:ascii="Times New Roman" w:cs="Times New Roman" w:eastAsia="Times New Roman" w:hAnsi="Times New Roman"/>
                  <w:sz w:val="18"/>
                  <w:szCs w:val="18"/>
                  <w:u w:val="single" w:color="auto"/>
                  <w:color w:val="0000FF"/>
                  <w:w w:val="88"/>
                </w:rPr>
                <w:t>1</w:t>
              </w:r>
            </w:hyperlink>
          </w:p>
        </w:tc>
        <w:tc>
          <w:tcPr>
            <w:tcW w:w="400" w:type="dxa"/>
            <w:vAlign w:val="bottom"/>
          </w:tcPr>
          <w:p>
            <w:pPr>
              <w:spacing w:after="0"/>
              <w:rPr>
                <w:sz w:val="24"/>
                <w:szCs w:val="24"/>
                <w:color w:val="auto"/>
              </w:rPr>
            </w:pPr>
          </w:p>
        </w:tc>
        <w:tc>
          <w:tcPr>
            <w:tcW w:w="10040" w:type="dxa"/>
            <w:vAlign w:val="bottom"/>
            <w:gridSpan w:val="6"/>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Asset Purchase Agreement, dated as of June 21, 2022, by and among Louisiana-Pacific Corporation, Louisiana-Pacific Canada LTD,</w:t>
              </w:r>
            </w:hyperlink>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40" w:type="dxa"/>
            <w:vAlign w:val="bottom"/>
            <w:gridSpan w:val="6"/>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Pacific Woodtech Corporation and Pacific Woodtech Canada Holdings Limited. Incorporated herein by reference to Exhibit 2.1 to LP’s</w:t>
              </w:r>
            </w:hyperlink>
          </w:p>
        </w:tc>
      </w:tr>
      <w:tr>
        <w:trPr>
          <w:trHeight w:val="156"/>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Current Report on Form 8-K filed on June 22, 2022.***</w:t>
              </w:r>
            </w:hyperlink>
          </w:p>
        </w:tc>
        <w:tc>
          <w:tcPr>
            <w:tcW w:w="5700" w:type="dxa"/>
            <w:vAlign w:val="bottom"/>
            <w:tcBorders>
              <w:top w:val="single" w:sz="8" w:color="0000FF"/>
            </w:tcBorders>
            <w:gridSpan w:val="4"/>
          </w:tcPr>
          <w:p>
            <w:pPr>
              <w:spacing w:after="0"/>
              <w:rPr>
                <w:sz w:val="13"/>
                <w:szCs w:val="13"/>
                <w:color w:val="auto"/>
              </w:rPr>
            </w:pPr>
          </w:p>
        </w:tc>
        <w:tc>
          <w:tcPr>
            <w:tcW w:w="300" w:type="dxa"/>
            <w:vAlign w:val="bottom"/>
          </w:tcPr>
          <w:p>
            <w:pPr>
              <w:spacing w:after="0"/>
              <w:rPr>
                <w:sz w:val="13"/>
                <w:szCs w:val="13"/>
                <w:color w:val="auto"/>
              </w:rPr>
            </w:pPr>
          </w:p>
        </w:tc>
      </w:tr>
      <w:tr>
        <w:trPr>
          <w:trHeight w:val="277"/>
        </w:trPr>
        <w:tc>
          <w:tcPr>
            <w:tcW w:w="7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4"/>
                <w:szCs w:val="24"/>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Executive Officer Pursuant to Rule 13a-14(a) under the Securities Exchange Act of 1934. </w:t>
            </w:r>
            <w:r>
              <w:rPr>
                <w:rFonts w:ascii="Times New Roman" w:cs="Times New Roman" w:eastAsia="Times New Roman" w:hAnsi="Times New Roman"/>
                <w:sz w:val="18"/>
                <w:szCs w:val="18"/>
                <w:color w:val="000000"/>
              </w:rPr>
              <w:t>*</w:t>
            </w: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264"/>
        </w:trPr>
        <w:tc>
          <w:tcPr>
            <w:tcW w:w="7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Certifications of Chief Financial Officer Pursuant to Rule 13a-14(a) under the Securities Exchange Act of 1934. </w:t>
            </w:r>
            <w:r>
              <w:rPr>
                <w:rFonts w:ascii="Times New Roman" w:cs="Times New Roman" w:eastAsia="Times New Roman" w:hAnsi="Times New Roman"/>
                <w:sz w:val="18"/>
                <w:szCs w:val="18"/>
                <w:color w:val="000000"/>
              </w:rPr>
              <w:t>*</w:t>
            </w:r>
          </w:p>
        </w:tc>
      </w:tr>
      <w:tr>
        <w:trPr>
          <w:trHeight w:val="263"/>
        </w:trPr>
        <w:tc>
          <w:tcPr>
            <w:tcW w:w="460" w:type="dxa"/>
            <w:vAlign w:val="bottom"/>
            <w:gridSpan w:val="2"/>
          </w:tcPr>
          <w:p>
            <w:pPr>
              <w:spacing w:after="0"/>
              <w:rPr>
                <w:sz w:val="22"/>
                <w:szCs w:val="22"/>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80" w:type="dxa"/>
            <w:vAlign w:val="bottom"/>
            <w:tcBorders>
              <w:top w:val="single" w:sz="8" w:color="0000FF"/>
            </w:tcBorders>
          </w:tcPr>
          <w:p>
            <w:pPr>
              <w:spacing w:after="0"/>
              <w:rPr>
                <w:sz w:val="22"/>
                <w:szCs w:val="22"/>
                <w:color w:val="auto"/>
              </w:rPr>
            </w:pPr>
          </w:p>
        </w:tc>
        <w:tc>
          <w:tcPr>
            <w:tcW w:w="400" w:type="dxa"/>
            <w:vAlign w:val="bottom"/>
          </w:tcPr>
          <w:p>
            <w:pPr>
              <w:spacing w:after="0"/>
              <w:rPr>
                <w:sz w:val="22"/>
                <w:szCs w:val="22"/>
                <w:color w:val="auto"/>
              </w:rPr>
            </w:pPr>
          </w:p>
        </w:tc>
        <w:tc>
          <w:tcPr>
            <w:tcW w:w="81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 xml:space="preserve">Certifications pursuant to § 906 of the Sarbanes-Oxley Act of 2002. </w:t>
            </w:r>
            <w:r>
              <w:rPr>
                <w:rFonts w:ascii="Times New Roman" w:cs="Times New Roman" w:eastAsia="Times New Roman" w:hAnsi="Times New Roman"/>
                <w:sz w:val="18"/>
                <w:szCs w:val="18"/>
                <w:color w:val="000000"/>
              </w:rPr>
              <w:t>**</w:t>
            </w:r>
          </w:p>
        </w:tc>
        <w:tc>
          <w:tcPr>
            <w:tcW w:w="1920" w:type="dxa"/>
            <w:vAlign w:val="bottom"/>
            <w:gridSpan w:val="3"/>
          </w:tcPr>
          <w:p>
            <w:pPr>
              <w:spacing w:after="0"/>
              <w:rPr>
                <w:sz w:val="22"/>
                <w:szCs w:val="22"/>
                <w:color w:val="auto"/>
              </w:rPr>
            </w:pPr>
          </w:p>
        </w:tc>
      </w:tr>
      <w:tr>
        <w:trPr>
          <w:trHeight w:val="20"/>
        </w:trPr>
        <w:tc>
          <w:tcPr>
            <w:tcW w:w="4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80" w:type="dxa"/>
            <w:vAlign w:val="bottom"/>
            <w:gridSpan w:val="2"/>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r>
      <w:tr>
        <w:trPr>
          <w:trHeight w:val="250"/>
        </w:trPr>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92"/>
        </w:trPr>
        <w:tc>
          <w:tcPr>
            <w:tcW w:w="11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101.SCH</w:t>
            </w: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11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7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6"/>
              </w:rPr>
              <w:t>104</w:t>
            </w:r>
          </w:p>
        </w:tc>
        <w:tc>
          <w:tcPr>
            <w:tcW w:w="400" w:type="dxa"/>
            <w:vAlign w:val="bottom"/>
          </w:tcPr>
          <w:p>
            <w:pPr>
              <w:spacing w:after="0"/>
              <w:rPr>
                <w:sz w:val="24"/>
                <w:szCs w:val="24"/>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 and contained in Exhibit 101)*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rFonts w:ascii="Times New Roman" w:cs="Times New Roman" w:eastAsia="Times New Roman" w:hAnsi="Times New Roman"/>
          <w:sz w:val="18"/>
          <w:szCs w:val="18"/>
          <w:color w:val="auto"/>
        </w:rPr>
      </w:pPr>
    </w:p>
    <w:p>
      <w:pPr>
        <w:jc w:val="both"/>
        <w:ind w:firstLine="8"/>
        <w:spacing w:after="0" w:line="266" w:lineRule="auto"/>
        <w:tabs>
          <w:tab w:leader="none" w:pos="3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schedules and certain exhibits have been omitted pursuant to Item 601(b)(2) of Regulation S-K. The Asset Purchase Agreement as filed identifies such schedules and exhibits, including the general nature of their contents. Louisiana-Pacific Corporation will furnish a copy of any omitted attachment to the Securities and Exchange Commission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3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LOUISIANA-PACIFIC CORPORATION</w:t>
            </w:r>
          </w:p>
        </w:tc>
      </w:tr>
      <w:tr>
        <w:trPr>
          <w:trHeight w:val="5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3, 2022</w:t>
            </w: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184"/>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 Bradley Southern</w:t>
            </w:r>
          </w:p>
        </w:tc>
      </w:tr>
      <w:tr>
        <w:trPr>
          <w:trHeight w:val="191"/>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53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November 3, 2022</w:t>
            </w:r>
          </w:p>
        </w:tc>
        <w:tc>
          <w:tcPr>
            <w:tcW w:w="21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J.M. HAUGHIE</w:t>
            </w:r>
          </w:p>
        </w:tc>
      </w:tr>
      <w:tr>
        <w:trPr>
          <w:trHeight w:val="184"/>
        </w:trPr>
        <w:tc>
          <w:tcPr>
            <w:tcW w:w="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Alan J.M. Haughie</w:t>
            </w:r>
          </w:p>
        </w:tc>
      </w:tr>
      <w:tr>
        <w:trPr>
          <w:trHeight w:val="191"/>
        </w:trPr>
        <w:tc>
          <w:tcPr>
            <w:tcW w:w="6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tc>
      </w:tr>
      <w:tr>
        <w:trPr>
          <w:trHeight w:val="203"/>
        </w:trPr>
        <w:tc>
          <w:tcPr>
            <w:tcW w:w="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ectPr>
          <w:pgSz w:w="11900" w:h="16838" w:orient="portrait"/>
          <w:cols w:equalWidth="0" w:num="1">
            <w:col w:w="11240"/>
          </w:cols>
          <w:pgMar w:left="32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Bradley Southern,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 BRADLEY SOUTHERN</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 BRADLEY SOUTHERN</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Haughie,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Louisiana-Pacific Corporation;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jc w:val="both"/>
        <w:ind w:left="980" w:hanging="648"/>
        <w:spacing w:after="0" w:line="266"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hanging="648"/>
        <w:spacing w:after="0" w:line="282" w:lineRule="auto"/>
        <w:tabs>
          <w:tab w:leader="none" w:pos="9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sz w:val="20"/>
          <w:szCs w:val="20"/>
          <w:color w:val="auto"/>
        </w:rPr>
      </w:pPr>
    </w:p>
    <w:p>
      <w:pPr>
        <w:ind w:left="980" w:right="20" w:hanging="648"/>
        <w:spacing w:after="0" w:line="282" w:lineRule="auto"/>
        <w:tabs>
          <w:tab w:leader="none" w:pos="9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hanging="648"/>
        <w:spacing w:after="0" w:line="282" w:lineRule="auto"/>
        <w:tabs>
          <w:tab w:leader="none" w:pos="9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J.M. HAUGHIE</w:t>
            </w:r>
          </w:p>
        </w:tc>
      </w:tr>
      <w:tr>
        <w:trPr>
          <w:trHeight w:val="218"/>
        </w:trPr>
        <w:tc>
          <w:tcPr>
            <w:tcW w:w="57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J.M. HAUGHIE</w:t>
            </w:r>
          </w:p>
        </w:tc>
      </w:tr>
      <w:tr>
        <w:trPr>
          <w:trHeight w:val="234"/>
        </w:trPr>
        <w:tc>
          <w:tcPr>
            <w:tcW w:w="57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240"/>
          </w:cols>
          <w:pgMar w:left="320" w:top="113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 18 U.S.C. §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filing of the Quarterly Report on Form 10-Q of Louisiana-Pacific Corporation (the “Company”) for quarter ended September 30, 2022, as filed with the Securities and Exchange Commission on the date hereof (the “Report”), each of the undersigned officers of the Company certifies, that, to such officer’s knowledge:</w:t>
      </w:r>
    </w:p>
    <w:p>
      <w:pPr>
        <w:spacing w:after="0" w:line="14" w:lineRule="exact"/>
        <w:rPr>
          <w:sz w:val="20"/>
          <w:szCs w:val="20"/>
          <w:color w:val="auto"/>
        </w:rPr>
      </w:pPr>
    </w:p>
    <w:p>
      <w:pPr>
        <w:ind w:left="980" w:hanging="567"/>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63" w:lineRule="exact"/>
        <w:rPr>
          <w:rFonts w:ascii="Times New Roman" w:cs="Times New Roman" w:eastAsia="Times New Roman" w:hAnsi="Times New Roman"/>
          <w:sz w:val="18"/>
          <w:szCs w:val="18"/>
          <w:color w:val="auto"/>
        </w:rPr>
      </w:pPr>
    </w:p>
    <w:p>
      <w:pPr>
        <w:ind w:left="980" w:hanging="567"/>
        <w:spacing w:after="0" w:line="282" w:lineRule="auto"/>
        <w:tabs>
          <w:tab w:leader="none" w:pos="9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14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W. BRADLEY SOUTHERN</w:t>
      </w:r>
    </w:p>
    <w:p>
      <w:pPr>
        <w:ind w:left="5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Alan J.M. Haughie</w:t>
      </w:r>
    </w:p>
    <w:p>
      <w:pPr>
        <w:spacing w:after="0" w:line="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4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amp;"/>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2" Type="http://schemas.openxmlformats.org/officeDocument/2006/relationships/hyperlink" Target="https://www.sec.gov/ix?doc=/Archives/edgar/data/60519/000162828022017792/lpx-202206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2022-11-03T12:52:38Z</dcterms:created>
  <dcterms:modified xsi:type="dcterms:W3CDTF">2022-11-03T12:52:38Z</dcterms:modified>
</cp:coreProperties>
</file>