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1075055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1040130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47" w:lineRule="exact"/>
        <w:rPr>
          <w:sz w:val="24"/>
          <w:szCs w:val="24"/>
          <w:color w:val="auto"/>
        </w:rPr>
      </w:pPr>
    </w:p>
    <w:p>
      <w:pPr>
        <w:ind w:left="3820"/>
        <w:spacing w:after="0"/>
        <w:rPr>
          <w:sz w:val="20"/>
          <w:szCs w:val="20"/>
          <w:color w:val="auto"/>
        </w:rPr>
      </w:pPr>
      <w:r>
        <w:rPr>
          <w:rFonts w:ascii="Times New Roman" w:cs="Times New Roman" w:eastAsia="Times New Roman" w:hAnsi="Times New Roman"/>
          <w:sz w:val="22"/>
          <w:szCs w:val="22"/>
          <w:color w:val="auto"/>
        </w:rPr>
        <w:t>__________________________________</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FORM 11-K</w:t>
      </w:r>
    </w:p>
    <w:p>
      <w:pPr>
        <w:spacing w:after="0" w:line="32" w:lineRule="exact"/>
        <w:rPr>
          <w:sz w:val="24"/>
          <w:szCs w:val="24"/>
          <w:color w:val="auto"/>
        </w:rPr>
      </w:pPr>
    </w:p>
    <w:p>
      <w:pPr>
        <w:ind w:left="3780"/>
        <w:spacing w:after="0"/>
        <w:rPr>
          <w:sz w:val="20"/>
          <w:szCs w:val="20"/>
          <w:color w:val="auto"/>
        </w:rPr>
      </w:pPr>
      <w:r>
        <w:rPr>
          <w:rFonts w:ascii="Times New Roman" w:cs="Times New Roman" w:eastAsia="Times New Roman" w:hAnsi="Times New Roman"/>
          <w:sz w:val="22"/>
          <w:szCs w:val="22"/>
          <w:color w:val="auto"/>
        </w:rPr>
        <w:t>__________________________________</w:t>
      </w:r>
    </w:p>
    <w:p>
      <w:pPr>
        <w:spacing w:after="0" w:line="2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[X] ANNUAL REPORT PURSUANT TO SECTION 15(d) OF THE SECURITIES EXCHANGE ACT OF 1934</w:t>
      </w:r>
    </w:p>
    <w:p>
      <w:pPr>
        <w:spacing w:after="0" w:line="26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 fiscal year ended: December 31, 2024</w:t>
      </w:r>
    </w:p>
    <w:p>
      <w:pPr>
        <w:spacing w:after="0" w:line="2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OR</w:t>
      </w:r>
    </w:p>
    <w:p>
      <w:pPr>
        <w:spacing w:after="0" w:line="32" w:lineRule="exact"/>
        <w:rPr>
          <w:sz w:val="24"/>
          <w:szCs w:val="24"/>
          <w:color w:val="auto"/>
        </w:rPr>
      </w:pPr>
    </w:p>
    <w:p>
      <w:pPr>
        <w:jc w:val="center"/>
        <w:spacing w:after="0"/>
        <w:tabs>
          <w:tab w:leader="none" w:pos="180" w:val="left"/>
        </w:tabs>
        <w:rPr>
          <w:sz w:val="20"/>
          <w:szCs w:val="20"/>
          <w:color w:val="auto"/>
        </w:rPr>
      </w:pPr>
      <w:r>
        <w:rPr>
          <w:rFonts w:ascii="Times New Roman" w:cs="Times New Roman" w:eastAsia="Times New Roman" w:hAnsi="Times New Roman"/>
          <w:sz w:val="22"/>
          <w:szCs w:val="22"/>
          <w:b w:val="1"/>
          <w:bCs w:val="1"/>
          <w:color w:val="auto"/>
        </w:rPr>
        <w:t>[ ]</w:t>
      </w:r>
      <w:r>
        <w:rPr>
          <w:sz w:val="20"/>
          <w:szCs w:val="20"/>
          <w:color w:val="auto"/>
        </w:rPr>
        <w:tab/>
      </w:r>
      <w:r>
        <w:rPr>
          <w:rFonts w:ascii="Times New Roman" w:cs="Times New Roman" w:eastAsia="Times New Roman" w:hAnsi="Times New Roman"/>
          <w:sz w:val="21"/>
          <w:szCs w:val="21"/>
          <w:b w:val="1"/>
          <w:bCs w:val="1"/>
          <w:color w:val="auto"/>
        </w:rPr>
        <w:t>TRANSITION REPORT PURSUANT TO SECTION 15(d) OF THE SECURITIES EXCHANGE ACT OF 1934.</w:t>
      </w:r>
    </w:p>
    <w:p>
      <w:pPr>
        <w:spacing w:after="0" w:line="219" w:lineRule="exact"/>
        <w:rPr>
          <w:sz w:val="24"/>
          <w:szCs w:val="24"/>
          <w:color w:val="auto"/>
        </w:rPr>
      </w:pPr>
    </w:p>
    <w:p>
      <w:pPr>
        <w:ind w:left="3400"/>
        <w:spacing w:after="0"/>
        <w:rPr>
          <w:sz w:val="20"/>
          <w:szCs w:val="20"/>
          <w:color w:val="auto"/>
        </w:rPr>
      </w:pPr>
      <w:r>
        <w:rPr>
          <w:rFonts w:ascii="Times New Roman" w:cs="Times New Roman" w:eastAsia="Times New Roman" w:hAnsi="Times New Roman"/>
          <w:sz w:val="22"/>
          <w:szCs w:val="22"/>
          <w:b w:val="1"/>
          <w:bCs w:val="1"/>
          <w:color w:val="auto"/>
        </w:rPr>
        <w:t>For the transition period from ______ to ______</w:t>
      </w:r>
    </w:p>
    <w:p>
      <w:pPr>
        <w:spacing w:after="0" w:line="16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Commission File Number 1-7107</w:t>
      </w:r>
    </w:p>
    <w:p>
      <w:pPr>
        <w:spacing w:after="0" w:line="33" w:lineRule="exact"/>
        <w:rPr>
          <w:sz w:val="24"/>
          <w:szCs w:val="24"/>
          <w:color w:val="auto"/>
        </w:rPr>
      </w:pPr>
    </w:p>
    <w:p>
      <w:pPr>
        <w:ind w:left="3780"/>
        <w:spacing w:after="0"/>
        <w:rPr>
          <w:sz w:val="20"/>
          <w:szCs w:val="20"/>
          <w:color w:val="auto"/>
        </w:rPr>
      </w:pPr>
      <w:r>
        <w:rPr>
          <w:rFonts w:ascii="Times New Roman" w:cs="Times New Roman" w:eastAsia="Times New Roman" w:hAnsi="Times New Roman"/>
          <w:sz w:val="22"/>
          <w:szCs w:val="22"/>
          <w:color w:val="auto"/>
        </w:rPr>
        <w:t>__________________________________</w:t>
      </w:r>
    </w:p>
    <w:p>
      <w:pPr>
        <w:spacing w:after="0" w:line="38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LOUISIANA-PACIFIC 401(k) AND PROFIT SHARING PLAN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2430780</wp:posOffset>
            </wp:positionH>
            <wp:positionV relativeFrom="paragraph">
              <wp:posOffset>318135</wp:posOffset>
            </wp:positionV>
            <wp:extent cx="22885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28854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4" w:lineRule="exact"/>
        <w:rPr>
          <w:sz w:val="24"/>
          <w:szCs w:val="24"/>
          <w:color w:val="auto"/>
        </w:rPr>
      </w:pPr>
    </w:p>
    <w:p>
      <w:pPr>
        <w:ind w:left="3400"/>
        <w:spacing w:after="0"/>
        <w:rPr>
          <w:sz w:val="20"/>
          <w:szCs w:val="20"/>
          <w:color w:val="auto"/>
        </w:rPr>
      </w:pPr>
      <w:r>
        <w:rPr>
          <w:rFonts w:ascii="Times New Roman" w:cs="Times New Roman" w:eastAsia="Times New Roman" w:hAnsi="Times New Roman"/>
          <w:sz w:val="25"/>
          <w:szCs w:val="25"/>
          <w:b w:val="1"/>
          <w:bCs w:val="1"/>
          <w:color w:val="auto"/>
        </w:rPr>
        <w:t>LOUISIANA-PACIFIC CORPORATION</w:t>
      </w:r>
    </w:p>
    <w:p>
      <w:pPr>
        <w:spacing w:after="0" w:line="44" w:lineRule="exact"/>
        <w:rPr>
          <w:sz w:val="24"/>
          <w:szCs w:val="24"/>
          <w:color w:val="auto"/>
        </w:rPr>
      </w:pPr>
    </w:p>
    <w:p>
      <w:pPr>
        <w:ind w:left="2840"/>
        <w:spacing w:after="0"/>
        <w:rPr>
          <w:sz w:val="20"/>
          <w:szCs w:val="20"/>
          <w:color w:val="auto"/>
        </w:rPr>
      </w:pPr>
      <w:r>
        <w:rPr>
          <w:rFonts w:ascii="Times New Roman" w:cs="Times New Roman" w:eastAsia="Times New Roman" w:hAnsi="Times New Roman"/>
          <w:sz w:val="25"/>
          <w:szCs w:val="25"/>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2430780</wp:posOffset>
            </wp:positionH>
            <wp:positionV relativeFrom="paragraph">
              <wp:posOffset>234315</wp:posOffset>
            </wp:positionV>
            <wp:extent cx="22885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288540" cy="8255"/>
                    </a:xfrm>
                    <a:prstGeom prst="rect">
                      <a:avLst/>
                    </a:prstGeom>
                    <a:noFill/>
                  </pic:spPr>
                </pic:pic>
              </a:graphicData>
            </a:graphic>
          </wp:anchor>
        </w:drawing>
      </w:r>
    </w:p>
    <w:p>
      <w:pPr>
        <w:spacing w:after="0" w:line="200" w:lineRule="exact"/>
        <w:rPr>
          <w:sz w:val="24"/>
          <w:szCs w:val="24"/>
          <w:color w:val="auto"/>
        </w:rPr>
      </w:pPr>
    </w:p>
    <w:p>
      <w:pPr>
        <w:spacing w:after="0" w:line="316"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2980" w:type="dxa"/>
            <w:vAlign w:val="bottom"/>
          </w:tcPr>
          <w:p>
            <w:pPr>
              <w:jc w:val="center"/>
              <w:ind w:left="430"/>
              <w:spacing w:after="0"/>
              <w:rPr>
                <w:sz w:val="20"/>
                <w:szCs w:val="20"/>
                <w:color w:val="auto"/>
              </w:rPr>
            </w:pPr>
            <w:r>
              <w:rPr>
                <w:rFonts w:ascii="Times New Roman" w:cs="Times New Roman" w:eastAsia="Times New Roman" w:hAnsi="Times New Roman"/>
                <w:sz w:val="18"/>
                <w:szCs w:val="18"/>
                <w:b w:val="1"/>
                <w:bCs w:val="1"/>
                <w:color w:val="auto"/>
                <w:w w:val="96"/>
              </w:rPr>
              <w:t>DELAWARE</w:t>
            </w:r>
          </w:p>
        </w:tc>
        <w:tc>
          <w:tcPr>
            <w:tcW w:w="552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rPr>
              <w:t>1-7107</w:t>
            </w:r>
          </w:p>
        </w:tc>
        <w:tc>
          <w:tcPr>
            <w:tcW w:w="2740" w:type="dxa"/>
            <w:vAlign w:val="bottom"/>
          </w:tcPr>
          <w:p>
            <w:pPr>
              <w:jc w:val="center"/>
              <w:ind w:right="690"/>
              <w:spacing w:after="0"/>
              <w:rPr>
                <w:sz w:val="20"/>
                <w:szCs w:val="20"/>
                <w:color w:val="auto"/>
              </w:rPr>
            </w:pPr>
            <w:r>
              <w:rPr>
                <w:rFonts w:ascii="Times New Roman" w:cs="Times New Roman" w:eastAsia="Times New Roman" w:hAnsi="Times New Roman"/>
                <w:sz w:val="18"/>
                <w:szCs w:val="18"/>
                <w:b w:val="1"/>
                <w:bCs w:val="1"/>
                <w:color w:val="auto"/>
              </w:rPr>
              <w:t>93-0609074</w:t>
            </w:r>
          </w:p>
        </w:tc>
      </w:tr>
      <w:tr>
        <w:trPr>
          <w:trHeight w:val="184"/>
        </w:trPr>
        <w:tc>
          <w:tcPr>
            <w:tcW w:w="2980" w:type="dxa"/>
            <w:vAlign w:val="bottom"/>
          </w:tcPr>
          <w:p>
            <w:pPr>
              <w:jc w:val="center"/>
              <w:ind w:left="430"/>
              <w:spacing w:after="0" w:line="184" w:lineRule="exact"/>
              <w:rPr>
                <w:sz w:val="20"/>
                <w:szCs w:val="20"/>
                <w:color w:val="auto"/>
              </w:rPr>
            </w:pPr>
            <w:r>
              <w:rPr>
                <w:rFonts w:ascii="Times New Roman" w:cs="Times New Roman" w:eastAsia="Times New Roman" w:hAnsi="Times New Roman"/>
                <w:sz w:val="18"/>
                <w:szCs w:val="18"/>
                <w:b w:val="1"/>
                <w:bCs w:val="1"/>
                <w:color w:val="auto"/>
              </w:rPr>
              <w:t>(State or other jurisdiction of</w:t>
            </w:r>
          </w:p>
        </w:tc>
        <w:tc>
          <w:tcPr>
            <w:tcW w:w="5520" w:type="dxa"/>
            <w:vAlign w:val="bottom"/>
          </w:tcPr>
          <w:p>
            <w:pPr>
              <w:jc w:val="center"/>
              <w:ind w:right="190"/>
              <w:spacing w:after="0" w:line="184" w:lineRule="exact"/>
              <w:rPr>
                <w:sz w:val="20"/>
                <w:szCs w:val="20"/>
                <w:color w:val="auto"/>
              </w:rPr>
            </w:pPr>
            <w:r>
              <w:rPr>
                <w:rFonts w:ascii="Times New Roman" w:cs="Times New Roman" w:eastAsia="Times New Roman" w:hAnsi="Times New Roman"/>
                <w:sz w:val="18"/>
                <w:szCs w:val="18"/>
                <w:b w:val="1"/>
                <w:bCs w:val="1"/>
                <w:color w:val="auto"/>
              </w:rPr>
              <w:t>Commission</w:t>
            </w:r>
          </w:p>
        </w:tc>
        <w:tc>
          <w:tcPr>
            <w:tcW w:w="2740" w:type="dxa"/>
            <w:vAlign w:val="bottom"/>
          </w:tcPr>
          <w:p>
            <w:pPr>
              <w:jc w:val="center"/>
              <w:ind w:right="690"/>
              <w:spacing w:after="0" w:line="184" w:lineRule="exact"/>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2980" w:type="dxa"/>
            <w:vAlign w:val="bottom"/>
          </w:tcPr>
          <w:p>
            <w:pPr>
              <w:jc w:val="center"/>
              <w:ind w:left="430"/>
              <w:spacing w:after="0"/>
              <w:rPr>
                <w:sz w:val="20"/>
                <w:szCs w:val="20"/>
                <w:color w:val="auto"/>
              </w:rPr>
            </w:pPr>
            <w:r>
              <w:rPr>
                <w:rFonts w:ascii="Times New Roman" w:cs="Times New Roman" w:eastAsia="Times New Roman" w:hAnsi="Times New Roman"/>
                <w:sz w:val="18"/>
                <w:szCs w:val="18"/>
                <w:b w:val="1"/>
                <w:bCs w:val="1"/>
                <w:color w:val="auto"/>
                <w:w w:val="99"/>
              </w:rPr>
              <w:t>incorporation or organization)</w:t>
            </w:r>
          </w:p>
        </w:tc>
        <w:tc>
          <w:tcPr>
            <w:tcW w:w="552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rPr>
              <w:t>File Number</w:t>
            </w:r>
          </w:p>
        </w:tc>
        <w:tc>
          <w:tcPr>
            <w:tcW w:w="2740" w:type="dxa"/>
            <w:vAlign w:val="bottom"/>
          </w:tcPr>
          <w:p>
            <w:pPr>
              <w:jc w:val="center"/>
              <w:ind w:right="690"/>
              <w:spacing w:after="0"/>
              <w:rPr>
                <w:sz w:val="20"/>
                <w:szCs w:val="20"/>
                <w:color w:val="auto"/>
              </w:rPr>
            </w:pPr>
            <w:r>
              <w:rPr>
                <w:rFonts w:ascii="Times New Roman" w:cs="Times New Roman" w:eastAsia="Times New Roman" w:hAnsi="Times New Roman"/>
                <w:sz w:val="18"/>
                <w:szCs w:val="18"/>
                <w:b w:val="1"/>
                <w:bCs w:val="1"/>
                <w:color w:val="auto"/>
                <w:w w:val="99"/>
              </w:rPr>
              <w:t>Identification No.)</w:t>
            </w:r>
          </w:p>
        </w:tc>
      </w:tr>
      <w:tr>
        <w:trPr>
          <w:trHeight w:val="441"/>
        </w:trPr>
        <w:tc>
          <w:tcPr>
            <w:tcW w:w="2980" w:type="dxa"/>
            <w:vAlign w:val="bottom"/>
          </w:tcPr>
          <w:p>
            <w:pPr>
              <w:spacing w:after="0"/>
              <w:rPr>
                <w:sz w:val="24"/>
                <w:szCs w:val="24"/>
                <w:color w:val="auto"/>
              </w:rPr>
            </w:pPr>
          </w:p>
        </w:tc>
        <w:tc>
          <w:tcPr>
            <w:tcW w:w="552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1610 West End Ave., Suite 200, Nashville, TN 37203</w:t>
            </w:r>
          </w:p>
        </w:tc>
        <w:tc>
          <w:tcPr>
            <w:tcW w:w="2740" w:type="dxa"/>
            <w:vAlign w:val="bottom"/>
          </w:tcPr>
          <w:p>
            <w:pPr>
              <w:spacing w:after="0"/>
              <w:rPr>
                <w:sz w:val="24"/>
                <w:szCs w:val="24"/>
                <w:color w:val="auto"/>
              </w:rPr>
            </w:pPr>
          </w:p>
        </w:tc>
      </w:tr>
      <w:tr>
        <w:trPr>
          <w:trHeight w:val="238"/>
        </w:trPr>
        <w:tc>
          <w:tcPr>
            <w:tcW w:w="2980" w:type="dxa"/>
            <w:vAlign w:val="bottom"/>
          </w:tcPr>
          <w:p>
            <w:pPr>
              <w:spacing w:after="0"/>
              <w:rPr>
                <w:sz w:val="20"/>
                <w:szCs w:val="20"/>
                <w:color w:val="auto"/>
              </w:rPr>
            </w:pPr>
          </w:p>
        </w:tc>
        <w:tc>
          <w:tcPr>
            <w:tcW w:w="552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 (Zip Code)</w:t>
            </w:r>
          </w:p>
        </w:tc>
        <w:tc>
          <w:tcPr>
            <w:tcW w:w="2740" w:type="dxa"/>
            <w:vAlign w:val="bottom"/>
          </w:tcPr>
          <w:p>
            <w:pPr>
              <w:spacing w:after="0"/>
              <w:rPr>
                <w:sz w:val="20"/>
                <w:szCs w:val="20"/>
                <w:color w:val="auto"/>
              </w:rPr>
            </w:pPr>
          </w:p>
        </w:tc>
      </w:tr>
      <w:tr>
        <w:trPr>
          <w:trHeight w:val="360"/>
        </w:trPr>
        <w:tc>
          <w:tcPr>
            <w:tcW w:w="2980" w:type="dxa"/>
            <w:vAlign w:val="bottom"/>
          </w:tcPr>
          <w:p>
            <w:pPr>
              <w:spacing w:after="0"/>
              <w:rPr>
                <w:sz w:val="24"/>
                <w:szCs w:val="24"/>
                <w:color w:val="auto"/>
              </w:rPr>
            </w:pPr>
          </w:p>
        </w:tc>
        <w:tc>
          <w:tcPr>
            <w:tcW w:w="552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 (615) 986-5600</w:t>
            </w:r>
          </w:p>
        </w:tc>
        <w:tc>
          <w:tcPr>
            <w:tcW w:w="2740" w:type="dxa"/>
            <w:vAlign w:val="bottom"/>
          </w:tcPr>
          <w:p>
            <w:pPr>
              <w:spacing w:after="0"/>
              <w:rPr>
                <w:sz w:val="24"/>
                <w:szCs w:val="24"/>
                <w:color w:val="auto"/>
              </w:rPr>
            </w:pPr>
          </w:p>
        </w:tc>
      </w:tr>
      <w:tr>
        <w:trPr>
          <w:trHeight w:val="234"/>
        </w:trPr>
        <w:tc>
          <w:tcPr>
            <w:tcW w:w="2980" w:type="dxa"/>
            <w:vAlign w:val="bottom"/>
          </w:tcPr>
          <w:p>
            <w:pPr>
              <w:spacing w:after="0"/>
              <w:rPr>
                <w:sz w:val="20"/>
                <w:szCs w:val="20"/>
                <w:color w:val="auto"/>
              </w:rPr>
            </w:pPr>
          </w:p>
        </w:tc>
        <w:tc>
          <w:tcPr>
            <w:tcW w:w="5520" w:type="dxa"/>
            <w:vAlign w:val="bottom"/>
          </w:tcPr>
          <w:p>
            <w:pPr>
              <w:jc w:val="right"/>
              <w:ind w:right="1230"/>
              <w:spacing w:after="0"/>
              <w:rPr>
                <w:sz w:val="20"/>
                <w:szCs w:val="20"/>
                <w:color w:val="auto"/>
              </w:rPr>
            </w:pPr>
            <w:r>
              <w:rPr>
                <w:rFonts w:ascii="Times New Roman" w:cs="Times New Roman" w:eastAsia="Times New Roman" w:hAnsi="Times New Roman"/>
                <w:sz w:val="18"/>
                <w:szCs w:val="18"/>
                <w:color w:val="auto"/>
              </w:rPr>
              <w:t>__________________________________</w:t>
            </w:r>
          </w:p>
        </w:tc>
        <w:tc>
          <w:tcPr>
            <w:tcW w:w="2740" w:type="dxa"/>
            <w:vAlign w:val="bottom"/>
          </w:tcPr>
          <w:p>
            <w:pPr>
              <w:spacing w:after="0"/>
              <w:rPr>
                <w:sz w:val="20"/>
                <w:szCs w:val="20"/>
                <w:color w:val="auto"/>
              </w:rPr>
            </w:pPr>
          </w:p>
        </w:tc>
      </w:tr>
      <w:tr>
        <w:trPr>
          <w:trHeight w:val="418"/>
        </w:trPr>
        <w:tc>
          <w:tcPr>
            <w:tcW w:w="2980" w:type="dxa"/>
            <w:vAlign w:val="bottom"/>
            <w:tcBorders>
              <w:bottom w:val="single" w:sz="8" w:color="auto"/>
            </w:tcBorders>
          </w:tcPr>
          <w:p>
            <w:pPr>
              <w:spacing w:after="0"/>
              <w:rPr>
                <w:sz w:val="24"/>
                <w:szCs w:val="24"/>
                <w:color w:val="auto"/>
              </w:rPr>
            </w:pPr>
          </w:p>
        </w:tc>
        <w:tc>
          <w:tcPr>
            <w:tcW w:w="552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tcPr>
          <w:p>
            <w:pPr>
              <w:spacing w:after="0"/>
              <w:rPr>
                <w:sz w:val="24"/>
                <w:szCs w:val="24"/>
                <w:color w:val="auto"/>
              </w:rPr>
            </w:pPr>
          </w:p>
        </w:tc>
      </w:tr>
      <w:tr>
        <w:trPr>
          <w:trHeight w:val="34"/>
        </w:trPr>
        <w:tc>
          <w:tcPr>
            <w:tcW w:w="2980" w:type="dxa"/>
            <w:vAlign w:val="bottom"/>
            <w:tcBorders>
              <w:bottom w:val="single" w:sz="8" w:color="auto"/>
            </w:tcBorders>
          </w:tcPr>
          <w:p>
            <w:pPr>
              <w:spacing w:after="0"/>
              <w:rPr>
                <w:sz w:val="2"/>
                <w:szCs w:val="2"/>
                <w:color w:val="auto"/>
              </w:rPr>
            </w:pPr>
          </w:p>
        </w:tc>
        <w:tc>
          <w:tcPr>
            <w:tcW w:w="5520" w:type="dxa"/>
            <w:vAlign w:val="bottom"/>
            <w:tcBorders>
              <w:bottom w:val="single" w:sz="8" w:color="auto"/>
            </w:tcBorders>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r>
    </w:tbl>
    <w:p>
      <w:pPr>
        <w:sectPr>
          <w:pgSz w:w="11900" w:h="16838" w:orient="portrait"/>
          <w:cols w:equalWidth="0" w:num="1">
            <w:col w:w="11240"/>
          </w:cols>
          <w:pgMar w:left="320" w:top="1440" w:right="339" w:bottom="1440" w:gutter="0" w:footer="0" w:header="0"/>
        </w:sectPr>
      </w:pPr>
    </w:p>
    <w:bookmarkStart w:id="1" w:name="page2"/>
    <w:bookmarkEnd w:id="1"/>
    <w:p>
      <w:pPr>
        <w:ind w:left="2400"/>
        <w:spacing w:after="0"/>
        <w:rPr>
          <w:sz w:val="20"/>
          <w:szCs w:val="20"/>
          <w:color w:val="auto"/>
        </w:rPr>
      </w:pPr>
      <w:r>
        <w:rPr>
          <w:rFonts w:ascii="Times New Roman" w:cs="Times New Roman" w:eastAsia="Times New Roman" w:hAnsi="Times New Roman"/>
          <w:sz w:val="23"/>
          <w:szCs w:val="23"/>
          <w:b w:val="1"/>
          <w:bCs w:val="1"/>
          <w:color w:val="auto"/>
        </w:rPr>
        <w:t>LOUISIANA-PACIFIC 401(k) AND PROFIT SHARING PLAN</w:t>
      </w:r>
    </w:p>
    <w:p>
      <w:pPr>
        <w:spacing w:after="0" w:line="276"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362585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Page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Reports of Independent Registered Public Accounting Firm</w:t>
      </w:r>
    </w:p>
    <w:p>
      <w:pPr>
        <w:spacing w:after="0" w:line="23" w:lineRule="exact"/>
        <w:rPr>
          <w:sz w:val="20"/>
          <w:szCs w:val="20"/>
          <w:color w:val="auto"/>
        </w:rPr>
      </w:pPr>
    </w:p>
    <w:p>
      <w:pPr>
        <w:ind w:left="10080"/>
        <w:spacing w:after="0"/>
        <w:rPr>
          <w:sz w:val="20"/>
          <w:szCs w:val="20"/>
          <w:color w:val="auto"/>
        </w:rPr>
      </w:pPr>
      <w:r>
        <w:rPr>
          <w:rFonts w:ascii="Times New Roman" w:cs="Times New Roman" w:eastAsia="Times New Roman" w:hAnsi="Times New Roman"/>
          <w:sz w:val="18"/>
          <w:szCs w:val="18"/>
          <w:color w:val="auto"/>
        </w:rPr>
        <w:t>1</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Financial Statements as of and for the Years Ended December 31, 2024 and 2023:</w:t>
      </w:r>
    </w:p>
    <w:p>
      <w:pPr>
        <w:spacing w:after="0" w:line="23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Statements of Net Assets Available for Benefits</w:t>
      </w:r>
    </w:p>
    <w:p>
      <w:pPr>
        <w:spacing w:after="0" w:line="27" w:lineRule="exact"/>
        <w:rPr>
          <w:sz w:val="20"/>
          <w:szCs w:val="20"/>
          <w:color w:val="auto"/>
        </w:rPr>
      </w:pPr>
    </w:p>
    <w:p>
      <w:pPr>
        <w:ind w:left="10080"/>
        <w:spacing w:after="0"/>
        <w:rPr>
          <w:sz w:val="20"/>
          <w:szCs w:val="20"/>
          <w:color w:val="auto"/>
        </w:rPr>
      </w:pPr>
      <w:r>
        <w:rPr>
          <w:rFonts w:ascii="Times New Roman" w:cs="Times New Roman" w:eastAsia="Times New Roman" w:hAnsi="Times New Roman"/>
          <w:sz w:val="18"/>
          <w:szCs w:val="18"/>
          <w:color w:val="auto"/>
        </w:rPr>
        <w:t>2</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Statements of Changes in Net Assets Available for Benefits</w:t>
      </w:r>
    </w:p>
    <w:p>
      <w:pPr>
        <w:spacing w:after="0" w:line="23" w:lineRule="exact"/>
        <w:rPr>
          <w:sz w:val="20"/>
          <w:szCs w:val="20"/>
          <w:color w:val="auto"/>
        </w:rPr>
      </w:pPr>
    </w:p>
    <w:p>
      <w:pPr>
        <w:ind w:left="10080"/>
        <w:spacing w:after="0"/>
        <w:rPr>
          <w:sz w:val="20"/>
          <w:szCs w:val="20"/>
          <w:color w:val="auto"/>
        </w:rPr>
      </w:pPr>
      <w:r>
        <w:rPr>
          <w:rFonts w:ascii="Times New Roman" w:cs="Times New Roman" w:eastAsia="Times New Roman" w:hAnsi="Times New Roman"/>
          <w:sz w:val="18"/>
          <w:szCs w:val="18"/>
          <w:color w:val="auto"/>
        </w:rPr>
        <w:t>3</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Notes to Financial Statements</w:t>
      </w:r>
    </w:p>
    <w:p>
      <w:pPr>
        <w:spacing w:after="0" w:line="23" w:lineRule="exact"/>
        <w:rPr>
          <w:sz w:val="20"/>
          <w:szCs w:val="20"/>
          <w:color w:val="auto"/>
        </w:rPr>
      </w:pPr>
    </w:p>
    <w:p>
      <w:pPr>
        <w:ind w:left="10080"/>
        <w:spacing w:after="0"/>
        <w:rPr>
          <w:sz w:val="20"/>
          <w:szCs w:val="20"/>
          <w:color w:val="auto"/>
        </w:rPr>
      </w:pPr>
      <w:r>
        <w:rPr>
          <w:rFonts w:ascii="Times New Roman" w:cs="Times New Roman" w:eastAsia="Times New Roman" w:hAnsi="Times New Roman"/>
          <w:sz w:val="18"/>
          <w:szCs w:val="18"/>
          <w:color w:val="auto"/>
        </w:rPr>
        <w:t>4</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Supplemental Schedule as of December 31, 2024:</w:t>
      </w:r>
    </w:p>
    <w:p>
      <w:pPr>
        <w:spacing w:after="0" w:line="23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Form 5500, Schedule H, Part IV, Line 4i — Schedule of Assets (Held at End of Year)</w:t>
      </w:r>
    </w:p>
    <w:p>
      <w:pPr>
        <w:spacing w:after="0" w:line="27" w:lineRule="exact"/>
        <w:rPr>
          <w:sz w:val="20"/>
          <w:szCs w:val="20"/>
          <w:color w:val="auto"/>
        </w:rPr>
      </w:pPr>
    </w:p>
    <w:p>
      <w:pPr>
        <w:ind w:left="10080"/>
        <w:spacing w:after="0"/>
        <w:rPr>
          <w:sz w:val="20"/>
          <w:szCs w:val="20"/>
          <w:color w:val="auto"/>
        </w:rPr>
      </w:pPr>
      <w:r>
        <w:rPr>
          <w:rFonts w:ascii="Times New Roman" w:cs="Times New Roman" w:eastAsia="Times New Roman" w:hAnsi="Times New Roman"/>
          <w:sz w:val="18"/>
          <w:szCs w:val="18"/>
          <w:color w:val="auto"/>
        </w:rPr>
        <w:t>9</w:t>
      </w:r>
    </w:p>
    <w:p>
      <w:pPr>
        <w:spacing w:after="0" w:line="274" w:lineRule="exact"/>
        <w:rPr>
          <w:sz w:val="20"/>
          <w:szCs w:val="20"/>
          <w:color w:val="auto"/>
        </w:rPr>
      </w:pPr>
    </w:p>
    <w:p>
      <w:pPr>
        <w:ind w:left="280" w:right="1360" w:hanging="161"/>
        <w:spacing w:after="0" w:line="226" w:lineRule="auto"/>
        <w:rPr>
          <w:sz w:val="20"/>
          <w:szCs w:val="20"/>
          <w:color w:val="auto"/>
        </w:rPr>
      </w:pPr>
      <w:r>
        <w:rPr>
          <w:rFonts w:ascii="Times New Roman" w:cs="Times New Roman" w:eastAsia="Times New Roman" w:hAnsi="Times New Roman"/>
          <w:sz w:val="18"/>
          <w:szCs w:val="18"/>
          <w:color w:val="auto"/>
        </w:rPr>
        <w:t>Note: All other schedules required by Section 2520.103-10 of the Department of Labor's Rules and Regulations for Reporting and Disclosure under the Employee Retirement Income Security Act of 1974 have been omitted because they are not applicable.</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Exhibits</w:t>
            </w:r>
          </w:p>
        </w:tc>
        <w:tc>
          <w:tcPr>
            <w:tcW w:w="4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bl>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Page</w:t>
      </w:r>
    </w:p>
    <w:p>
      <w:pPr>
        <w:spacing w:after="0" w:line="27" w:lineRule="exact"/>
        <w:rPr>
          <w:sz w:val="20"/>
          <w:szCs w:val="20"/>
          <w:color w:val="auto"/>
        </w:rPr>
      </w:pPr>
    </w:p>
    <w:p>
      <w:pPr>
        <w:ind w:left="10040"/>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300"/>
          </w:cols>
          <w:pgMar w:left="340" w:top="1319" w:right="125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20"/>
          <w:szCs w:val="20"/>
          <w:b w:val="1"/>
          <w:bCs w:val="1"/>
          <w:color w:val="auto"/>
        </w:rPr>
        <w:t>REPORT OF INDEPENDENT REGISTERED PUBLIC ACCOUNTING FIRM</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Finance and Audit Committee of Louisiana-Pacific Corporation and Plan Participants of the Louisiana-Pacific 401(k) and Profit Sharing Plan:</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statements of net assets available for benefits of the Louisiana-Pacific 401(k) and Profit Sharing Plan (the “Plan”) as of December 31, 2024 and 2023, the related statements of changes in net assets available for benefits for the years then ended, and the related notes (collectively referred to as the financial statements). In our opinion, the financial statements present fairly, in all material respects, the net assets available for benefits of the Plan as of December 31, 2024 and 2023, and the changes in net assets available for benefits for the years then ended, in conformity with accounting principles generally accepted in the United States of America.</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Plan’s management. Our responsibility is to express an opinion on the Plan’s financial statements based on our audits. We are a public accounting firm registered with the Public Company Accounting Oversight Board (United States) (PCAOB) and are required to be independent with respect to the Plan in accordance with the U.S. federal securities laws and the applicable rules and regulations of the Securities and Exchange Commission and the PCAOB.</w:t>
      </w:r>
    </w:p>
    <w:p>
      <w:pPr>
        <w:spacing w:after="0" w:line="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audits to obtain reasonable assurance about whether the financial statements are free of material misstatement, whether due to error or fraud. The Plan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Plan’s internal control over financial reporting. Accordingly, we express no such opinion.</w:t>
      </w:r>
    </w:p>
    <w:p>
      <w:pPr>
        <w:spacing w:after="0" w:line="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Supplemental Information</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accompanying schedule of assets (held at end of year) as of December 31, 2024 has been subjected to audit procedures performed in conjunction with the audit of the Plan’s financial statements. The supplemental information is the responsibility of the Plan’s management. Our audit procedures included determining whether the supplemental information reconciles to the financial statements or the underlying accounting and other records, as applicable, and performing procedures to test the completeness and accuracy of the information presented in the supplemental information. In forming our opinion on the supplemental information, we evaluated whether the supplemental information, including its form and content, is presented in conformity with the Department of Labor's Rules and Regulations for Reporting and Disclosure under the Employee Retirement Income Security Act of 1974. In our opinion, the supplemental information is fairly stated, in all material respects, in relation to the financial statements as a whole.</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LBMC, PC</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Plan’s auditor since 2024.</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Brentwood, Tennessee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26,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40"/>
          </w:cols>
          <w:pgMar w:left="320" w:top="1193" w:right="339" w:bottom="1440" w:gutter="0" w:footer="0" w:header="0"/>
        </w:sectPr>
      </w:pPr>
    </w:p>
    <w:bookmarkStart w:id="3" w:name="page4"/>
    <w:bookmarkEnd w:id="3"/>
    <w:p>
      <w:pPr>
        <w:ind w:left="2700"/>
        <w:spacing w:after="0"/>
        <w:rPr>
          <w:sz w:val="20"/>
          <w:szCs w:val="20"/>
          <w:color w:val="auto"/>
        </w:rPr>
      </w:pPr>
      <w:r>
        <w:rPr>
          <w:rFonts w:ascii="Times New Roman" w:cs="Times New Roman" w:eastAsia="Times New Roman" w:hAnsi="Times New Roman"/>
          <w:sz w:val="20"/>
          <w:szCs w:val="20"/>
          <w:b w:val="1"/>
          <w:bCs w:val="1"/>
          <w:color w:val="auto"/>
        </w:rPr>
        <w:t>LOUISIANA-PACIFIC 401(k) AND PROFIT SHARING PLAN</w:t>
      </w:r>
    </w:p>
    <w:p>
      <w:pPr>
        <w:spacing w:after="0" w:line="32"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20"/>
          <w:szCs w:val="20"/>
          <w:b w:val="1"/>
          <w:bCs w:val="1"/>
          <w:color w:val="auto"/>
        </w:rPr>
        <w:t>STATEMENTS OF NET ASSETS AVAILABLE FOR BENEFITS</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20" w:type="dxa"/>
            <w:vAlign w:val="bottom"/>
          </w:tcPr>
          <w:p>
            <w:pPr>
              <w:spacing w:after="0"/>
              <w:rPr>
                <w:sz w:val="20"/>
                <w:szCs w:val="20"/>
                <w:color w:val="auto"/>
              </w:rPr>
            </w:pPr>
          </w:p>
        </w:tc>
        <w:tc>
          <w:tcPr>
            <w:tcW w:w="4060" w:type="dxa"/>
            <w:vAlign w:val="bottom"/>
            <w:gridSpan w:val="2"/>
          </w:tcPr>
          <w:p>
            <w:pPr>
              <w:jc w:val="right"/>
              <w:ind w:right="1450"/>
              <w:spacing w:after="0"/>
              <w:rPr>
                <w:sz w:val="20"/>
                <w:szCs w:val="20"/>
                <w:color w:val="auto"/>
              </w:rPr>
            </w:pPr>
            <w:r>
              <w:rPr>
                <w:rFonts w:ascii="Times New Roman" w:cs="Times New Roman" w:eastAsia="Times New Roman" w:hAnsi="Times New Roman"/>
                <w:sz w:val="18"/>
                <w:szCs w:val="18"/>
                <w:color w:val="auto"/>
              </w:rPr>
              <w:t>Dollar amounts in thousands</w:t>
            </w:r>
          </w:p>
        </w:tc>
        <w:tc>
          <w:tcPr>
            <w:tcW w:w="16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920" w:type="dxa"/>
            <w:vAlign w:val="bottom"/>
          </w:tcPr>
          <w:p>
            <w:pPr>
              <w:spacing w:after="0"/>
              <w:rPr>
                <w:sz w:val="19"/>
                <w:szCs w:val="19"/>
                <w:color w:val="auto"/>
              </w:rPr>
            </w:pPr>
          </w:p>
        </w:tc>
        <w:tc>
          <w:tcPr>
            <w:tcW w:w="2840" w:type="dxa"/>
            <w:vAlign w:val="bottom"/>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gridSpan w:val="3"/>
            <w:vMerge w:val="continue"/>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920" w:type="dxa"/>
            <w:vAlign w:val="bottom"/>
            <w:tcBorders>
              <w:bottom w:val="single" w:sz="8" w:color="CCEEFF"/>
            </w:tcBorders>
          </w:tcPr>
          <w:p>
            <w:pPr>
              <w:spacing w:after="0"/>
              <w:rPr>
                <w:sz w:val="19"/>
                <w:szCs w:val="19"/>
                <w:color w:val="auto"/>
              </w:rPr>
            </w:pPr>
          </w:p>
        </w:tc>
        <w:tc>
          <w:tcPr>
            <w:tcW w:w="2840" w:type="dxa"/>
            <w:vAlign w:val="bottom"/>
            <w:tcBorders>
              <w:bottom w:val="single" w:sz="8" w:color="CCEEFF"/>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720" w:type="dxa"/>
            <w:vAlign w:val="bottom"/>
            <w:tcBorders>
              <w:bottom w:val="single" w:sz="8" w:color="auto"/>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10"/>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8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92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Investments - at fair value:</w:t>
            </w:r>
          </w:p>
        </w:tc>
        <w:tc>
          <w:tcPr>
            <w:tcW w:w="28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Mutual funds</w:t>
            </w:r>
          </w:p>
        </w:tc>
        <w:tc>
          <w:tcPr>
            <w:tcW w:w="4060" w:type="dxa"/>
            <w:vAlign w:val="bottom"/>
            <w:gridSpan w:val="2"/>
            <w:shd w:val="clear" w:color="auto" w:fill="CCEEFF"/>
          </w:tcPr>
          <w:p>
            <w:pPr>
              <w:jc w:val="right"/>
              <w:ind w:right="103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137,311</w:t>
            </w: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127,736</w:t>
            </w:r>
          </w:p>
        </w:tc>
        <w:tc>
          <w:tcPr>
            <w:tcW w:w="0" w:type="dxa"/>
            <w:vAlign w:val="bottom"/>
          </w:tcPr>
          <w:p>
            <w:pPr>
              <w:spacing w:after="0"/>
              <w:rPr>
                <w:sz w:val="1"/>
                <w:szCs w:val="1"/>
                <w:color w:val="auto"/>
              </w:rPr>
            </w:pPr>
          </w:p>
        </w:tc>
      </w:tr>
      <w:tr>
        <w:trPr>
          <w:trHeight w:val="229"/>
        </w:trPr>
        <w:tc>
          <w:tcPr>
            <w:tcW w:w="39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Collective trust funds</w:t>
            </w:r>
          </w:p>
        </w:tc>
        <w:tc>
          <w:tcPr>
            <w:tcW w:w="28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326,838</w:t>
            </w: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297,133</w:t>
            </w:r>
          </w:p>
        </w:tc>
        <w:tc>
          <w:tcPr>
            <w:tcW w:w="0" w:type="dxa"/>
            <w:vAlign w:val="bottom"/>
          </w:tcPr>
          <w:p>
            <w:pPr>
              <w:spacing w:after="0"/>
              <w:rPr>
                <w:sz w:val="1"/>
                <w:szCs w:val="1"/>
                <w:color w:val="auto"/>
              </w:rPr>
            </w:pPr>
          </w:p>
        </w:tc>
      </w:tr>
      <w:tr>
        <w:trPr>
          <w:trHeight w:val="229"/>
        </w:trPr>
        <w:tc>
          <w:tcPr>
            <w:tcW w:w="39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Louisiana-Pacific Corporation common stock</w:t>
            </w:r>
          </w:p>
        </w:tc>
        <w:tc>
          <w:tcPr>
            <w:tcW w:w="28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45,616</w:t>
            </w: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38,967</w:t>
            </w:r>
          </w:p>
        </w:tc>
        <w:tc>
          <w:tcPr>
            <w:tcW w:w="0" w:type="dxa"/>
            <w:vAlign w:val="bottom"/>
          </w:tcPr>
          <w:p>
            <w:pPr>
              <w:spacing w:after="0"/>
              <w:rPr>
                <w:sz w:val="1"/>
                <w:szCs w:val="1"/>
                <w:color w:val="auto"/>
              </w:rPr>
            </w:pPr>
          </w:p>
        </w:tc>
      </w:tr>
      <w:tr>
        <w:trPr>
          <w:trHeight w:val="230"/>
        </w:trPr>
        <w:tc>
          <w:tcPr>
            <w:tcW w:w="39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Stable value funds</w:t>
            </w:r>
          </w:p>
        </w:tc>
        <w:tc>
          <w:tcPr>
            <w:tcW w:w="2840" w:type="dxa"/>
            <w:vAlign w:val="bottom"/>
            <w:tcBorders>
              <w:bottom w:val="single" w:sz="8" w:color="CCEEFF"/>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34,557</w:t>
            </w:r>
          </w:p>
        </w:tc>
        <w:tc>
          <w:tcPr>
            <w:tcW w:w="16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47,125</w:t>
            </w:r>
          </w:p>
        </w:tc>
        <w:tc>
          <w:tcPr>
            <w:tcW w:w="0" w:type="dxa"/>
            <w:vAlign w:val="bottom"/>
          </w:tcPr>
          <w:p>
            <w:pPr>
              <w:spacing w:after="0"/>
              <w:rPr>
                <w:sz w:val="1"/>
                <w:szCs w:val="1"/>
                <w:color w:val="auto"/>
              </w:rPr>
            </w:pPr>
          </w:p>
        </w:tc>
      </w:tr>
      <w:tr>
        <w:trPr>
          <w:trHeight w:val="223"/>
        </w:trPr>
        <w:tc>
          <w:tcPr>
            <w:tcW w:w="39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b w:val="1"/>
                <w:bCs w:val="1"/>
                <w:color w:val="auto"/>
              </w:rPr>
              <w:t>Total investments</w:t>
            </w:r>
          </w:p>
        </w:tc>
        <w:tc>
          <w:tcPr>
            <w:tcW w:w="28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544,322</w:t>
            </w: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510,960</w:t>
            </w:r>
          </w:p>
        </w:tc>
        <w:tc>
          <w:tcPr>
            <w:tcW w:w="0" w:type="dxa"/>
            <w:vAlign w:val="bottom"/>
          </w:tcPr>
          <w:p>
            <w:pPr>
              <w:spacing w:after="0"/>
              <w:rPr>
                <w:sz w:val="1"/>
                <w:szCs w:val="1"/>
                <w:color w:val="auto"/>
              </w:rPr>
            </w:pPr>
          </w:p>
        </w:tc>
      </w:tr>
      <w:tr>
        <w:trPr>
          <w:trHeight w:val="270"/>
        </w:trPr>
        <w:tc>
          <w:tcPr>
            <w:tcW w:w="3920" w:type="dxa"/>
            <w:vAlign w:val="bottom"/>
          </w:tcPr>
          <w:p>
            <w:pPr>
              <w:spacing w:after="0"/>
              <w:rPr>
                <w:sz w:val="23"/>
                <w:szCs w:val="23"/>
                <w:color w:val="auto"/>
              </w:rPr>
            </w:pPr>
          </w:p>
        </w:tc>
        <w:tc>
          <w:tcPr>
            <w:tcW w:w="284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39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Receivables:</w:t>
            </w:r>
          </w:p>
        </w:tc>
        <w:tc>
          <w:tcPr>
            <w:tcW w:w="28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Notes receivable from participants</w:t>
            </w:r>
          </w:p>
        </w:tc>
        <w:tc>
          <w:tcPr>
            <w:tcW w:w="28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8,919</w:t>
            </w: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7,836</w:t>
            </w:r>
          </w:p>
        </w:tc>
        <w:tc>
          <w:tcPr>
            <w:tcW w:w="0" w:type="dxa"/>
            <w:vAlign w:val="bottom"/>
          </w:tcPr>
          <w:p>
            <w:pPr>
              <w:spacing w:after="0"/>
              <w:rPr>
                <w:sz w:val="1"/>
                <w:szCs w:val="1"/>
                <w:color w:val="auto"/>
              </w:rPr>
            </w:pPr>
          </w:p>
        </w:tc>
      </w:tr>
      <w:tr>
        <w:trPr>
          <w:trHeight w:val="229"/>
        </w:trPr>
        <w:tc>
          <w:tcPr>
            <w:tcW w:w="39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Employer contributions</w:t>
            </w:r>
          </w:p>
        </w:tc>
        <w:tc>
          <w:tcPr>
            <w:tcW w:w="2840" w:type="dxa"/>
            <w:vAlign w:val="bottom"/>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7,466</w:t>
            </w:r>
          </w:p>
        </w:tc>
        <w:tc>
          <w:tcPr>
            <w:tcW w:w="160" w:type="dxa"/>
            <w:vAlign w:val="bottom"/>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3,601</w:t>
            </w:r>
          </w:p>
        </w:tc>
        <w:tc>
          <w:tcPr>
            <w:tcW w:w="0" w:type="dxa"/>
            <w:vAlign w:val="bottom"/>
          </w:tcPr>
          <w:p>
            <w:pPr>
              <w:spacing w:after="0"/>
              <w:rPr>
                <w:sz w:val="1"/>
                <w:szCs w:val="1"/>
                <w:color w:val="auto"/>
              </w:rPr>
            </w:pPr>
          </w:p>
        </w:tc>
      </w:tr>
      <w:tr>
        <w:trPr>
          <w:trHeight w:val="223"/>
        </w:trPr>
        <w:tc>
          <w:tcPr>
            <w:tcW w:w="3920" w:type="dxa"/>
            <w:vAlign w:val="bottom"/>
          </w:tcPr>
          <w:p>
            <w:pPr>
              <w:ind w:left="500"/>
              <w:spacing w:after="0"/>
              <w:rPr>
                <w:sz w:val="20"/>
                <w:szCs w:val="20"/>
                <w:color w:val="auto"/>
              </w:rPr>
            </w:pPr>
            <w:r>
              <w:rPr>
                <w:rFonts w:ascii="Times New Roman" w:cs="Times New Roman" w:eastAsia="Times New Roman" w:hAnsi="Times New Roman"/>
                <w:sz w:val="18"/>
                <w:szCs w:val="18"/>
                <w:b w:val="1"/>
                <w:bCs w:val="1"/>
                <w:color w:val="auto"/>
              </w:rPr>
              <w:t>Total receivables</w:t>
            </w:r>
          </w:p>
        </w:tc>
        <w:tc>
          <w:tcPr>
            <w:tcW w:w="28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16,384</w:t>
            </w: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11,437</w:t>
            </w:r>
          </w:p>
        </w:tc>
        <w:tc>
          <w:tcPr>
            <w:tcW w:w="0" w:type="dxa"/>
            <w:vAlign w:val="bottom"/>
          </w:tcPr>
          <w:p>
            <w:pPr>
              <w:spacing w:after="0"/>
              <w:rPr>
                <w:sz w:val="1"/>
                <w:szCs w:val="1"/>
                <w:color w:val="auto"/>
              </w:rPr>
            </w:pPr>
          </w:p>
        </w:tc>
      </w:tr>
      <w:tr>
        <w:trPr>
          <w:trHeight w:val="270"/>
        </w:trPr>
        <w:tc>
          <w:tcPr>
            <w:tcW w:w="3920" w:type="dxa"/>
            <w:vAlign w:val="bottom"/>
            <w:shd w:val="clear" w:color="auto" w:fill="CCEEFF"/>
          </w:tcPr>
          <w:p>
            <w:pPr>
              <w:spacing w:after="0"/>
              <w:rPr>
                <w:sz w:val="23"/>
                <w:szCs w:val="23"/>
                <w:color w:val="auto"/>
              </w:rPr>
            </w:pPr>
          </w:p>
        </w:tc>
        <w:tc>
          <w:tcPr>
            <w:tcW w:w="2840" w:type="dxa"/>
            <w:vAlign w:val="bottom"/>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3920" w:type="dxa"/>
            <w:vAlign w:val="bottom"/>
            <w:tcBorders>
              <w:bottom w:val="single" w:sz="8" w:color="CCEEFF"/>
            </w:tcBorders>
          </w:tcPr>
          <w:p>
            <w:pPr>
              <w:ind w:left="50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840" w:type="dxa"/>
            <w:vAlign w:val="bottom"/>
            <w:tcBorders>
              <w:bottom w:val="single" w:sz="8" w:color="CCEEFF"/>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560,706</w:t>
            </w:r>
          </w:p>
        </w:tc>
        <w:tc>
          <w:tcPr>
            <w:tcW w:w="16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522,397</w:t>
            </w:r>
          </w:p>
        </w:tc>
        <w:tc>
          <w:tcPr>
            <w:tcW w:w="0" w:type="dxa"/>
            <w:vAlign w:val="bottom"/>
          </w:tcPr>
          <w:p>
            <w:pPr>
              <w:spacing w:after="0"/>
              <w:rPr>
                <w:sz w:val="1"/>
                <w:szCs w:val="1"/>
                <w:color w:val="auto"/>
              </w:rPr>
            </w:pPr>
          </w:p>
        </w:tc>
      </w:tr>
      <w:tr>
        <w:trPr>
          <w:trHeight w:val="250"/>
        </w:trPr>
        <w:tc>
          <w:tcPr>
            <w:tcW w:w="3920" w:type="dxa"/>
            <w:vAlign w:val="bottom"/>
            <w:shd w:val="clear" w:color="auto" w:fill="CCEEFF"/>
          </w:tcPr>
          <w:p>
            <w:pPr>
              <w:spacing w:after="0"/>
              <w:rPr>
                <w:sz w:val="21"/>
                <w:szCs w:val="21"/>
                <w:color w:val="auto"/>
              </w:rPr>
            </w:pPr>
          </w:p>
        </w:tc>
        <w:tc>
          <w:tcPr>
            <w:tcW w:w="284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8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Accrued administrative expenses</w:t>
            </w:r>
          </w:p>
        </w:tc>
        <w:tc>
          <w:tcPr>
            <w:tcW w:w="28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270"/>
        </w:trPr>
        <w:tc>
          <w:tcPr>
            <w:tcW w:w="3920" w:type="dxa"/>
            <w:vAlign w:val="bottom"/>
            <w:tcBorders>
              <w:bottom w:val="single" w:sz="8" w:color="CCEEFF"/>
            </w:tcBorders>
          </w:tcPr>
          <w:p>
            <w:pPr>
              <w:spacing w:after="0"/>
              <w:rPr>
                <w:sz w:val="23"/>
                <w:szCs w:val="23"/>
                <w:color w:val="auto"/>
              </w:rPr>
            </w:pPr>
          </w:p>
        </w:tc>
        <w:tc>
          <w:tcPr>
            <w:tcW w:w="2840" w:type="dxa"/>
            <w:vAlign w:val="bottom"/>
            <w:tcBorders>
              <w:bottom w:val="single" w:sz="8" w:color="CCEEFF"/>
            </w:tcBorders>
          </w:tcPr>
          <w:p>
            <w:pPr>
              <w:spacing w:after="0"/>
              <w:rPr>
                <w:sz w:val="23"/>
                <w:szCs w:val="23"/>
                <w:color w:val="auto"/>
              </w:rPr>
            </w:pPr>
          </w:p>
        </w:tc>
        <w:tc>
          <w:tcPr>
            <w:tcW w:w="122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spacing w:after="0"/>
              <w:rPr>
                <w:sz w:val="23"/>
                <w:szCs w:val="23"/>
                <w:color w:val="auto"/>
              </w:rPr>
            </w:pPr>
          </w:p>
        </w:tc>
        <w:tc>
          <w:tcPr>
            <w:tcW w:w="160" w:type="dxa"/>
            <w:vAlign w:val="bottom"/>
            <w:tcBorders>
              <w:bottom w:val="single" w:sz="8" w:color="CCEEFF"/>
            </w:tcBorders>
          </w:tcPr>
          <w:p>
            <w:pPr>
              <w:spacing w:after="0"/>
              <w:rPr>
                <w:sz w:val="23"/>
                <w:szCs w:val="23"/>
                <w:color w:val="auto"/>
              </w:rPr>
            </w:pPr>
          </w:p>
        </w:tc>
        <w:tc>
          <w:tcPr>
            <w:tcW w:w="74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39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840" w:type="dxa"/>
            <w:vAlign w:val="bottom"/>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w:t>
            </w:r>
          </w:p>
        </w:tc>
        <w:tc>
          <w:tcPr>
            <w:tcW w:w="160" w:type="dxa"/>
            <w:vAlign w:val="bottom"/>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85</w:t>
            </w:r>
          </w:p>
        </w:tc>
        <w:tc>
          <w:tcPr>
            <w:tcW w:w="0" w:type="dxa"/>
            <w:vAlign w:val="bottom"/>
          </w:tcPr>
          <w:p>
            <w:pPr>
              <w:spacing w:after="0"/>
              <w:rPr>
                <w:sz w:val="1"/>
                <w:szCs w:val="1"/>
                <w:color w:val="auto"/>
              </w:rPr>
            </w:pPr>
          </w:p>
        </w:tc>
      </w:tr>
      <w:tr>
        <w:trPr>
          <w:trHeight w:val="250"/>
        </w:trPr>
        <w:tc>
          <w:tcPr>
            <w:tcW w:w="3920" w:type="dxa"/>
            <w:vAlign w:val="bottom"/>
            <w:tcBorders>
              <w:bottom w:val="single" w:sz="8" w:color="CCEEFF"/>
            </w:tcBorders>
          </w:tcPr>
          <w:p>
            <w:pPr>
              <w:spacing w:after="0"/>
              <w:rPr>
                <w:sz w:val="21"/>
                <w:szCs w:val="21"/>
                <w:color w:val="auto"/>
              </w:rPr>
            </w:pPr>
          </w:p>
        </w:tc>
        <w:tc>
          <w:tcPr>
            <w:tcW w:w="2840" w:type="dxa"/>
            <w:vAlign w:val="bottom"/>
            <w:tcBorders>
              <w:bottom w:val="single" w:sz="8" w:color="CCEEFF"/>
            </w:tcBorders>
          </w:tcPr>
          <w:p>
            <w:pPr>
              <w:spacing w:after="0"/>
              <w:rPr>
                <w:sz w:val="21"/>
                <w:szCs w:val="21"/>
                <w:color w:val="auto"/>
              </w:rPr>
            </w:pPr>
          </w:p>
        </w:tc>
        <w:tc>
          <w:tcPr>
            <w:tcW w:w="12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39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ASSETS AVAILABLE FOR BENEFITS</w:t>
            </w:r>
          </w:p>
        </w:tc>
        <w:tc>
          <w:tcPr>
            <w:tcW w:w="28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ind w:right="10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560,687</w:t>
            </w: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522,311</w:t>
            </w:r>
          </w:p>
        </w:tc>
        <w:tc>
          <w:tcPr>
            <w:tcW w:w="0" w:type="dxa"/>
            <w:vAlign w:val="bottom"/>
          </w:tcPr>
          <w:p>
            <w:pPr>
              <w:spacing w:after="0"/>
              <w:rPr>
                <w:sz w:val="1"/>
                <w:szCs w:val="1"/>
                <w:color w:val="auto"/>
              </w:rPr>
            </w:pPr>
          </w:p>
        </w:tc>
      </w:tr>
      <w:tr>
        <w:trPr>
          <w:trHeight w:val="20"/>
        </w:trPr>
        <w:tc>
          <w:tcPr>
            <w:tcW w:w="3920" w:type="dxa"/>
            <w:vAlign w:val="bottom"/>
            <w:tcBorders>
              <w:top w:val="single" w:sz="8" w:color="CCEEFF"/>
            </w:tcBorders>
          </w:tcPr>
          <w:p>
            <w:pPr>
              <w:spacing w:after="0" w:line="20" w:lineRule="exact"/>
              <w:rPr>
                <w:sz w:val="1"/>
                <w:szCs w:val="1"/>
                <w:color w:val="auto"/>
              </w:rPr>
            </w:pPr>
          </w:p>
        </w:tc>
        <w:tc>
          <w:tcPr>
            <w:tcW w:w="284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7"/>
        </w:trPr>
        <w:tc>
          <w:tcPr>
            <w:tcW w:w="3920" w:type="dxa"/>
            <w:vAlign w:val="bottom"/>
          </w:tcPr>
          <w:p>
            <w:pPr>
              <w:spacing w:after="0"/>
              <w:rPr>
                <w:sz w:val="24"/>
                <w:szCs w:val="24"/>
                <w:color w:val="auto"/>
              </w:rPr>
            </w:pPr>
          </w:p>
        </w:tc>
        <w:tc>
          <w:tcPr>
            <w:tcW w:w="4060" w:type="dxa"/>
            <w:vAlign w:val="bottom"/>
            <w:gridSpan w:val="2"/>
          </w:tcPr>
          <w:p>
            <w:pPr>
              <w:jc w:val="right"/>
              <w:ind w:right="1290"/>
              <w:spacing w:after="0"/>
              <w:rPr>
                <w:sz w:val="20"/>
                <w:szCs w:val="20"/>
                <w:color w:val="auto"/>
              </w:rPr>
            </w:pPr>
            <w:r>
              <w:rPr>
                <w:rFonts w:ascii="Times New Roman" w:cs="Times New Roman" w:eastAsia="Times New Roman" w:hAnsi="Times New Roman"/>
                <w:sz w:val="18"/>
                <w:szCs w:val="18"/>
                <w:color w:val="auto"/>
              </w:rPr>
              <w:t>See notes to financial statements.</w:t>
            </w: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820"/>
          </w:cols>
          <w:pgMar w:left="540" w:top="1220" w:right="539" w:bottom="1440" w:gutter="0" w:footer="0" w:header="0"/>
        </w:sectPr>
      </w:pPr>
    </w:p>
    <w:bookmarkStart w:id="4" w:name="page5"/>
    <w:bookmarkEnd w:id="4"/>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LOUISIANA-PACIFIC 401(k) AND PROFIT SHARING PLAN</w:t>
      </w:r>
    </w:p>
    <w:p>
      <w:pPr>
        <w:spacing w:after="0" w:line="3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STATEMENTS OF CHANGES IN NET ASSETS AVAILABLE FOR BENEFITS</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4100" w:type="dxa"/>
            <w:vAlign w:val="bottom"/>
          </w:tcPr>
          <w:p>
            <w:pPr>
              <w:spacing w:after="0"/>
              <w:rPr>
                <w:sz w:val="19"/>
                <w:szCs w:val="19"/>
                <w:color w:val="auto"/>
              </w:rPr>
            </w:pPr>
          </w:p>
        </w:tc>
        <w:tc>
          <w:tcPr>
            <w:tcW w:w="3600" w:type="dxa"/>
            <w:vAlign w:val="bottom"/>
            <w:gridSpan w:val="2"/>
          </w:tcPr>
          <w:p>
            <w:pPr>
              <w:jc w:val="right"/>
              <w:ind w:right="1110"/>
              <w:spacing w:after="0"/>
              <w:rPr>
                <w:sz w:val="20"/>
                <w:szCs w:val="20"/>
                <w:color w:val="auto"/>
              </w:rPr>
            </w:pPr>
            <w:r>
              <w:rPr>
                <w:rFonts w:ascii="Times New Roman" w:cs="Times New Roman" w:eastAsia="Times New Roman" w:hAnsi="Times New Roman"/>
                <w:sz w:val="18"/>
                <w:szCs w:val="18"/>
                <w:color w:val="auto"/>
              </w:rPr>
              <w:t>Dollar amounts in thousands</w:t>
            </w: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38"/>
        </w:trPr>
        <w:tc>
          <w:tcPr>
            <w:tcW w:w="410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3820" w:type="dxa"/>
            <w:vAlign w:val="bottom"/>
            <w:tcBorders>
              <w:bottom w:val="single" w:sz="8" w:color="auto"/>
            </w:tcBorders>
            <w:gridSpan w:val="4"/>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For Years Ended December 31,</w:t>
            </w:r>
          </w:p>
        </w:tc>
        <w:tc>
          <w:tcPr>
            <w:tcW w:w="800" w:type="dxa"/>
            <w:vAlign w:val="bottom"/>
            <w:tcBorders>
              <w:bottom w:val="single" w:sz="8" w:color="auto"/>
            </w:tcBorders>
          </w:tcPr>
          <w:p>
            <w:pPr>
              <w:spacing w:after="0"/>
              <w:rPr>
                <w:sz w:val="20"/>
                <w:szCs w:val="20"/>
                <w:color w:val="auto"/>
              </w:rPr>
            </w:pPr>
          </w:p>
        </w:tc>
      </w:tr>
      <w:tr>
        <w:trPr>
          <w:trHeight w:val="223"/>
        </w:trPr>
        <w:tc>
          <w:tcPr>
            <w:tcW w:w="4100" w:type="dxa"/>
            <w:vAlign w:val="bottom"/>
            <w:tcBorders>
              <w:bottom w:val="single" w:sz="8" w:color="CCEEFF"/>
            </w:tcBorders>
          </w:tcPr>
          <w:p>
            <w:pPr>
              <w:spacing w:after="0"/>
              <w:rPr>
                <w:sz w:val="19"/>
                <w:szCs w:val="19"/>
                <w:color w:val="auto"/>
              </w:rPr>
            </w:pPr>
          </w:p>
        </w:tc>
        <w:tc>
          <w:tcPr>
            <w:tcW w:w="222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780" w:type="dxa"/>
            <w:vAlign w:val="bottom"/>
            <w:tcBorders>
              <w:bottom w:val="single" w:sz="8" w:color="auto"/>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14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0" w:type="dxa"/>
            <w:vAlign w:val="bottom"/>
            <w:tcBorders>
              <w:bottom w:val="single" w:sz="8" w:color="auto"/>
            </w:tcBorders>
          </w:tcPr>
          <w:p>
            <w:pPr>
              <w:spacing w:after="0"/>
              <w:rPr>
                <w:sz w:val="19"/>
                <w:szCs w:val="19"/>
                <w:color w:val="auto"/>
              </w:rPr>
            </w:pPr>
          </w:p>
        </w:tc>
      </w:tr>
      <w:tr>
        <w:trPr>
          <w:trHeight w:val="210"/>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ADDITIONS:</w:t>
            </w:r>
          </w:p>
        </w:tc>
        <w:tc>
          <w:tcPr>
            <w:tcW w:w="22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r>
      <w:tr>
        <w:trPr>
          <w:trHeight w:val="229"/>
        </w:trPr>
        <w:tc>
          <w:tcPr>
            <w:tcW w:w="410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Contributions:</w:t>
            </w:r>
          </w:p>
        </w:tc>
        <w:tc>
          <w:tcPr>
            <w:tcW w:w="22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30"/>
        </w:trPr>
        <w:tc>
          <w:tcPr>
            <w:tcW w:w="41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Employer contributions</w:t>
            </w:r>
          </w:p>
        </w:tc>
        <w:tc>
          <w:tcPr>
            <w:tcW w:w="3600" w:type="dxa"/>
            <w:vAlign w:val="bottom"/>
            <w:gridSpan w:val="2"/>
            <w:shd w:val="clear" w:color="auto" w:fill="CCEEFF"/>
          </w:tcPr>
          <w:p>
            <w:pPr>
              <w:jc w:val="right"/>
              <w:ind w:right="119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19,224</w:t>
            </w: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2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16,105</w:t>
            </w:r>
          </w:p>
        </w:tc>
      </w:tr>
      <w:tr>
        <w:trPr>
          <w:trHeight w:val="229"/>
        </w:trPr>
        <w:tc>
          <w:tcPr>
            <w:tcW w:w="41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Participant contributions</w:t>
            </w:r>
          </w:p>
        </w:tc>
        <w:tc>
          <w:tcPr>
            <w:tcW w:w="222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23,554</w:t>
            </w:r>
          </w:p>
        </w:tc>
        <w:tc>
          <w:tcPr>
            <w:tcW w:w="260" w:type="dxa"/>
            <w:vAlign w:val="bottom"/>
            <w:tcBorders>
              <w:bottom w:val="single" w:sz="8" w:color="CCEEFF"/>
            </w:tcBorders>
          </w:tcPr>
          <w:p>
            <w:pPr>
              <w:spacing w:after="0"/>
              <w:rPr>
                <w:sz w:val="19"/>
                <w:szCs w:val="19"/>
                <w:color w:val="auto"/>
              </w:rPr>
            </w:pPr>
          </w:p>
        </w:tc>
        <w:tc>
          <w:tcPr>
            <w:tcW w:w="14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22,127</w:t>
            </w:r>
          </w:p>
        </w:tc>
      </w:tr>
      <w:tr>
        <w:trPr>
          <w:trHeight w:val="223"/>
        </w:trPr>
        <w:tc>
          <w:tcPr>
            <w:tcW w:w="41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b w:val="1"/>
                <w:bCs w:val="1"/>
                <w:color w:val="auto"/>
              </w:rPr>
              <w:t>Total contributions</w:t>
            </w:r>
          </w:p>
        </w:tc>
        <w:tc>
          <w:tcPr>
            <w:tcW w:w="2220" w:type="dxa"/>
            <w:vAlign w:val="bottom"/>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42,779</w:t>
            </w:r>
          </w:p>
        </w:tc>
        <w:tc>
          <w:tcPr>
            <w:tcW w:w="260" w:type="dxa"/>
            <w:vAlign w:val="bottom"/>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38,232</w:t>
            </w:r>
          </w:p>
        </w:tc>
      </w:tr>
      <w:tr>
        <w:trPr>
          <w:trHeight w:val="250"/>
        </w:trPr>
        <w:tc>
          <w:tcPr>
            <w:tcW w:w="4100" w:type="dxa"/>
            <w:vAlign w:val="bottom"/>
          </w:tcPr>
          <w:p>
            <w:pPr>
              <w:spacing w:after="0"/>
              <w:rPr>
                <w:sz w:val="21"/>
                <w:szCs w:val="21"/>
                <w:color w:val="auto"/>
              </w:rPr>
            </w:pPr>
          </w:p>
        </w:tc>
        <w:tc>
          <w:tcPr>
            <w:tcW w:w="2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30"/>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Investment income:</w:t>
            </w:r>
          </w:p>
        </w:tc>
        <w:tc>
          <w:tcPr>
            <w:tcW w:w="22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r>
      <w:tr>
        <w:trPr>
          <w:trHeight w:val="229"/>
        </w:trPr>
        <w:tc>
          <w:tcPr>
            <w:tcW w:w="41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Dividend income</w:t>
            </w:r>
          </w:p>
        </w:tc>
        <w:tc>
          <w:tcPr>
            <w:tcW w:w="22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9,238</w:t>
            </w:r>
          </w:p>
        </w:tc>
        <w:tc>
          <w:tcPr>
            <w:tcW w:w="2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6,658</w:t>
            </w:r>
          </w:p>
        </w:tc>
      </w:tr>
      <w:tr>
        <w:trPr>
          <w:trHeight w:val="230"/>
        </w:trPr>
        <w:tc>
          <w:tcPr>
            <w:tcW w:w="41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appreciation in fair value of investments</w:t>
            </w:r>
          </w:p>
        </w:tc>
        <w:tc>
          <w:tcPr>
            <w:tcW w:w="22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r>
      <w:tr>
        <w:trPr>
          <w:trHeight w:val="229"/>
        </w:trPr>
        <w:tc>
          <w:tcPr>
            <w:tcW w:w="41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(includes realized gains and losses)</w:t>
            </w:r>
          </w:p>
        </w:tc>
        <w:tc>
          <w:tcPr>
            <w:tcW w:w="22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69,086</w:t>
            </w:r>
          </w:p>
        </w:tc>
        <w:tc>
          <w:tcPr>
            <w:tcW w:w="2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73,371</w:t>
            </w:r>
          </w:p>
        </w:tc>
      </w:tr>
      <w:tr>
        <w:trPr>
          <w:trHeight w:val="229"/>
        </w:trPr>
        <w:tc>
          <w:tcPr>
            <w:tcW w:w="4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income (loss)</w:t>
            </w:r>
          </w:p>
        </w:tc>
        <w:tc>
          <w:tcPr>
            <w:tcW w:w="2220" w:type="dxa"/>
            <w:vAlign w:val="bottom"/>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260" w:type="dxa"/>
            <w:vAlign w:val="bottom"/>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r>
      <w:tr>
        <w:trPr>
          <w:trHeight w:val="223"/>
        </w:trPr>
        <w:tc>
          <w:tcPr>
            <w:tcW w:w="410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b w:val="1"/>
                <w:bCs w:val="1"/>
                <w:color w:val="auto"/>
              </w:rPr>
              <w:t>Net investment income</w:t>
            </w:r>
          </w:p>
        </w:tc>
        <w:tc>
          <w:tcPr>
            <w:tcW w:w="222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78,018</w:t>
            </w:r>
          </w:p>
        </w:tc>
        <w:tc>
          <w:tcPr>
            <w:tcW w:w="260" w:type="dxa"/>
            <w:vAlign w:val="bottom"/>
            <w:tcBorders>
              <w:bottom w:val="single" w:sz="8" w:color="CCEEFF"/>
            </w:tcBorders>
          </w:tcPr>
          <w:p>
            <w:pPr>
              <w:spacing w:after="0"/>
              <w:rPr>
                <w:sz w:val="19"/>
                <w:szCs w:val="19"/>
                <w:color w:val="auto"/>
              </w:rPr>
            </w:pPr>
          </w:p>
        </w:tc>
        <w:tc>
          <w:tcPr>
            <w:tcW w:w="14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80,171</w:t>
            </w:r>
          </w:p>
        </w:tc>
      </w:tr>
      <w:tr>
        <w:trPr>
          <w:trHeight w:val="250"/>
        </w:trPr>
        <w:tc>
          <w:tcPr>
            <w:tcW w:w="4100" w:type="dxa"/>
            <w:vAlign w:val="bottom"/>
            <w:shd w:val="clear" w:color="auto" w:fill="CCEEFF"/>
          </w:tcPr>
          <w:p>
            <w:pPr>
              <w:spacing w:after="0"/>
              <w:rPr>
                <w:sz w:val="21"/>
                <w:szCs w:val="21"/>
                <w:color w:val="auto"/>
              </w:rPr>
            </w:pPr>
          </w:p>
        </w:tc>
        <w:tc>
          <w:tcPr>
            <w:tcW w:w="222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r>
      <w:tr>
        <w:trPr>
          <w:trHeight w:val="229"/>
        </w:trPr>
        <w:tc>
          <w:tcPr>
            <w:tcW w:w="41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Interest income on notes receivable from participants</w:t>
            </w:r>
          </w:p>
        </w:tc>
        <w:tc>
          <w:tcPr>
            <w:tcW w:w="222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719</w:t>
            </w:r>
          </w:p>
        </w:tc>
        <w:tc>
          <w:tcPr>
            <w:tcW w:w="260" w:type="dxa"/>
            <w:vAlign w:val="bottom"/>
            <w:tcBorders>
              <w:bottom w:val="single" w:sz="8" w:color="CCEEFF"/>
            </w:tcBorders>
          </w:tcPr>
          <w:p>
            <w:pPr>
              <w:spacing w:after="0"/>
              <w:rPr>
                <w:sz w:val="19"/>
                <w:szCs w:val="19"/>
                <w:color w:val="auto"/>
              </w:rPr>
            </w:pPr>
          </w:p>
        </w:tc>
        <w:tc>
          <w:tcPr>
            <w:tcW w:w="14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427</w:t>
            </w:r>
          </w:p>
        </w:tc>
      </w:tr>
      <w:tr>
        <w:trPr>
          <w:trHeight w:val="250"/>
        </w:trPr>
        <w:tc>
          <w:tcPr>
            <w:tcW w:w="4100" w:type="dxa"/>
            <w:vAlign w:val="bottom"/>
            <w:shd w:val="clear" w:color="auto" w:fill="CCEEFF"/>
          </w:tcPr>
          <w:p>
            <w:pPr>
              <w:spacing w:after="0"/>
              <w:rPr>
                <w:sz w:val="21"/>
                <w:szCs w:val="21"/>
                <w:color w:val="auto"/>
              </w:rPr>
            </w:pPr>
          </w:p>
        </w:tc>
        <w:tc>
          <w:tcPr>
            <w:tcW w:w="2220" w:type="dxa"/>
            <w:vAlign w:val="bottom"/>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spacing w:after="0"/>
              <w:rPr>
                <w:sz w:val="21"/>
                <w:szCs w:val="21"/>
                <w:color w:val="auto"/>
              </w:rPr>
            </w:pPr>
          </w:p>
        </w:tc>
      </w:tr>
      <w:tr>
        <w:trPr>
          <w:trHeight w:val="223"/>
        </w:trPr>
        <w:tc>
          <w:tcPr>
            <w:tcW w:w="410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b w:val="1"/>
                <w:bCs w:val="1"/>
                <w:color w:val="auto"/>
              </w:rPr>
              <w:t>Total additions</w:t>
            </w:r>
          </w:p>
        </w:tc>
        <w:tc>
          <w:tcPr>
            <w:tcW w:w="222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121,516</w:t>
            </w:r>
          </w:p>
        </w:tc>
        <w:tc>
          <w:tcPr>
            <w:tcW w:w="260" w:type="dxa"/>
            <w:vAlign w:val="bottom"/>
            <w:tcBorders>
              <w:bottom w:val="single" w:sz="8" w:color="CCEEFF"/>
            </w:tcBorders>
          </w:tcPr>
          <w:p>
            <w:pPr>
              <w:spacing w:after="0"/>
              <w:rPr>
                <w:sz w:val="19"/>
                <w:szCs w:val="19"/>
                <w:color w:val="auto"/>
              </w:rPr>
            </w:pPr>
          </w:p>
        </w:tc>
        <w:tc>
          <w:tcPr>
            <w:tcW w:w="14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118,830</w:t>
            </w:r>
          </w:p>
        </w:tc>
      </w:tr>
      <w:tr>
        <w:trPr>
          <w:trHeight w:val="250"/>
        </w:trPr>
        <w:tc>
          <w:tcPr>
            <w:tcW w:w="4100" w:type="dxa"/>
            <w:vAlign w:val="bottom"/>
            <w:shd w:val="clear" w:color="auto" w:fill="CCEEFF"/>
          </w:tcPr>
          <w:p>
            <w:pPr>
              <w:spacing w:after="0"/>
              <w:rPr>
                <w:sz w:val="21"/>
                <w:szCs w:val="21"/>
                <w:color w:val="auto"/>
              </w:rPr>
            </w:pPr>
          </w:p>
        </w:tc>
        <w:tc>
          <w:tcPr>
            <w:tcW w:w="222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r>
      <w:tr>
        <w:trPr>
          <w:trHeight w:val="229"/>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DEDUCTIONS:</w:t>
            </w:r>
          </w:p>
        </w:tc>
        <w:tc>
          <w:tcPr>
            <w:tcW w:w="22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30"/>
        </w:trPr>
        <w:tc>
          <w:tcPr>
            <w:tcW w:w="41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Administrative expenses</w:t>
            </w:r>
          </w:p>
        </w:tc>
        <w:tc>
          <w:tcPr>
            <w:tcW w:w="22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w:t>
            </w: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w:t>
            </w:r>
          </w:p>
        </w:tc>
      </w:tr>
      <w:tr>
        <w:trPr>
          <w:trHeight w:val="230"/>
        </w:trPr>
        <w:tc>
          <w:tcPr>
            <w:tcW w:w="41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Benefits paid to participants</w:t>
            </w:r>
          </w:p>
        </w:tc>
        <w:tc>
          <w:tcPr>
            <w:tcW w:w="222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82,443</w:t>
            </w:r>
          </w:p>
        </w:tc>
        <w:tc>
          <w:tcPr>
            <w:tcW w:w="260" w:type="dxa"/>
            <w:vAlign w:val="bottom"/>
            <w:tcBorders>
              <w:bottom w:val="single" w:sz="8" w:color="CCEEFF"/>
            </w:tcBorders>
          </w:tcPr>
          <w:p>
            <w:pPr>
              <w:spacing w:after="0"/>
              <w:rPr>
                <w:sz w:val="19"/>
                <w:szCs w:val="19"/>
                <w:color w:val="auto"/>
              </w:rPr>
            </w:pPr>
          </w:p>
        </w:tc>
        <w:tc>
          <w:tcPr>
            <w:tcW w:w="14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54,519</w:t>
            </w:r>
          </w:p>
        </w:tc>
      </w:tr>
      <w:tr>
        <w:trPr>
          <w:trHeight w:val="223"/>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deductions</w:t>
            </w:r>
          </w:p>
        </w:tc>
        <w:tc>
          <w:tcPr>
            <w:tcW w:w="2220" w:type="dxa"/>
            <w:vAlign w:val="bottom"/>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83,140</w:t>
            </w:r>
          </w:p>
        </w:tc>
        <w:tc>
          <w:tcPr>
            <w:tcW w:w="260" w:type="dxa"/>
            <w:vAlign w:val="bottom"/>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55,271</w:t>
            </w:r>
          </w:p>
        </w:tc>
      </w:tr>
      <w:tr>
        <w:trPr>
          <w:trHeight w:val="250"/>
        </w:trPr>
        <w:tc>
          <w:tcPr>
            <w:tcW w:w="4100" w:type="dxa"/>
            <w:vAlign w:val="bottom"/>
          </w:tcPr>
          <w:p>
            <w:pPr>
              <w:spacing w:after="0"/>
              <w:rPr>
                <w:sz w:val="21"/>
                <w:szCs w:val="21"/>
                <w:color w:val="auto"/>
              </w:rPr>
            </w:pPr>
          </w:p>
        </w:tc>
        <w:tc>
          <w:tcPr>
            <w:tcW w:w="2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30"/>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INCREASE</w:t>
            </w:r>
          </w:p>
        </w:tc>
        <w:tc>
          <w:tcPr>
            <w:tcW w:w="22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38,376</w:t>
            </w: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63,559</w:t>
            </w:r>
          </w:p>
        </w:tc>
      </w:tr>
      <w:tr>
        <w:trPr>
          <w:trHeight w:val="270"/>
        </w:trPr>
        <w:tc>
          <w:tcPr>
            <w:tcW w:w="4100" w:type="dxa"/>
            <w:vAlign w:val="bottom"/>
          </w:tcPr>
          <w:p>
            <w:pPr>
              <w:spacing w:after="0"/>
              <w:rPr>
                <w:sz w:val="23"/>
                <w:szCs w:val="23"/>
                <w:color w:val="auto"/>
              </w:rPr>
            </w:pPr>
          </w:p>
        </w:tc>
        <w:tc>
          <w:tcPr>
            <w:tcW w:w="222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800" w:type="dxa"/>
            <w:vAlign w:val="bottom"/>
          </w:tcPr>
          <w:p>
            <w:pPr>
              <w:spacing w:after="0"/>
              <w:rPr>
                <w:sz w:val="23"/>
                <w:szCs w:val="23"/>
                <w:color w:val="auto"/>
              </w:rPr>
            </w:pPr>
          </w:p>
        </w:tc>
      </w:tr>
      <w:tr>
        <w:trPr>
          <w:trHeight w:val="230"/>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ASSETS AVAILABLE FOR BENEFITS:</w:t>
            </w:r>
          </w:p>
        </w:tc>
        <w:tc>
          <w:tcPr>
            <w:tcW w:w="22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r>
      <w:tr>
        <w:trPr>
          <w:trHeight w:val="229"/>
        </w:trPr>
        <w:tc>
          <w:tcPr>
            <w:tcW w:w="4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Beginning of year</w:t>
            </w:r>
          </w:p>
        </w:tc>
        <w:tc>
          <w:tcPr>
            <w:tcW w:w="22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522,311</w:t>
            </w:r>
          </w:p>
        </w:tc>
        <w:tc>
          <w:tcPr>
            <w:tcW w:w="2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458,752</w:t>
            </w:r>
          </w:p>
        </w:tc>
      </w:tr>
      <w:tr>
        <w:trPr>
          <w:trHeight w:val="270"/>
        </w:trPr>
        <w:tc>
          <w:tcPr>
            <w:tcW w:w="4100" w:type="dxa"/>
            <w:vAlign w:val="bottom"/>
            <w:shd w:val="clear" w:color="auto" w:fill="CCEEFF"/>
          </w:tcPr>
          <w:p>
            <w:pPr>
              <w:spacing w:after="0"/>
              <w:rPr>
                <w:sz w:val="23"/>
                <w:szCs w:val="23"/>
                <w:color w:val="auto"/>
              </w:rPr>
            </w:pPr>
          </w:p>
        </w:tc>
        <w:tc>
          <w:tcPr>
            <w:tcW w:w="2220" w:type="dxa"/>
            <w:vAlign w:val="bottom"/>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40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spacing w:after="0"/>
              <w:rPr>
                <w:sz w:val="23"/>
                <w:szCs w:val="23"/>
                <w:color w:val="auto"/>
              </w:rPr>
            </w:pPr>
          </w:p>
        </w:tc>
      </w:tr>
      <w:tr>
        <w:trPr>
          <w:trHeight w:val="223"/>
        </w:trPr>
        <w:tc>
          <w:tcPr>
            <w:tcW w:w="410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End of year</w:t>
            </w:r>
          </w:p>
        </w:tc>
        <w:tc>
          <w:tcPr>
            <w:tcW w:w="2220" w:type="dxa"/>
            <w:vAlign w:val="bottom"/>
          </w:tcPr>
          <w:p>
            <w:pPr>
              <w:spacing w:after="0"/>
              <w:rPr>
                <w:sz w:val="19"/>
                <w:szCs w:val="19"/>
                <w:color w:val="auto"/>
              </w:rPr>
            </w:pPr>
          </w:p>
        </w:tc>
        <w:tc>
          <w:tcPr>
            <w:tcW w:w="1380" w:type="dxa"/>
            <w:vAlign w:val="bottom"/>
            <w:tcBorders>
              <w:bottom w:val="single" w:sz="8" w:color="auto"/>
            </w:tcBorders>
          </w:tcPr>
          <w:p>
            <w:pPr>
              <w:jc w:val="right"/>
              <w:ind w:right="1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560,687</w:t>
            </w:r>
          </w:p>
        </w:tc>
        <w:tc>
          <w:tcPr>
            <w:tcW w:w="260" w:type="dxa"/>
            <w:vAlign w:val="bottom"/>
          </w:tcPr>
          <w:p>
            <w:pPr>
              <w:spacing w:after="0"/>
              <w:rPr>
                <w:sz w:val="19"/>
                <w:szCs w:val="19"/>
                <w:color w:val="auto"/>
              </w:rPr>
            </w:pPr>
          </w:p>
        </w:tc>
        <w:tc>
          <w:tcPr>
            <w:tcW w:w="1400" w:type="dxa"/>
            <w:vAlign w:val="bottom"/>
            <w:tcBorders>
              <w:bottom w:val="single" w:sz="8" w:color="auto"/>
            </w:tcBorders>
          </w:tcPr>
          <w:p>
            <w:pPr>
              <w:jc w:val="right"/>
              <w:ind w:right="12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522,311</w:t>
            </w:r>
          </w:p>
        </w:tc>
      </w:tr>
      <w:tr>
        <w:trPr>
          <w:trHeight w:val="21"/>
        </w:trPr>
        <w:tc>
          <w:tcPr>
            <w:tcW w:w="410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466"/>
        </w:trPr>
        <w:tc>
          <w:tcPr>
            <w:tcW w:w="4100" w:type="dxa"/>
            <w:vAlign w:val="bottom"/>
          </w:tcPr>
          <w:p>
            <w:pPr>
              <w:spacing w:after="0"/>
              <w:rPr>
                <w:sz w:val="24"/>
                <w:szCs w:val="24"/>
                <w:color w:val="auto"/>
              </w:rPr>
            </w:pPr>
          </w:p>
        </w:tc>
        <w:tc>
          <w:tcPr>
            <w:tcW w:w="3600" w:type="dxa"/>
            <w:vAlign w:val="bottom"/>
            <w:gridSpan w:val="2"/>
          </w:tcPr>
          <w:p>
            <w:pPr>
              <w:jc w:val="right"/>
              <w:ind w:right="950"/>
              <w:spacing w:after="0"/>
              <w:rPr>
                <w:sz w:val="20"/>
                <w:szCs w:val="20"/>
                <w:color w:val="auto"/>
              </w:rPr>
            </w:pPr>
            <w:r>
              <w:rPr>
                <w:rFonts w:ascii="Times New Roman" w:cs="Times New Roman" w:eastAsia="Times New Roman" w:hAnsi="Times New Roman"/>
                <w:sz w:val="18"/>
                <w:szCs w:val="18"/>
                <w:color w:val="auto"/>
              </w:rPr>
              <w:t>See notes to financial statements.</w:t>
            </w: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0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40"/>
          </w:cols>
          <w:pgMar w:left="480" w:top="1220" w:right="47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20"/>
          <w:szCs w:val="20"/>
          <w:b w:val="1"/>
          <w:bCs w:val="1"/>
          <w:color w:val="auto"/>
        </w:rPr>
        <w:t>LOUISIANA-PACIFIC 401(k) AND PROFIT SHARING PLAN</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NOTES TO FINANCIAL STATEMENTS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AS OF AND FOR THE YEARS ENDED DECEMBER 31, 2024 AND 2023</w:t>
      </w:r>
    </w:p>
    <w:p>
      <w:pPr>
        <w:spacing w:after="0" w:line="203"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20"/>
          <w:szCs w:val="20"/>
          <w:b w:val="1"/>
          <w:bCs w:val="1"/>
          <w:color w:val="auto"/>
        </w:rPr>
        <w:t>1.</w:t>
      </w:r>
      <w:r>
        <w:rPr>
          <w:sz w:val="20"/>
          <w:szCs w:val="20"/>
          <w:color w:val="auto"/>
        </w:rPr>
        <w:tab/>
      </w:r>
      <w:r>
        <w:rPr>
          <w:rFonts w:ascii="Times New Roman" w:cs="Times New Roman" w:eastAsia="Times New Roman" w:hAnsi="Times New Roman"/>
          <w:sz w:val="19"/>
          <w:szCs w:val="19"/>
          <w:b w:val="1"/>
          <w:bCs w:val="1"/>
          <w:color w:val="auto"/>
        </w:rPr>
        <w:t>DESCRIPTION OF PLAN</w:t>
      </w:r>
    </w:p>
    <w:p>
      <w:pPr>
        <w:spacing w:after="0" w:line="11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20"/>
          <w:szCs w:val="20"/>
          <w:color w:val="auto"/>
        </w:rPr>
        <w:t>The following description of the Louisiana-Pacific ("LP") 401(k) and Profit Sharing Plan (the “Plan”) is provided for general information purposes only. Participants should refer to the Plan document for detailed information. All dollar amounts are shown in thousands except share amounts.</w:t>
      </w:r>
    </w:p>
    <w:p>
      <w:pPr>
        <w:spacing w:after="0" w:line="4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b w:val="1"/>
          <w:bCs w:val="1"/>
          <w:color w:val="auto"/>
        </w:rPr>
        <w:t xml:space="preserve">General </w:t>
      </w:r>
      <w:r>
        <w:rPr>
          <w:rFonts w:ascii="Times New Roman" w:cs="Times New Roman" w:eastAsia="Times New Roman" w:hAnsi="Times New Roman"/>
          <w:sz w:val="20"/>
          <w:szCs w:val="20"/>
          <w:color w:val="auto"/>
        </w:rPr>
        <w:t>- The Plan was initially adopted in 2000 and amended and restated effective August 1, 2024. The Plan is a defined contribution plan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covering all U.S. salaried and hourly employees of Louisiana-Pacific Corporation (the “Company” or “LP”), except those members of a collective bargaining unit, certain temporary or leased employees, and nonresident aliens who receive no U.S. source income. The Plan is designed to comply with applicable provisions of the Internal Revenue Code (the “IRC”) and the Employee Retirement Income Security Act of 1974 ("ERISA") as amended. Any employee noted above may become a participant immediately upon hire. The Plan is administered by an administrative committee (the “Plan Administrator”) comprised of a minimum of three members appointed by LP.</w:t>
      </w:r>
    </w:p>
    <w:p>
      <w:pPr>
        <w:spacing w:after="0" w:line="79"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0"/>
          <w:szCs w:val="20"/>
          <w:b w:val="1"/>
          <w:bCs w:val="1"/>
          <w:color w:val="auto"/>
        </w:rPr>
        <w:t xml:space="preserve">Contributions </w:t>
      </w:r>
      <w:r>
        <w:rPr>
          <w:rFonts w:ascii="Times New Roman" w:cs="Times New Roman" w:eastAsia="Times New Roman" w:hAnsi="Times New Roman"/>
          <w:sz w:val="20"/>
          <w:szCs w:val="20"/>
          <w:color w:val="auto"/>
        </w:rPr>
        <w:t>- Contributions to the Plan include (i) compensation reduction contributions authorized by participants, (ii) non-discretionary matching contributions made by LP, (iii) discretionary profit-sharing contributions made by LP, and (iv) participant rollovers from other qualified plans or conduit Individual Retirement Arrangements.</w:t>
      </w:r>
    </w:p>
    <w:p>
      <w:pPr>
        <w:spacing w:after="0" w:line="7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Participants may elect to contribute a pre-tax and/or Roth percentage of their compensation to the Plan each year, subject to limitations, as defined in the Plan document and set by the IRC. Pre-tax contributions are excluded from the participant's taxable income for federal income tax purposes until received as a withdrawal or distribution from the Plan. The Plan includes an auto-enrollment provision whereby all newly eligible employees are automatically enrolled in the Plan unless they affirmatively elect not to participate in the Plan or elect a different percentage for their contribution. Automatically enrolled participants have their deferral rate set at 6% of eligible compensation and their contributions invested in an age-appropriate target fund until changed by the participant. Participants who have attained age 50 before the end of the Plan year are eligible to make catch-up contributions.</w:t>
      </w:r>
    </w:p>
    <w:p>
      <w:pPr>
        <w:spacing w:after="0" w:line="85"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9"/>
          <w:szCs w:val="19"/>
          <w:color w:val="auto"/>
        </w:rPr>
        <w:t>LP matches contributions at 100% of the first 4% and 50% of the next 2% of eligible compensation deferred. LP can also make a discretionary profit sharing contribution. During the year ended December 31, 2024 and 2023, discretionary profit-sharing contributions were $7,346 and $4,610, respectively. Participants may direct the investment of their contributions and the employer contributions into various investment options offered by the Plan. Participants must be employed on the last day of the Plan year to receive profit-sharing contributions.</w:t>
      </w:r>
    </w:p>
    <w:p>
      <w:pPr>
        <w:spacing w:after="0" w:line="6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b w:val="1"/>
          <w:bCs w:val="1"/>
          <w:color w:val="auto"/>
        </w:rPr>
        <w:t xml:space="preserve">Participant Accounts </w:t>
      </w:r>
      <w:r>
        <w:rPr>
          <w:rFonts w:ascii="Times New Roman" w:cs="Times New Roman" w:eastAsia="Times New Roman" w:hAnsi="Times New Roman"/>
          <w:sz w:val="20"/>
          <w:szCs w:val="20"/>
          <w:color w:val="auto"/>
        </w:rPr>
        <w:t>- Individual accounts are maintained for each participant of the Plan. Each participant's account is credited with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participant's contribution, the Company's non-discretionary matching contribution, and allocations of the Company's discretionary profit sharing contribution and Plan earnings. Allocations are based on participant earnings or account balances, as defined by the plan document. The benefit to which a participant is entitled is the benefit that can be provided from the participant's vested account.</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Investments </w:t>
      </w:r>
      <w:r>
        <w:rPr>
          <w:rFonts w:ascii="Times New Roman" w:cs="Times New Roman" w:eastAsia="Times New Roman" w:hAnsi="Times New Roman"/>
          <w:sz w:val="20"/>
          <w:szCs w:val="20"/>
          <w:color w:val="auto"/>
        </w:rPr>
        <w:t>- Participants direct the investment of their contributions into various investment options offered by the Plan.</w:t>
      </w:r>
    </w:p>
    <w:p>
      <w:pPr>
        <w:spacing w:after="0" w:line="12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20"/>
          <w:szCs w:val="20"/>
          <w:b w:val="1"/>
          <w:bCs w:val="1"/>
          <w:color w:val="auto"/>
        </w:rPr>
        <w:t xml:space="preserve">Vesting </w:t>
      </w:r>
      <w:r>
        <w:rPr>
          <w:rFonts w:ascii="Times New Roman" w:cs="Times New Roman" w:eastAsia="Times New Roman" w:hAnsi="Times New Roman"/>
          <w:sz w:val="20"/>
          <w:szCs w:val="20"/>
          <w:color w:val="auto"/>
        </w:rPr>
        <w:t>- Participants are immediately 100% vested in their own contributions and in employer matching contributions. Effective August 1,</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2024, participants are 100% vested in employer matching contributions.</w:t>
      </w:r>
    </w:p>
    <w:p>
      <w:pPr>
        <w:spacing w:after="0" w:line="34"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A participant shall become fully vested in profit sharing contributions to the Plan upon the first of the following events to occur while employed by LP:</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40"/>
          </w:cols>
          <w:pgMar w:left="320" w:top="923" w:right="339" w:bottom="1440" w:gutter="0" w:footer="0" w:header="0"/>
        </w:sectPr>
      </w:pPr>
    </w:p>
    <w:bookmarkStart w:id="6" w:name="page7"/>
    <w:bookmarkEnd w:id="6"/>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Completion of three years of service</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Death</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Attainment of age 65</w:t>
      </w:r>
    </w:p>
    <w:p>
      <w:pPr>
        <w:spacing w:after="0" w:line="121" w:lineRule="exact"/>
        <w:rPr>
          <w:rFonts w:ascii="Times New Roman" w:cs="Times New Roman" w:eastAsia="Times New Roman" w:hAnsi="Times New Roman"/>
          <w:sz w:val="18"/>
          <w:szCs w:val="18"/>
          <w:color w:val="auto"/>
        </w:rPr>
      </w:pPr>
    </w:p>
    <w:p>
      <w:pPr>
        <w:ind w:right="3220" w:firstLine="332"/>
        <w:spacing w:after="0" w:line="378" w:lineRule="auto"/>
        <w:tabs>
          <w:tab w:leader="none" w:pos="636" w:val="left"/>
        </w:tabs>
        <w:numPr>
          <w:ilvl w:val="0"/>
          <w:numId w:val="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Involuntary termination due to job elimination effective on or after March 18, 2024 </w:t>
      </w:r>
      <w:r>
        <w:rPr>
          <w:rFonts w:ascii="Times New Roman" w:cs="Times New Roman" w:eastAsia="Times New Roman" w:hAnsi="Times New Roman"/>
          <w:sz w:val="19"/>
          <w:szCs w:val="19"/>
          <w:b w:val="1"/>
          <w:bCs w:val="1"/>
          <w:color w:val="auto"/>
        </w:rPr>
        <w:t xml:space="preserve">Payment of Benefits </w:t>
      </w:r>
      <w:r>
        <w:rPr>
          <w:rFonts w:ascii="Times New Roman" w:cs="Times New Roman" w:eastAsia="Times New Roman" w:hAnsi="Times New Roman"/>
          <w:sz w:val="19"/>
          <w:szCs w:val="19"/>
          <w:color w:val="auto"/>
        </w:rPr>
        <w:t>- Participants become eligible upon the occurrence of any one of the following:</w:t>
      </w: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Normal retirement of the participant at age 65</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Death of the participant</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Termination of employment</w:t>
      </w:r>
    </w:p>
    <w:p>
      <w:pPr>
        <w:spacing w:after="0" w:line="121"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Age 59 1/2 (distribution restricted to pre-tax elective account and Roth elective account)</w:t>
      </w:r>
    </w:p>
    <w:p>
      <w:pPr>
        <w:spacing w:after="0" w:line="108"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9"/>
          <w:szCs w:val="19"/>
          <w:color w:val="auto"/>
        </w:rPr>
        <w:t>On termination of service, a participant may generally elect to receive either a lump-sum amount equal to the value of the participant's vested interest in his or her account or installment payments. If the participant has an account balance less than $1,000, installment payments or partial distributions are not permitted, and distribution to a participant or beneficiary will be made in a lump-sum or distributed to an IRA.</w:t>
      </w:r>
    </w:p>
    <w:p>
      <w:pPr>
        <w:spacing w:after="0" w:line="3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b w:val="1"/>
          <w:bCs w:val="1"/>
          <w:color w:val="auto"/>
        </w:rPr>
        <w:t xml:space="preserve">Notes Receivable from Participants </w:t>
      </w:r>
      <w:r>
        <w:rPr>
          <w:rFonts w:ascii="Times New Roman" w:cs="Times New Roman" w:eastAsia="Times New Roman" w:hAnsi="Times New Roman"/>
          <w:sz w:val="20"/>
          <w:szCs w:val="20"/>
          <w:color w:val="auto"/>
        </w:rPr>
        <w:t>- Participants may borrow from their fund accounts up to a maximum of $50 or 50% of their vested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account balance, whichever is less, for a period of no more than four years. The loans are secured by the balance in the participant's account and bear interest at rates commensurate with the prime rate plus 1% at the time funds are borrowed as determined by the Plan Administrator. At December 31, 2024, interest rates ranged from 4.25% to 9.50%. Principal and interest are paid ratably through payroll deductions or as a lump-sum for the outstanding loan balance.</w:t>
      </w:r>
    </w:p>
    <w:p>
      <w:pPr>
        <w:spacing w:after="0" w:line="60"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20"/>
          <w:szCs w:val="20"/>
          <w:b w:val="1"/>
          <w:bCs w:val="1"/>
          <w:color w:val="auto"/>
        </w:rPr>
        <w:t xml:space="preserve">Hardship Withdrawals </w:t>
      </w:r>
      <w:r>
        <w:rPr>
          <w:rFonts w:ascii="Times New Roman" w:cs="Times New Roman" w:eastAsia="Times New Roman" w:hAnsi="Times New Roman"/>
          <w:sz w:val="20"/>
          <w:szCs w:val="20"/>
          <w:color w:val="auto"/>
        </w:rPr>
        <w:t>- No amounts may be withdrawn from a salary deferral account before a participant terminates employment with LP</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or attains the age of 59 1/2, except by reason of financial hardship.</w:t>
      </w:r>
    </w:p>
    <w:p>
      <w:pPr>
        <w:spacing w:after="0" w:line="3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b w:val="1"/>
          <w:bCs w:val="1"/>
          <w:color w:val="auto"/>
        </w:rPr>
        <w:t xml:space="preserve">Forfeited Accounts </w:t>
      </w:r>
      <w:r>
        <w:rPr>
          <w:rFonts w:ascii="Times New Roman" w:cs="Times New Roman" w:eastAsia="Times New Roman" w:hAnsi="Times New Roman"/>
          <w:sz w:val="20"/>
          <w:szCs w:val="20"/>
          <w:color w:val="auto"/>
        </w:rPr>
        <w:t>- When certain terminations of participation in the Plan occur, the non-vested portion of the participant's account, as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defined by the Plan, represents a forfeiture. Forfeitures may be used to pay Plan expenses or be used to offset the amount LP would have otherwise contributed to the Plan. At December 31, 2024 and 2023, forfeited non-vested accounts totaled $331 and $480, respectively. These forfeitures will be used to reduce future employer contributions and/or pay Plan administrative expenses. During the years ended December 31, 2024 and 2023, employer contributions were reduced by $965 and $662 from forfeited non-vested accounts, respectively.</w:t>
      </w:r>
    </w:p>
    <w:p>
      <w:pPr>
        <w:spacing w:after="0" w:line="6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b w:val="1"/>
          <w:bCs w:val="1"/>
          <w:color w:val="auto"/>
        </w:rPr>
        <w:t xml:space="preserve">Administrative Expenses </w:t>
      </w:r>
      <w:r>
        <w:rPr>
          <w:rFonts w:ascii="Times New Roman" w:cs="Times New Roman" w:eastAsia="Times New Roman" w:hAnsi="Times New Roman"/>
          <w:sz w:val="20"/>
          <w:szCs w:val="20"/>
          <w:color w:val="auto"/>
        </w:rPr>
        <w:t>- Certain administrative expenses of the Plan are paid by the Plan as provided in the Plan document. Participants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with more than one year of service are assessed a quarterly fee to offset Plan expenses. During the years ended December 31, 2024 and 2023, administrative expenses of $416 and $413, respectively, were paid by participants. Investment income is reported net of management fees and operating expenses.</w:t>
      </w:r>
    </w:p>
    <w:p>
      <w:pPr>
        <w:spacing w:after="0" w:line="178"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20"/>
          <w:szCs w:val="20"/>
          <w:b w:val="1"/>
          <w:bCs w:val="1"/>
          <w:color w:val="auto"/>
        </w:rPr>
        <w:t>2.</w:t>
      </w:r>
      <w:r>
        <w:rPr>
          <w:sz w:val="20"/>
          <w:szCs w:val="20"/>
          <w:color w:val="auto"/>
        </w:rPr>
        <w:tab/>
      </w:r>
      <w:r>
        <w:rPr>
          <w:rFonts w:ascii="Times New Roman" w:cs="Times New Roman" w:eastAsia="Times New Roman" w:hAnsi="Times New Roman"/>
          <w:sz w:val="19"/>
          <w:szCs w:val="19"/>
          <w:b w:val="1"/>
          <w:bCs w:val="1"/>
          <w:color w:val="auto"/>
        </w:rPr>
        <w:t>SUMMARY OF SIGNIFICANT ACCOUNTING POLICIES</w:t>
      </w:r>
    </w:p>
    <w:p>
      <w:pPr>
        <w:spacing w:after="0" w:line="10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20"/>
          <w:szCs w:val="20"/>
          <w:b w:val="1"/>
          <w:bCs w:val="1"/>
          <w:color w:val="auto"/>
        </w:rPr>
        <w:t xml:space="preserve">Basis of Accounting </w:t>
      </w:r>
      <w:r>
        <w:rPr>
          <w:rFonts w:ascii="Times New Roman" w:cs="Times New Roman" w:eastAsia="Times New Roman" w:hAnsi="Times New Roman"/>
          <w:sz w:val="20"/>
          <w:szCs w:val="20"/>
          <w:color w:val="auto"/>
        </w:rPr>
        <w:t>- The accompanying financial statements have been prepared on the accrual basis of accounting in accordance with</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accounting principles generally accepted in the United States of America (GAAP).</w:t>
      </w:r>
    </w:p>
    <w:p>
      <w:pPr>
        <w:spacing w:after="0" w:line="3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20"/>
          <w:szCs w:val="20"/>
          <w:b w:val="1"/>
          <w:bCs w:val="1"/>
          <w:color w:val="auto"/>
        </w:rPr>
        <w:t xml:space="preserve">Use of Estimates </w:t>
      </w:r>
      <w:r>
        <w:rPr>
          <w:rFonts w:ascii="Times New Roman" w:cs="Times New Roman" w:eastAsia="Times New Roman" w:hAnsi="Times New Roman"/>
          <w:sz w:val="20"/>
          <w:szCs w:val="20"/>
          <w:color w:val="auto"/>
        </w:rPr>
        <w:t>- The preparation of financial statements in conformity with GAAP requires management to make estimates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assumptions that affect the reported amounts of assets, liabilities, and changes therein and disclosure of contingent assets and liabilities. Actual results could differ from those estimates.</w:t>
      </w:r>
    </w:p>
    <w:p>
      <w:pPr>
        <w:spacing w:after="0" w:line="4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20"/>
          <w:szCs w:val="20"/>
          <w:b w:val="1"/>
          <w:bCs w:val="1"/>
          <w:color w:val="auto"/>
        </w:rPr>
        <w:t xml:space="preserve">Risks and Uncertainties </w:t>
      </w:r>
      <w:r>
        <w:rPr>
          <w:rFonts w:ascii="Times New Roman" w:cs="Times New Roman" w:eastAsia="Times New Roman" w:hAnsi="Times New Roman"/>
          <w:sz w:val="20"/>
          <w:szCs w:val="20"/>
          <w:color w:val="auto"/>
        </w:rPr>
        <w:t>- The Plan utilizes various investment securities, including common stock, mutual funds, collective trust funds,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 stable value fund. Investment securities, in general, are exposed</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40"/>
          </w:cols>
          <w:pgMar w:left="320" w:top="1035" w:right="339" w:bottom="1440" w:gutter="0" w:footer="0" w:header="0"/>
        </w:sectPr>
      </w:pPr>
    </w:p>
    <w:bookmarkStart w:id="7" w:name="page8"/>
    <w:bookmarkEnd w:id="7"/>
    <w:p>
      <w:pPr>
        <w:jc w:val="both"/>
        <w:spacing w:after="0" w:line="261" w:lineRule="auto"/>
        <w:rPr>
          <w:sz w:val="20"/>
          <w:szCs w:val="20"/>
          <w:color w:val="auto"/>
        </w:rPr>
      </w:pPr>
      <w:r>
        <w:rPr>
          <w:rFonts w:ascii="Times New Roman" w:cs="Times New Roman" w:eastAsia="Times New Roman" w:hAnsi="Times New Roman"/>
          <w:sz w:val="20"/>
          <w:szCs w:val="20"/>
          <w:color w:val="auto"/>
        </w:rPr>
        <w:t>to various risks, such as interest rate risk, credit risk, and overall market volatility. Due to the level of risk associated with certain investment securities, it is at least reasonably possible that changes in the values of investment securities will occur in the near term and that such change could materially affect the amounts reported in the financial statements.</w:t>
      </w:r>
    </w:p>
    <w:p>
      <w:pPr>
        <w:spacing w:after="0" w:line="69" w:lineRule="exact"/>
        <w:rPr>
          <w:sz w:val="20"/>
          <w:szCs w:val="20"/>
          <w:color w:val="auto"/>
        </w:rPr>
      </w:pPr>
    </w:p>
    <w:p>
      <w:pPr>
        <w:jc w:val="both"/>
        <w:ind w:right="20"/>
        <w:spacing w:after="0" w:line="263" w:lineRule="auto"/>
        <w:rPr>
          <w:sz w:val="20"/>
          <w:szCs w:val="20"/>
          <w:color w:val="auto"/>
        </w:rPr>
      </w:pPr>
      <w:r>
        <w:rPr>
          <w:rFonts w:ascii="Times New Roman" w:cs="Times New Roman" w:eastAsia="Times New Roman" w:hAnsi="Times New Roman"/>
          <w:sz w:val="20"/>
          <w:szCs w:val="20"/>
          <w:b w:val="1"/>
          <w:bCs w:val="1"/>
          <w:color w:val="auto"/>
        </w:rPr>
        <w:t xml:space="preserve">Investment Valuation and Income Recognition </w:t>
      </w:r>
      <w:r>
        <w:rPr>
          <w:rFonts w:ascii="Times New Roman" w:cs="Times New Roman" w:eastAsia="Times New Roman" w:hAnsi="Times New Roman"/>
          <w:sz w:val="20"/>
          <w:szCs w:val="20"/>
          <w:color w:val="auto"/>
        </w:rPr>
        <w:t>- The Plan's investments are stated at fair value. The fair value of a financial instrument is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price that would be received to sell an asset or paid to transfer a liability in an orderly transaction between market participants at the measurement date. The following is a description of the valuation methodologies used for assets measured at fair value:</w:t>
      </w:r>
    </w:p>
    <w:p>
      <w:pPr>
        <w:spacing w:after="0" w:line="67"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i w:val="1"/>
          <w:iCs w:val="1"/>
          <w:color w:val="auto"/>
        </w:rPr>
        <w:t xml:space="preserve">Common Stock </w:t>
      </w:r>
      <w:r>
        <w:rPr>
          <w:rFonts w:ascii="Times New Roman" w:cs="Times New Roman" w:eastAsia="Times New Roman" w:hAnsi="Times New Roman"/>
          <w:sz w:val="20"/>
          <w:szCs w:val="20"/>
          <w:color w:val="auto"/>
        </w:rPr>
        <w:t>- LP's common stock is valued at the closing price reported on the New York Stock Exchange on the last business day of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Plan year.</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 xml:space="preserve">Mutual Funds </w:t>
      </w:r>
      <w:r>
        <w:rPr>
          <w:rFonts w:ascii="Times New Roman" w:cs="Times New Roman" w:eastAsia="Times New Roman" w:hAnsi="Times New Roman"/>
          <w:sz w:val="20"/>
          <w:szCs w:val="20"/>
          <w:color w:val="auto"/>
        </w:rPr>
        <w:t>- Shares of mutual funds held by the Plan at year-end are valued at current quoted market prices.</w:t>
      </w:r>
    </w:p>
    <w:p>
      <w:pPr>
        <w:spacing w:after="0" w:line="10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20"/>
          <w:szCs w:val="20"/>
          <w:i w:val="1"/>
          <w:iCs w:val="1"/>
          <w:color w:val="auto"/>
        </w:rPr>
        <w:t xml:space="preserve">Collective Trust Funds </w:t>
      </w:r>
      <w:r>
        <w:rPr>
          <w:rFonts w:ascii="Times New Roman" w:cs="Times New Roman" w:eastAsia="Times New Roman" w:hAnsi="Times New Roman"/>
          <w:sz w:val="20"/>
          <w:szCs w:val="20"/>
          <w:color w:val="auto"/>
        </w:rPr>
        <w:t>- Collective trusts are valued at the underlying investments’ net asset value at the close of the day multiplied by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number of shares in the fund.</w:t>
      </w:r>
    </w:p>
    <w:p>
      <w:pPr>
        <w:spacing w:after="0" w:line="4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i w:val="1"/>
          <w:iCs w:val="1"/>
          <w:color w:val="auto"/>
        </w:rPr>
        <w:t xml:space="preserve">Stable Value Fund </w:t>
      </w:r>
      <w:r>
        <w:rPr>
          <w:rFonts w:ascii="Times New Roman" w:cs="Times New Roman" w:eastAsia="Times New Roman" w:hAnsi="Times New Roman"/>
          <w:sz w:val="20"/>
          <w:szCs w:val="20"/>
          <w:color w:val="auto"/>
        </w:rPr>
        <w:t>- The stable value fund valued using the Net Asset Value (NAV), as provided by the administrator of the fund. The NAV is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used as a practical expedient to estimate fair value. The NAV is based on the fair value of the underlying investments held by the fund (including guaranteed investment contracts issued by insurance companies, synthetic wrap contracts, and cash and cash equivalents), less its liabilities, and then divided by the number of shares outstanding. This practical expedient is not used when it is determined to be probable that the fund will sell the investments for an amount different than the reported NAV. Trusts participating in the fund are subject to restriction on withdrawals from the fund. Withdrawals needed for benefit payments and loan advances of participating employee benefit plans are generally permitted daily. Withdrawals for other purposes require twelve-month or thirty-month advance notice to the fund.</w:t>
      </w:r>
    </w:p>
    <w:p>
      <w:pPr>
        <w:spacing w:after="0" w:line="8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Purchases and sales of securities are recorded on a trade-date basis. Realized gains and losses from sales of investments are recorded on the average cost method. Interest income is recorded on the accrual basis. Dividends are recorded on the ex-dividend date. There were no changes in valuation methodologies during the years ended December 31, 2024 and 2023.</w:t>
      </w:r>
    </w:p>
    <w:p>
      <w:pPr>
        <w:spacing w:after="0" w:line="56" w:lineRule="exact"/>
        <w:rPr>
          <w:sz w:val="20"/>
          <w:szCs w:val="20"/>
          <w:color w:val="auto"/>
        </w:rPr>
      </w:pPr>
    </w:p>
    <w:p>
      <w:pPr>
        <w:jc w:val="both"/>
        <w:ind w:right="20"/>
        <w:spacing w:after="0" w:line="287" w:lineRule="auto"/>
        <w:rPr>
          <w:sz w:val="20"/>
          <w:szCs w:val="20"/>
          <w:color w:val="auto"/>
        </w:rPr>
      </w:pPr>
      <w:r>
        <w:rPr>
          <w:rFonts w:ascii="Times New Roman" w:cs="Times New Roman" w:eastAsia="Times New Roman" w:hAnsi="Times New Roman"/>
          <w:sz w:val="20"/>
          <w:szCs w:val="20"/>
          <w:b w:val="1"/>
          <w:bCs w:val="1"/>
          <w:color w:val="auto"/>
        </w:rPr>
        <w:t xml:space="preserve">Notes Receivable from Participants </w:t>
      </w:r>
      <w:r>
        <w:rPr>
          <w:rFonts w:ascii="Times New Roman" w:cs="Times New Roman" w:eastAsia="Times New Roman" w:hAnsi="Times New Roman"/>
          <w:sz w:val="20"/>
          <w:szCs w:val="20"/>
          <w:color w:val="auto"/>
        </w:rPr>
        <w:t>- Notes receivable from participants are measured at their unpaid principal balance plus any accrued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but unpaid interest. Delinquent participant loans are recorded as distributions based upon the terms of the Plan document.</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Payment of Benefits </w:t>
      </w:r>
      <w:r>
        <w:rPr>
          <w:rFonts w:ascii="Times New Roman" w:cs="Times New Roman" w:eastAsia="Times New Roman" w:hAnsi="Times New Roman"/>
          <w:sz w:val="20"/>
          <w:szCs w:val="20"/>
          <w:color w:val="auto"/>
        </w:rPr>
        <w:t>- Benefit payments are recorded when disbursed.</w:t>
      </w:r>
    </w:p>
    <w:p>
      <w:pPr>
        <w:spacing w:after="0" w:line="216"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20"/>
          <w:szCs w:val="20"/>
          <w:b w:val="1"/>
          <w:bCs w:val="1"/>
          <w:color w:val="auto"/>
        </w:rPr>
        <w:t>3.</w:t>
      </w:r>
      <w:r>
        <w:rPr>
          <w:sz w:val="20"/>
          <w:szCs w:val="20"/>
          <w:color w:val="auto"/>
        </w:rPr>
        <w:tab/>
      </w:r>
      <w:r>
        <w:rPr>
          <w:rFonts w:ascii="Times New Roman" w:cs="Times New Roman" w:eastAsia="Times New Roman" w:hAnsi="Times New Roman"/>
          <w:sz w:val="19"/>
          <w:szCs w:val="19"/>
          <w:b w:val="1"/>
          <w:bCs w:val="1"/>
          <w:color w:val="auto"/>
        </w:rPr>
        <w:t>FAIR VALUE MEASUREMENTS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 xml:space="preserve">Accounting Standards Codification (ASC) 820, </w:t>
      </w:r>
      <w:r>
        <w:rPr>
          <w:rFonts w:ascii="Times New Roman" w:cs="Times New Roman" w:eastAsia="Times New Roman" w:hAnsi="Times New Roman"/>
          <w:sz w:val="20"/>
          <w:szCs w:val="20"/>
          <w:i w:val="1"/>
          <w:iCs w:val="1"/>
          <w:color w:val="auto"/>
        </w:rPr>
        <w:t>Fair Value Measurements and Disclosures</w:t>
      </w:r>
      <w:r>
        <w:rPr>
          <w:rFonts w:ascii="Times New Roman" w:cs="Times New Roman" w:eastAsia="Times New Roman" w:hAnsi="Times New Roman"/>
          <w:sz w:val="20"/>
          <w:szCs w:val="20"/>
          <w:color w:val="auto"/>
        </w:rPr>
        <w:t>, provides a framework for measuring fair value. That framework provides a fair value hierarchy that prioritizes the inputs to valuation techniques used to measure fair value, as follows: Level 1, which refers to securities valued using unadjusted quoted prices from active markets for identical assets; Level 2, which refers to securities not traded on an active market but for which observable market inputs are readily available; and Level 3, which refers to securities valued based on significant unobservable inputs. Assets and liabilities are classified in their entirety based on the lowest level of input that is significant to the fair value measurement.</w:t>
      </w:r>
    </w:p>
    <w:p>
      <w:pPr>
        <w:spacing w:after="0" w:line="6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Fair value calculations may not be indicative of net realizable value or reflective of future fair values. Furthermore, although the Plan believes its valuation methods are appropriate and consistent with other market participants, the use of different methodologies or assumptions to determine the fair value of certain financial instruments could result in a different fair value measurement at the reporting date.</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40"/>
          </w:cols>
          <w:pgMar w:left="320" w:top="1035" w:right="339" w:bottom="1440" w:gutter="0" w:footer="0" w:header="0"/>
        </w:sectPr>
      </w:pPr>
    </w:p>
    <w:bookmarkStart w:id="8" w:name="page9"/>
    <w:bookmarkEnd w:id="8"/>
    <w:p>
      <w:pPr>
        <w:jc w:val="both"/>
        <w:ind w:right="20"/>
        <w:spacing w:after="0" w:line="283" w:lineRule="auto"/>
        <w:rPr>
          <w:sz w:val="20"/>
          <w:szCs w:val="20"/>
          <w:color w:val="auto"/>
        </w:rPr>
      </w:pPr>
      <w:r>
        <w:rPr>
          <w:rFonts w:ascii="Times New Roman" w:cs="Times New Roman" w:eastAsia="Times New Roman" w:hAnsi="Times New Roman"/>
          <w:sz w:val="20"/>
          <w:szCs w:val="20"/>
          <w:color w:val="auto"/>
        </w:rPr>
        <w:t>The following table sets forth by level, within the fair value hierarchy, the Plan's assets at fair value as of December 31, 2024 (dollar amounts in thousands).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840" w:type="dxa"/>
            <w:vAlign w:val="bottom"/>
          </w:tcPr>
          <w:p>
            <w:pPr>
              <w:spacing w:after="0"/>
              <w:rPr>
                <w:sz w:val="17"/>
                <w:szCs w:val="17"/>
                <w:color w:val="auto"/>
              </w:rPr>
            </w:pPr>
          </w:p>
        </w:tc>
        <w:tc>
          <w:tcPr>
            <w:tcW w:w="274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Quoted Prices in Active Markets</w:t>
            </w:r>
          </w:p>
        </w:tc>
        <w:tc>
          <w:tcPr>
            <w:tcW w:w="276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Other Observable Inputs (Level</w:t>
            </w:r>
          </w:p>
        </w:tc>
        <w:tc>
          <w:tcPr>
            <w:tcW w:w="400" w:type="dxa"/>
            <w:vAlign w:val="bottom"/>
          </w:tcPr>
          <w:p>
            <w:pPr>
              <w:spacing w:after="0"/>
              <w:rPr>
                <w:sz w:val="17"/>
                <w:szCs w:val="17"/>
                <w:color w:val="auto"/>
              </w:rPr>
            </w:pPr>
          </w:p>
        </w:tc>
        <w:tc>
          <w:tcPr>
            <w:tcW w:w="1360" w:type="dxa"/>
            <w:vAlign w:val="bottom"/>
            <w:vMerge w:val="restart"/>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38"/>
        </w:trPr>
        <w:tc>
          <w:tcPr>
            <w:tcW w:w="38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5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for Identical Assets (Level 1)</w:t>
            </w:r>
          </w:p>
        </w:tc>
        <w:tc>
          <w:tcPr>
            <w:tcW w:w="680" w:type="dxa"/>
            <w:vAlign w:val="bottom"/>
          </w:tcPr>
          <w:p>
            <w:pPr>
              <w:spacing w:after="0"/>
              <w:rPr>
                <w:sz w:val="20"/>
                <w:szCs w:val="20"/>
                <w:color w:val="auto"/>
              </w:rPr>
            </w:pPr>
          </w:p>
        </w:tc>
        <w:tc>
          <w:tcPr>
            <w:tcW w:w="1980" w:type="dxa"/>
            <w:vAlign w:val="bottom"/>
          </w:tcPr>
          <w:p>
            <w:pPr>
              <w:jc w:val="right"/>
              <w:ind w:right="1170"/>
              <w:spacing w:after="0"/>
              <w:rPr>
                <w:sz w:val="20"/>
                <w:szCs w:val="20"/>
                <w:color w:val="auto"/>
              </w:rPr>
            </w:pPr>
            <w:r>
              <w:rPr>
                <w:rFonts w:ascii="Times New Roman" w:cs="Times New Roman" w:eastAsia="Times New Roman" w:hAnsi="Times New Roman"/>
                <w:sz w:val="18"/>
                <w:szCs w:val="18"/>
                <w:b w:val="1"/>
                <w:bCs w:val="1"/>
                <w:color w:val="auto"/>
              </w:rPr>
              <w:t>2)</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8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stock — LP</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45,616</w:t>
            </w:r>
          </w:p>
        </w:tc>
        <w:tc>
          <w:tcPr>
            <w:tcW w:w="100" w:type="dxa"/>
            <w:vAlign w:val="bottom"/>
            <w:tcBorders>
              <w:top w:val="single" w:sz="8" w:color="CCEEFF"/>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45,616</w:t>
            </w:r>
          </w:p>
        </w:tc>
        <w:tc>
          <w:tcPr>
            <w:tcW w:w="0" w:type="dxa"/>
            <w:vAlign w:val="bottom"/>
          </w:tcPr>
          <w:p>
            <w:pPr>
              <w:spacing w:after="0"/>
              <w:rPr>
                <w:sz w:val="1"/>
                <w:szCs w:val="1"/>
                <w:color w:val="auto"/>
              </w:rPr>
            </w:pPr>
          </w:p>
        </w:tc>
      </w:tr>
      <w:tr>
        <w:trPr>
          <w:trHeight w:val="229"/>
        </w:trPr>
        <w:tc>
          <w:tcPr>
            <w:tcW w:w="3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Mutual funds</w:t>
            </w:r>
          </w:p>
        </w:tc>
        <w:tc>
          <w:tcPr>
            <w:tcW w:w="160" w:type="dxa"/>
            <w:vAlign w:val="bottom"/>
          </w:tcPr>
          <w:p>
            <w:pPr>
              <w:spacing w:after="0"/>
              <w:rPr>
                <w:sz w:val="19"/>
                <w:szCs w:val="19"/>
                <w:color w:val="auto"/>
              </w:rPr>
            </w:pP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137,311</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137,311</w:t>
            </w:r>
          </w:p>
        </w:tc>
        <w:tc>
          <w:tcPr>
            <w:tcW w:w="0" w:type="dxa"/>
            <w:vAlign w:val="bottom"/>
          </w:tcPr>
          <w:p>
            <w:pPr>
              <w:spacing w:after="0"/>
              <w:rPr>
                <w:sz w:val="1"/>
                <w:szCs w:val="1"/>
                <w:color w:val="auto"/>
              </w:rPr>
            </w:pPr>
          </w:p>
        </w:tc>
      </w:tr>
      <w:tr>
        <w:trPr>
          <w:trHeight w:val="230"/>
        </w:trPr>
        <w:tc>
          <w:tcPr>
            <w:tcW w:w="3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Collective trust funds</w:t>
            </w:r>
          </w:p>
        </w:tc>
        <w:tc>
          <w:tcPr>
            <w:tcW w:w="160" w:type="dxa"/>
            <w:vAlign w:val="bottom"/>
            <w:shd w:val="clear" w:color="auto" w:fill="CCEEFF"/>
          </w:tcPr>
          <w:p>
            <w:pPr>
              <w:spacing w:after="0"/>
              <w:rPr>
                <w:sz w:val="19"/>
                <w:szCs w:val="19"/>
                <w:color w:val="auto"/>
              </w:rPr>
            </w:pPr>
          </w:p>
        </w:tc>
        <w:tc>
          <w:tcPr>
            <w:tcW w:w="2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326,838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326,838</w:t>
            </w:r>
          </w:p>
        </w:tc>
        <w:tc>
          <w:tcPr>
            <w:tcW w:w="0" w:type="dxa"/>
            <w:vAlign w:val="bottom"/>
          </w:tcPr>
          <w:p>
            <w:pPr>
              <w:spacing w:after="0"/>
              <w:rPr>
                <w:sz w:val="1"/>
                <w:szCs w:val="1"/>
                <w:color w:val="auto"/>
              </w:rPr>
            </w:pPr>
          </w:p>
        </w:tc>
      </w:tr>
      <w:tr>
        <w:trPr>
          <w:trHeight w:val="223"/>
        </w:trPr>
        <w:tc>
          <w:tcPr>
            <w:tcW w:w="3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investments, at fair value</w:t>
            </w: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182,927</w:t>
            </w:r>
          </w:p>
        </w:tc>
        <w:tc>
          <w:tcPr>
            <w:tcW w:w="100" w:type="dxa"/>
            <w:vAlign w:val="bottom"/>
          </w:tcPr>
          <w:p>
            <w:pPr>
              <w:spacing w:after="0"/>
              <w:rPr>
                <w:sz w:val="19"/>
                <w:szCs w:val="19"/>
                <w:color w:val="auto"/>
              </w:rPr>
            </w:pPr>
          </w:p>
        </w:tc>
        <w:tc>
          <w:tcPr>
            <w:tcW w:w="680" w:type="dxa"/>
            <w:vAlign w:val="bottom"/>
            <w:tcBorders>
              <w:top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326,838</w:t>
            </w:r>
          </w:p>
        </w:tc>
        <w:tc>
          <w:tcPr>
            <w:tcW w:w="100" w:type="dxa"/>
            <w:vAlign w:val="bottom"/>
          </w:tcPr>
          <w:p>
            <w:pPr>
              <w:spacing w:after="0"/>
              <w:rPr>
                <w:sz w:val="19"/>
                <w:szCs w:val="19"/>
                <w:color w:val="auto"/>
              </w:rPr>
            </w:pPr>
          </w:p>
        </w:tc>
        <w:tc>
          <w:tcPr>
            <w:tcW w:w="400" w:type="dxa"/>
            <w:vAlign w:val="bottom"/>
            <w:tcBorders>
              <w:top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509,765</w:t>
            </w:r>
          </w:p>
        </w:tc>
        <w:tc>
          <w:tcPr>
            <w:tcW w:w="0" w:type="dxa"/>
            <w:vAlign w:val="bottom"/>
          </w:tcPr>
          <w:p>
            <w:pPr>
              <w:spacing w:after="0"/>
              <w:rPr>
                <w:sz w:val="1"/>
                <w:szCs w:val="1"/>
                <w:color w:val="auto"/>
              </w:rPr>
            </w:pPr>
          </w:p>
        </w:tc>
      </w:tr>
      <w:tr>
        <w:trPr>
          <w:trHeight w:val="229"/>
        </w:trPr>
        <w:tc>
          <w:tcPr>
            <w:tcW w:w="3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Stable value fund*</w:t>
            </w:r>
          </w:p>
        </w:tc>
        <w:tc>
          <w:tcPr>
            <w:tcW w:w="160" w:type="dxa"/>
            <w:vAlign w:val="bottom"/>
            <w:shd w:val="clear" w:color="auto" w:fill="CCEEFF"/>
          </w:tcPr>
          <w:p>
            <w:pPr>
              <w:spacing w:after="0"/>
              <w:rPr>
                <w:sz w:val="19"/>
                <w:szCs w:val="19"/>
                <w:color w:val="auto"/>
              </w:rPr>
            </w:pPr>
          </w:p>
        </w:tc>
        <w:tc>
          <w:tcPr>
            <w:tcW w:w="2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spacing w:after="0"/>
              <w:rPr>
                <w:sz w:val="19"/>
                <w:szCs w:val="19"/>
                <w:color w:val="auto"/>
              </w:rPr>
            </w:pPr>
          </w:p>
        </w:tc>
        <w:tc>
          <w:tcPr>
            <w:tcW w:w="2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34,557</w:t>
            </w:r>
          </w:p>
        </w:tc>
        <w:tc>
          <w:tcPr>
            <w:tcW w:w="0" w:type="dxa"/>
            <w:vAlign w:val="bottom"/>
          </w:tcPr>
          <w:p>
            <w:pPr>
              <w:spacing w:after="0"/>
              <w:rPr>
                <w:sz w:val="1"/>
                <w:szCs w:val="1"/>
                <w:color w:val="auto"/>
              </w:rPr>
            </w:pPr>
          </w:p>
        </w:tc>
      </w:tr>
      <w:tr>
        <w:trPr>
          <w:trHeight w:val="223"/>
        </w:trPr>
        <w:tc>
          <w:tcPr>
            <w:tcW w:w="384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Total investments</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182,927</w:t>
            </w:r>
          </w:p>
        </w:tc>
        <w:tc>
          <w:tcPr>
            <w:tcW w:w="10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w:t>
            </w:r>
          </w:p>
        </w:tc>
        <w:tc>
          <w:tcPr>
            <w:tcW w:w="1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326,838</w:t>
            </w:r>
          </w:p>
        </w:tc>
        <w:tc>
          <w:tcPr>
            <w:tcW w:w="10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544,322</w:t>
            </w:r>
          </w:p>
        </w:tc>
        <w:tc>
          <w:tcPr>
            <w:tcW w:w="0" w:type="dxa"/>
            <w:vAlign w:val="bottom"/>
          </w:tcPr>
          <w:p>
            <w:pPr>
              <w:spacing w:after="0"/>
              <w:rPr>
                <w:sz w:val="1"/>
                <w:szCs w:val="1"/>
                <w:color w:val="auto"/>
              </w:rPr>
            </w:pPr>
          </w:p>
        </w:tc>
      </w:tr>
      <w:tr>
        <w:trPr>
          <w:trHeight w:val="21"/>
        </w:trPr>
        <w:tc>
          <w:tcPr>
            <w:tcW w:w="38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31" w:lineRule="exact"/>
        <w:rPr>
          <w:sz w:val="20"/>
          <w:szCs w:val="20"/>
          <w:color w:val="auto"/>
        </w:rPr>
      </w:pPr>
    </w:p>
    <w:p>
      <w:pPr>
        <w:ind w:right="40"/>
        <w:spacing w:after="0" w:line="269" w:lineRule="auto"/>
        <w:rPr>
          <w:sz w:val="20"/>
          <w:szCs w:val="20"/>
          <w:color w:val="auto"/>
        </w:rPr>
      </w:pPr>
      <w:r>
        <w:rPr>
          <w:rFonts w:ascii="Times New Roman" w:cs="Times New Roman" w:eastAsia="Times New Roman" w:hAnsi="Times New Roman"/>
          <w:sz w:val="20"/>
          <w:szCs w:val="20"/>
          <w:color w:val="auto"/>
        </w:rPr>
        <w:t>The following table sets forth by level, within the fair value hierarchy, the Plan's assets at fair value as of December 31, 2023 (dollar amounts in thousands).</w:t>
      </w:r>
    </w:p>
    <w:p>
      <w:pPr>
        <w:spacing w:after="0" w:line="83" w:lineRule="exact"/>
        <w:rPr>
          <w:sz w:val="20"/>
          <w:szCs w:val="20"/>
          <w:color w:val="auto"/>
        </w:rPr>
      </w:pPr>
    </w:p>
    <w:tbl>
      <w:tblPr>
        <w:tblLayout w:type="fixed"/>
        <w:tblInd w:w="80" w:type="dxa"/>
        <w:tblCellMar>
          <w:top w:w="0" w:type="dxa"/>
          <w:left w:w="0" w:type="dxa"/>
          <w:bottom w:w="0" w:type="dxa"/>
          <w:right w:w="0" w:type="dxa"/>
        </w:tblCellMar>
      </w:tblPr>
      <w:tr>
        <w:trPr>
          <w:trHeight w:val="207"/>
        </w:trPr>
        <w:tc>
          <w:tcPr>
            <w:tcW w:w="3840" w:type="dxa"/>
            <w:vAlign w:val="bottom"/>
          </w:tcPr>
          <w:p>
            <w:pPr>
              <w:spacing w:after="0"/>
              <w:rPr>
                <w:sz w:val="17"/>
                <w:szCs w:val="17"/>
                <w:color w:val="auto"/>
              </w:rPr>
            </w:pPr>
          </w:p>
        </w:tc>
        <w:tc>
          <w:tcPr>
            <w:tcW w:w="274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Quoted Prices in Active Markets</w:t>
            </w:r>
          </w:p>
        </w:tc>
        <w:tc>
          <w:tcPr>
            <w:tcW w:w="276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Other Observable Inputs (Level</w:t>
            </w:r>
          </w:p>
        </w:tc>
        <w:tc>
          <w:tcPr>
            <w:tcW w:w="400" w:type="dxa"/>
            <w:vAlign w:val="bottom"/>
          </w:tcPr>
          <w:p>
            <w:pPr>
              <w:spacing w:after="0"/>
              <w:rPr>
                <w:sz w:val="17"/>
                <w:szCs w:val="17"/>
                <w:color w:val="auto"/>
              </w:rPr>
            </w:pPr>
          </w:p>
        </w:tc>
        <w:tc>
          <w:tcPr>
            <w:tcW w:w="1360" w:type="dxa"/>
            <w:vAlign w:val="bottom"/>
            <w:vMerge w:val="restart"/>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43"/>
        </w:trPr>
        <w:tc>
          <w:tcPr>
            <w:tcW w:w="38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5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for Identical Assets (Level 1)</w:t>
            </w:r>
          </w:p>
        </w:tc>
        <w:tc>
          <w:tcPr>
            <w:tcW w:w="680" w:type="dxa"/>
            <w:vAlign w:val="bottom"/>
          </w:tcPr>
          <w:p>
            <w:pPr>
              <w:spacing w:after="0"/>
              <w:rPr>
                <w:sz w:val="21"/>
                <w:szCs w:val="21"/>
                <w:color w:val="auto"/>
              </w:rPr>
            </w:pPr>
          </w:p>
        </w:tc>
        <w:tc>
          <w:tcPr>
            <w:tcW w:w="1980" w:type="dxa"/>
            <w:vAlign w:val="bottom"/>
          </w:tcPr>
          <w:p>
            <w:pPr>
              <w:jc w:val="right"/>
              <w:ind w:right="1170"/>
              <w:spacing w:after="0"/>
              <w:rPr>
                <w:sz w:val="20"/>
                <w:szCs w:val="20"/>
                <w:color w:val="auto"/>
              </w:rPr>
            </w:pPr>
            <w:r>
              <w:rPr>
                <w:rFonts w:ascii="Times New Roman" w:cs="Times New Roman" w:eastAsia="Times New Roman" w:hAnsi="Times New Roman"/>
                <w:sz w:val="18"/>
                <w:szCs w:val="18"/>
                <w:b w:val="1"/>
                <w:bCs w:val="1"/>
                <w:color w:val="auto"/>
              </w:rPr>
              <w:t>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8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stock — LP</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38,967</w:t>
            </w:r>
          </w:p>
        </w:tc>
        <w:tc>
          <w:tcPr>
            <w:tcW w:w="100" w:type="dxa"/>
            <w:vAlign w:val="bottom"/>
            <w:tcBorders>
              <w:top w:val="single" w:sz="8" w:color="CCEEFF"/>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38,967</w:t>
            </w:r>
          </w:p>
        </w:tc>
        <w:tc>
          <w:tcPr>
            <w:tcW w:w="0" w:type="dxa"/>
            <w:vAlign w:val="bottom"/>
          </w:tcPr>
          <w:p>
            <w:pPr>
              <w:spacing w:after="0"/>
              <w:rPr>
                <w:sz w:val="1"/>
                <w:szCs w:val="1"/>
                <w:color w:val="auto"/>
              </w:rPr>
            </w:pPr>
          </w:p>
        </w:tc>
      </w:tr>
      <w:tr>
        <w:trPr>
          <w:trHeight w:val="229"/>
        </w:trPr>
        <w:tc>
          <w:tcPr>
            <w:tcW w:w="3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Mutual funds</w:t>
            </w:r>
          </w:p>
        </w:tc>
        <w:tc>
          <w:tcPr>
            <w:tcW w:w="160" w:type="dxa"/>
            <w:vAlign w:val="bottom"/>
          </w:tcPr>
          <w:p>
            <w:pPr>
              <w:spacing w:after="0"/>
              <w:rPr>
                <w:sz w:val="19"/>
                <w:szCs w:val="19"/>
                <w:color w:val="auto"/>
              </w:rPr>
            </w:pP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127,736</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127,736</w:t>
            </w:r>
          </w:p>
        </w:tc>
        <w:tc>
          <w:tcPr>
            <w:tcW w:w="0" w:type="dxa"/>
            <w:vAlign w:val="bottom"/>
          </w:tcPr>
          <w:p>
            <w:pPr>
              <w:spacing w:after="0"/>
              <w:rPr>
                <w:sz w:val="1"/>
                <w:szCs w:val="1"/>
                <w:color w:val="auto"/>
              </w:rPr>
            </w:pPr>
          </w:p>
        </w:tc>
      </w:tr>
      <w:tr>
        <w:trPr>
          <w:trHeight w:val="229"/>
        </w:trPr>
        <w:tc>
          <w:tcPr>
            <w:tcW w:w="3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Collective trust funds</w:t>
            </w:r>
          </w:p>
        </w:tc>
        <w:tc>
          <w:tcPr>
            <w:tcW w:w="160" w:type="dxa"/>
            <w:vAlign w:val="bottom"/>
            <w:shd w:val="clear" w:color="auto" w:fill="CCEEFF"/>
          </w:tcPr>
          <w:p>
            <w:pPr>
              <w:spacing w:after="0"/>
              <w:rPr>
                <w:sz w:val="19"/>
                <w:szCs w:val="19"/>
                <w:color w:val="auto"/>
              </w:rPr>
            </w:pPr>
          </w:p>
        </w:tc>
        <w:tc>
          <w:tcPr>
            <w:tcW w:w="2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297,133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297,133</w:t>
            </w:r>
          </w:p>
        </w:tc>
        <w:tc>
          <w:tcPr>
            <w:tcW w:w="0" w:type="dxa"/>
            <w:vAlign w:val="bottom"/>
          </w:tcPr>
          <w:p>
            <w:pPr>
              <w:spacing w:after="0"/>
              <w:rPr>
                <w:sz w:val="1"/>
                <w:szCs w:val="1"/>
                <w:color w:val="auto"/>
              </w:rPr>
            </w:pPr>
          </w:p>
        </w:tc>
      </w:tr>
      <w:tr>
        <w:trPr>
          <w:trHeight w:val="223"/>
        </w:trPr>
        <w:tc>
          <w:tcPr>
            <w:tcW w:w="3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investments, at fair value</w:t>
            </w: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166,703</w:t>
            </w:r>
          </w:p>
        </w:tc>
        <w:tc>
          <w:tcPr>
            <w:tcW w:w="100" w:type="dxa"/>
            <w:vAlign w:val="bottom"/>
          </w:tcPr>
          <w:p>
            <w:pPr>
              <w:spacing w:after="0"/>
              <w:rPr>
                <w:sz w:val="19"/>
                <w:szCs w:val="19"/>
                <w:color w:val="auto"/>
              </w:rPr>
            </w:pPr>
          </w:p>
        </w:tc>
        <w:tc>
          <w:tcPr>
            <w:tcW w:w="680" w:type="dxa"/>
            <w:vAlign w:val="bottom"/>
            <w:tcBorders>
              <w:top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297,133</w:t>
            </w:r>
          </w:p>
        </w:tc>
        <w:tc>
          <w:tcPr>
            <w:tcW w:w="100" w:type="dxa"/>
            <w:vAlign w:val="bottom"/>
          </w:tcPr>
          <w:p>
            <w:pPr>
              <w:spacing w:after="0"/>
              <w:rPr>
                <w:sz w:val="19"/>
                <w:szCs w:val="19"/>
                <w:color w:val="auto"/>
              </w:rPr>
            </w:pPr>
          </w:p>
        </w:tc>
        <w:tc>
          <w:tcPr>
            <w:tcW w:w="400" w:type="dxa"/>
            <w:vAlign w:val="bottom"/>
            <w:tcBorders>
              <w:top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463,836</w:t>
            </w:r>
          </w:p>
        </w:tc>
        <w:tc>
          <w:tcPr>
            <w:tcW w:w="0" w:type="dxa"/>
            <w:vAlign w:val="bottom"/>
          </w:tcPr>
          <w:p>
            <w:pPr>
              <w:spacing w:after="0"/>
              <w:rPr>
                <w:sz w:val="1"/>
                <w:szCs w:val="1"/>
                <w:color w:val="auto"/>
              </w:rPr>
            </w:pPr>
          </w:p>
        </w:tc>
      </w:tr>
      <w:tr>
        <w:trPr>
          <w:trHeight w:val="229"/>
        </w:trPr>
        <w:tc>
          <w:tcPr>
            <w:tcW w:w="3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Stable value fund*</w:t>
            </w:r>
          </w:p>
        </w:tc>
        <w:tc>
          <w:tcPr>
            <w:tcW w:w="160" w:type="dxa"/>
            <w:vAlign w:val="bottom"/>
            <w:shd w:val="clear" w:color="auto" w:fill="CCEEFF"/>
          </w:tcPr>
          <w:p>
            <w:pPr>
              <w:spacing w:after="0"/>
              <w:rPr>
                <w:sz w:val="19"/>
                <w:szCs w:val="19"/>
                <w:color w:val="auto"/>
              </w:rPr>
            </w:pPr>
          </w:p>
        </w:tc>
        <w:tc>
          <w:tcPr>
            <w:tcW w:w="2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spacing w:after="0"/>
              <w:rPr>
                <w:sz w:val="19"/>
                <w:szCs w:val="19"/>
                <w:color w:val="auto"/>
              </w:rPr>
            </w:pPr>
          </w:p>
        </w:tc>
        <w:tc>
          <w:tcPr>
            <w:tcW w:w="2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47,125</w:t>
            </w:r>
          </w:p>
        </w:tc>
        <w:tc>
          <w:tcPr>
            <w:tcW w:w="0" w:type="dxa"/>
            <w:vAlign w:val="bottom"/>
          </w:tcPr>
          <w:p>
            <w:pPr>
              <w:spacing w:after="0"/>
              <w:rPr>
                <w:sz w:val="1"/>
                <w:szCs w:val="1"/>
                <w:color w:val="auto"/>
              </w:rPr>
            </w:pPr>
          </w:p>
        </w:tc>
      </w:tr>
      <w:tr>
        <w:trPr>
          <w:trHeight w:val="223"/>
        </w:trPr>
        <w:tc>
          <w:tcPr>
            <w:tcW w:w="384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Total investments</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166,703</w:t>
            </w:r>
          </w:p>
        </w:tc>
        <w:tc>
          <w:tcPr>
            <w:tcW w:w="10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w:t>
            </w:r>
          </w:p>
        </w:tc>
        <w:tc>
          <w:tcPr>
            <w:tcW w:w="1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297,133</w:t>
            </w:r>
          </w:p>
        </w:tc>
        <w:tc>
          <w:tcPr>
            <w:tcW w:w="10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510,960</w:t>
            </w:r>
          </w:p>
        </w:tc>
        <w:tc>
          <w:tcPr>
            <w:tcW w:w="0" w:type="dxa"/>
            <w:vAlign w:val="bottom"/>
          </w:tcPr>
          <w:p>
            <w:pPr>
              <w:spacing w:after="0"/>
              <w:rPr>
                <w:sz w:val="1"/>
                <w:szCs w:val="1"/>
                <w:color w:val="auto"/>
              </w:rPr>
            </w:pPr>
          </w:p>
        </w:tc>
      </w:tr>
      <w:tr>
        <w:trPr>
          <w:trHeight w:val="21"/>
        </w:trPr>
        <w:tc>
          <w:tcPr>
            <w:tcW w:w="38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4"/>
          <w:szCs w:val="14"/>
          <w:color w:val="auto"/>
        </w:rPr>
        <w:t>*The Stable Value Fund is measured at fair value in the tables above using the NAV per share (or its equivalent) practical expedient and has not been categorized in the fair value hierarchy. The fair value amounts presented in this table are intended to permit reconciliation of the fair value hierarchy table to the amounts presented in the Statements of Net Assets Available for Benefits.</w:t>
      </w:r>
    </w:p>
    <w:p>
      <w:pPr>
        <w:spacing w:after="0" w:line="171"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20"/>
          <w:szCs w:val="20"/>
          <w:b w:val="1"/>
          <w:bCs w:val="1"/>
          <w:color w:val="auto"/>
        </w:rPr>
        <w:t>4.</w:t>
      </w:r>
      <w:r>
        <w:rPr>
          <w:sz w:val="20"/>
          <w:szCs w:val="20"/>
          <w:color w:val="auto"/>
        </w:rPr>
        <w:tab/>
      </w:r>
      <w:r>
        <w:rPr>
          <w:rFonts w:ascii="Times New Roman" w:cs="Times New Roman" w:eastAsia="Times New Roman" w:hAnsi="Times New Roman"/>
          <w:sz w:val="19"/>
          <w:szCs w:val="19"/>
          <w:b w:val="1"/>
          <w:bCs w:val="1"/>
          <w:color w:val="auto"/>
        </w:rPr>
        <w:t>PLAN TERMINATION</w:t>
      </w:r>
    </w:p>
    <w:p>
      <w:pPr>
        <w:spacing w:after="0" w:line="1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Although it has not expressed any intention to do so, LP reserves the right to terminate the Plan at any time, subject to the provisions of ERISA. In the event of Plan termination, participants will become fully vested, and the interest of each participant in the Plan will be distributed to such participant or his or her beneficiary at the time prescribed by the Plan's terms and the IRC. Upon termination of the Plan, the Plan Administrator shall pay all liabilities and expenses of the Plan.</w:t>
      </w:r>
    </w:p>
    <w:p>
      <w:pPr>
        <w:spacing w:after="0" w:line="168"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20"/>
          <w:szCs w:val="20"/>
          <w:b w:val="1"/>
          <w:bCs w:val="1"/>
          <w:color w:val="auto"/>
        </w:rPr>
        <w:t>5.</w:t>
      </w:r>
      <w:r>
        <w:rPr>
          <w:sz w:val="20"/>
          <w:szCs w:val="20"/>
          <w:color w:val="auto"/>
        </w:rPr>
        <w:tab/>
      </w:r>
      <w:r>
        <w:rPr>
          <w:rFonts w:ascii="Times New Roman" w:cs="Times New Roman" w:eastAsia="Times New Roman" w:hAnsi="Times New Roman"/>
          <w:sz w:val="19"/>
          <w:szCs w:val="19"/>
          <w:b w:val="1"/>
          <w:bCs w:val="1"/>
          <w:color w:val="auto"/>
        </w:rPr>
        <w:t>ADMINISTRATION OF PLAN ASSETS</w:t>
      </w:r>
    </w:p>
    <w:p>
      <w:pPr>
        <w:spacing w:after="0" w:line="1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As of December 31, 2024 and 2023, the assets of the Plan are managed by the T. Rowe Price Trust Company (T. Rowe Price), who invests cash received, dividends and interest income, and makes distributions to participants. T. Rowe Price also administers the receipt of principal and interest on the participant loans outstanding.</w:t>
      </w:r>
    </w:p>
    <w:p>
      <w:pPr>
        <w:spacing w:after="0" w:line="177"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20"/>
          <w:szCs w:val="20"/>
          <w:b w:val="1"/>
          <w:bCs w:val="1"/>
          <w:color w:val="auto"/>
        </w:rPr>
        <w:t>6.</w:t>
      </w:r>
      <w:r>
        <w:rPr>
          <w:sz w:val="20"/>
          <w:szCs w:val="20"/>
          <w:color w:val="auto"/>
        </w:rPr>
        <w:tab/>
      </w:r>
      <w:r>
        <w:rPr>
          <w:rFonts w:ascii="Times New Roman" w:cs="Times New Roman" w:eastAsia="Times New Roman" w:hAnsi="Times New Roman"/>
          <w:sz w:val="19"/>
          <w:szCs w:val="19"/>
          <w:b w:val="1"/>
          <w:bCs w:val="1"/>
          <w:color w:val="auto"/>
        </w:rPr>
        <w:t>EXEMPT PARTY-IN-INTEREST TRANSACTIONS</w:t>
      </w:r>
    </w:p>
    <w:p>
      <w:pPr>
        <w:spacing w:after="0" w:line="1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Certain Plan investments are shares of LP common stock, collective trust funds, a stable value fund, and registered investment funds managed by T. Rowe Price. LP is the Plan sponsor and T. Rowe Price is the trustee and record keeper, as defined by the Plan. The Plan also permits notes receivable from participants. Therefore, these transactions qualify as exempt party-in-interest transactions.</w:t>
      </w:r>
    </w:p>
    <w:p>
      <w:pPr>
        <w:spacing w:after="0" w:line="73" w:lineRule="exact"/>
        <w:rPr>
          <w:sz w:val="20"/>
          <w:szCs w:val="20"/>
          <w:color w:val="auto"/>
        </w:rPr>
      </w:pPr>
    </w:p>
    <w:p>
      <w:pPr>
        <w:jc w:val="both"/>
        <w:ind w:right="20"/>
        <w:spacing w:after="0" w:line="283" w:lineRule="auto"/>
        <w:rPr>
          <w:sz w:val="20"/>
          <w:szCs w:val="20"/>
          <w:color w:val="auto"/>
        </w:rPr>
      </w:pPr>
      <w:r>
        <w:rPr>
          <w:rFonts w:ascii="Times New Roman" w:cs="Times New Roman" w:eastAsia="Times New Roman" w:hAnsi="Times New Roman"/>
          <w:sz w:val="20"/>
          <w:szCs w:val="20"/>
          <w:color w:val="auto"/>
        </w:rPr>
        <w:t>At December 31, 2024 and 2023, the Plan held 440,523 and 550,146 shares, respectively, of LP common stock, the sponsoring employer, with a fair value of $45,616 and $38,967, respectively. During the years ended December 31, 2024 and 2023, there was dividend</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240"/>
          </w:cols>
          <w:pgMar w:left="320" w:top="1035"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20"/>
          <w:szCs w:val="20"/>
          <w:color w:val="auto"/>
        </w:rPr>
        <w:t>income from LP common stock of $512 and $547, respectively.</w:t>
      </w:r>
    </w:p>
    <w:p>
      <w:pPr>
        <w:spacing w:after="0" w:line="225" w:lineRule="exact"/>
        <w:rPr>
          <w:sz w:val="20"/>
          <w:szCs w:val="20"/>
          <w:color w:val="auto"/>
        </w:rPr>
      </w:pPr>
    </w:p>
    <w:p>
      <w:pPr>
        <w:ind w:left="400" w:hanging="392"/>
        <w:spacing w:after="0"/>
        <w:tabs>
          <w:tab w:leader="none" w:pos="400" w:val="left"/>
        </w:tabs>
        <w:numPr>
          <w:ilvl w:val="0"/>
          <w:numId w:val="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FEDERAL INCOME TAX STATUS</w:t>
      </w:r>
    </w:p>
    <w:p>
      <w:pPr>
        <w:spacing w:after="0" w:line="11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The Plan was amended on January 1, 2022, to adopt a prototype non-standardized Plan document sponsored by T. Rowe Price, who received an opinion letter from the IRS dated August 2020, which states that the prototype plan is qualified under the appropriate sections of the IRC. The Plan Administrator believes that the Plan is currently designed and being operated in compliance with the applicable requirements of the IRC. Therefore, the Plan Administrator believes the Plan continues to be qualified.</w:t>
      </w:r>
    </w:p>
    <w:p>
      <w:pPr>
        <w:spacing w:after="0" w:line="7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The Plan Administrator has analyzed the tax positions taken by the Plan and has concluded that there are no uncertain tax positions taken or expected to be taken that would require recognition of a liability or asset or disclosure in the financial statements as of December 31, 2024 and 2023. The Plan is subject to routine audits by taxing jurisdictions; however, there are currently no audits for any tax periods in progress.</w:t>
      </w:r>
    </w:p>
    <w:p>
      <w:pPr>
        <w:spacing w:after="0" w:line="164" w:lineRule="exact"/>
        <w:rPr>
          <w:sz w:val="20"/>
          <w:szCs w:val="20"/>
          <w:color w:val="auto"/>
        </w:rPr>
      </w:pPr>
    </w:p>
    <w:p>
      <w:pPr>
        <w:ind w:left="400" w:hanging="392"/>
        <w:spacing w:after="0"/>
        <w:tabs>
          <w:tab w:leader="none" w:pos="400" w:val="left"/>
        </w:tabs>
        <w:numPr>
          <w:ilvl w:val="0"/>
          <w:numId w:val="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SUBSEQUENT EVENTS</w:t>
      </w:r>
    </w:p>
    <w:p>
      <w:pPr>
        <w:spacing w:after="0" w:line="125"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20"/>
          <w:szCs w:val="20"/>
          <w:color w:val="auto"/>
        </w:rPr>
        <w:t>Plan management has evaluated events and transactions that occurred between December 31, 2024, and the report date for possible recognition or disclosure in the financial statements.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240"/>
          </w:cols>
          <w:pgMar w:left="320" w:top="1035" w:right="339" w:bottom="1440" w:gutter="0" w:footer="0" w:header="0"/>
        </w:sectPr>
      </w:pPr>
    </w:p>
    <w:bookmarkStart w:id="10" w:name="page11"/>
    <w:bookmarkEnd w:id="10"/>
    <w:p>
      <w:pPr>
        <w:ind w:left="3880"/>
        <w:spacing w:after="0"/>
        <w:rPr>
          <w:sz w:val="20"/>
          <w:szCs w:val="20"/>
          <w:color w:val="auto"/>
        </w:rPr>
      </w:pPr>
      <w:r>
        <w:rPr>
          <w:rFonts w:ascii="Times New Roman" w:cs="Times New Roman" w:eastAsia="Times New Roman" w:hAnsi="Times New Roman"/>
          <w:sz w:val="25"/>
          <w:szCs w:val="25"/>
          <w:b w:val="1"/>
          <w:bCs w:val="1"/>
          <w:color w:val="auto"/>
        </w:rPr>
        <w:t>SUPPLEMENTAL SCHEDULE</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LOUISIANA-PACIFIC 401(k) AND PROFIT SHARING PLAN</w:t>
      </w:r>
    </w:p>
    <w:p>
      <w:pPr>
        <w:spacing w:after="0" w:line="3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EMPLOYER IDENTIFICATION NUMBER: 93-0609074 PLAN NUMBER: 040</w:t>
      </w:r>
    </w:p>
    <w:p>
      <w:pPr>
        <w:spacing w:after="0" w:line="3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FORM 5500, SCHEDULE H, PART IV, LINE 4i — SCHEDULE OF ASSETS</w:t>
      </w:r>
    </w:p>
    <w:p>
      <w:pPr>
        <w:spacing w:after="0" w:line="3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(HELD AT END OF YEAR)</w:t>
      </w:r>
    </w:p>
    <w:p>
      <w:pPr>
        <w:spacing w:after="0" w:line="3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AS OF DECEMBER 31, 2024</w:t>
      </w:r>
    </w:p>
    <w:p>
      <w:pPr>
        <w:spacing w:after="0" w:line="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Dollar amounts in thousands</w:t>
      </w:r>
    </w:p>
    <w:p>
      <w:pPr>
        <w:spacing w:after="0" w:line="27" w:lineRule="exact"/>
        <w:rPr>
          <w:sz w:val="20"/>
          <w:szCs w:val="20"/>
          <w:color w:val="auto"/>
        </w:rPr>
      </w:pPr>
    </w:p>
    <w:tbl>
      <w:tblPr>
        <w:tblLayout w:type="fixed"/>
        <w:tblInd w:w="20" w:type="dxa"/>
        <w:tblCellMar>
          <w:top w:w="0" w:type="dxa"/>
          <w:left w:w="0" w:type="dxa"/>
          <w:bottom w:w="0" w:type="dxa"/>
          <w:right w:w="0" w:type="dxa"/>
        </w:tblCellMar>
      </w:tblPr>
      <w:tr>
        <w:trPr>
          <w:trHeight w:val="213"/>
        </w:trPr>
        <w:tc>
          <w:tcPr>
            <w:tcW w:w="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w:t>
            </w:r>
          </w:p>
        </w:tc>
        <w:tc>
          <w:tcPr>
            <w:tcW w:w="35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(b) Identity of Issue</w:t>
            </w:r>
          </w:p>
        </w:tc>
        <w:tc>
          <w:tcPr>
            <w:tcW w:w="372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(c) Description of Investment</w:t>
            </w:r>
          </w:p>
        </w:tc>
        <w:tc>
          <w:tcPr>
            <w:tcW w:w="2040" w:type="dxa"/>
            <w:vAlign w:val="bottom"/>
          </w:tcPr>
          <w:p>
            <w:pPr>
              <w:ind w:left="820"/>
              <w:spacing w:after="0"/>
              <w:rPr>
                <w:sz w:val="20"/>
                <w:szCs w:val="20"/>
                <w:color w:val="auto"/>
              </w:rPr>
            </w:pPr>
            <w:r>
              <w:rPr>
                <w:rFonts w:ascii="Times New Roman" w:cs="Times New Roman" w:eastAsia="Times New Roman" w:hAnsi="Times New Roman"/>
                <w:sz w:val="16"/>
                <w:szCs w:val="16"/>
                <w:color w:val="auto"/>
              </w:rPr>
              <w:t>(d) Cost **</w:t>
            </w:r>
          </w:p>
        </w:tc>
        <w:tc>
          <w:tcPr>
            <w:tcW w:w="1540" w:type="dxa"/>
            <w:vAlign w:val="bottom"/>
            <w:gridSpan w:val="2"/>
          </w:tcPr>
          <w:p>
            <w:pPr>
              <w:jc w:val="right"/>
              <w:ind w:right="319"/>
              <w:spacing w:after="0"/>
              <w:rPr>
                <w:sz w:val="20"/>
                <w:szCs w:val="20"/>
                <w:color w:val="auto"/>
              </w:rPr>
            </w:pPr>
            <w:r>
              <w:rPr>
                <w:rFonts w:ascii="Times New Roman" w:cs="Times New Roman" w:eastAsia="Times New Roman" w:hAnsi="Times New Roman"/>
                <w:sz w:val="16"/>
                <w:szCs w:val="16"/>
                <w:color w:val="auto"/>
                <w:w w:val="99"/>
              </w:rPr>
              <w:t>(e) Current Value</w:t>
            </w:r>
          </w:p>
        </w:tc>
        <w:tc>
          <w:tcPr>
            <w:tcW w:w="0" w:type="dxa"/>
            <w:vAlign w:val="bottom"/>
          </w:tcPr>
          <w:p>
            <w:pPr>
              <w:spacing w:after="0"/>
              <w:rPr>
                <w:sz w:val="1"/>
                <w:szCs w:val="1"/>
                <w:color w:val="auto"/>
              </w:rPr>
            </w:pPr>
          </w:p>
        </w:tc>
      </w:tr>
      <w:tr>
        <w:trPr>
          <w:trHeight w:val="219"/>
        </w:trPr>
        <w:tc>
          <w:tcPr>
            <w:tcW w:w="360" w:type="dxa"/>
            <w:vAlign w:val="bottom"/>
            <w:shd w:val="clear" w:color="auto" w:fill="CCEEFF"/>
          </w:tcPr>
          <w:p>
            <w:pPr>
              <w:spacing w:after="0"/>
              <w:rPr>
                <w:sz w:val="19"/>
                <w:szCs w:val="19"/>
                <w:color w:val="auto"/>
              </w:rPr>
            </w:pPr>
          </w:p>
        </w:tc>
        <w:tc>
          <w:tcPr>
            <w:tcW w:w="3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U.S Treasury Money Fund</w:t>
            </w:r>
          </w:p>
        </w:tc>
        <w:tc>
          <w:tcPr>
            <w:tcW w:w="37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Mutual Funds - Domestic Stocks</w:t>
            </w:r>
          </w:p>
        </w:tc>
        <w:tc>
          <w:tcPr>
            <w:tcW w:w="2040" w:type="dxa"/>
            <w:vAlign w:val="bottom"/>
            <w:shd w:val="clear" w:color="auto" w:fill="CCEEFF"/>
          </w:tcPr>
          <w:p>
            <w:pPr>
              <w:spacing w:after="0"/>
              <w:rPr>
                <w:sz w:val="19"/>
                <w:szCs w:val="19"/>
                <w:color w:val="auto"/>
              </w:rPr>
            </w:pPr>
          </w:p>
        </w:tc>
        <w:tc>
          <w:tcPr>
            <w:tcW w:w="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363</w:t>
            </w:r>
          </w:p>
        </w:tc>
        <w:tc>
          <w:tcPr>
            <w:tcW w:w="0" w:type="dxa"/>
            <w:vAlign w:val="bottom"/>
          </w:tcPr>
          <w:p>
            <w:pPr>
              <w:spacing w:after="0"/>
              <w:rPr>
                <w:sz w:val="1"/>
                <w:szCs w:val="1"/>
                <w:color w:val="auto"/>
              </w:rPr>
            </w:pPr>
          </w:p>
        </w:tc>
      </w:tr>
      <w:tr>
        <w:trPr>
          <w:trHeight w:val="213"/>
        </w:trPr>
        <w:tc>
          <w:tcPr>
            <w:tcW w:w="360" w:type="dxa"/>
            <w:vAlign w:val="bottom"/>
          </w:tcPr>
          <w:p>
            <w:pPr>
              <w:spacing w:after="0"/>
              <w:rPr>
                <w:sz w:val="18"/>
                <w:szCs w:val="18"/>
                <w:color w:val="auto"/>
              </w:rPr>
            </w:pPr>
          </w:p>
        </w:tc>
        <w:tc>
          <w:tcPr>
            <w:tcW w:w="35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DFA U.S. Small Cap Institutional Fund</w:t>
            </w:r>
          </w:p>
        </w:tc>
        <w:tc>
          <w:tcPr>
            <w:tcW w:w="372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Mutual Funds - Domestic Stocks</w:t>
            </w:r>
          </w:p>
        </w:tc>
        <w:tc>
          <w:tcPr>
            <w:tcW w:w="20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10,962</w:t>
            </w:r>
          </w:p>
        </w:tc>
        <w:tc>
          <w:tcPr>
            <w:tcW w:w="0" w:type="dxa"/>
            <w:vAlign w:val="bottom"/>
          </w:tcPr>
          <w:p>
            <w:pPr>
              <w:spacing w:after="0"/>
              <w:rPr>
                <w:sz w:val="1"/>
                <w:szCs w:val="1"/>
                <w:color w:val="auto"/>
              </w:rPr>
            </w:pPr>
          </w:p>
        </w:tc>
      </w:tr>
      <w:tr>
        <w:trPr>
          <w:trHeight w:val="219"/>
        </w:trPr>
        <w:tc>
          <w:tcPr>
            <w:tcW w:w="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3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 Rowe Price Growth Stock Fund</w:t>
            </w:r>
          </w:p>
        </w:tc>
        <w:tc>
          <w:tcPr>
            <w:tcW w:w="37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Mutual Funds - Domestic Stocks</w:t>
            </w:r>
          </w:p>
        </w:tc>
        <w:tc>
          <w:tcPr>
            <w:tcW w:w="20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45,110</w:t>
            </w:r>
          </w:p>
        </w:tc>
        <w:tc>
          <w:tcPr>
            <w:tcW w:w="0" w:type="dxa"/>
            <w:vAlign w:val="bottom"/>
          </w:tcPr>
          <w:p>
            <w:pPr>
              <w:spacing w:after="0"/>
              <w:rPr>
                <w:sz w:val="1"/>
                <w:szCs w:val="1"/>
                <w:color w:val="auto"/>
              </w:rPr>
            </w:pPr>
          </w:p>
        </w:tc>
      </w:tr>
      <w:tr>
        <w:trPr>
          <w:trHeight w:val="213"/>
        </w:trPr>
        <w:tc>
          <w:tcPr>
            <w:tcW w:w="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35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 Rowe Price Mid-Cap Growth Fund</w:t>
            </w:r>
          </w:p>
        </w:tc>
        <w:tc>
          <w:tcPr>
            <w:tcW w:w="372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Mutual Funds - Domestic Stocks</w:t>
            </w:r>
          </w:p>
        </w:tc>
        <w:tc>
          <w:tcPr>
            <w:tcW w:w="20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17,579</w:t>
            </w:r>
          </w:p>
        </w:tc>
        <w:tc>
          <w:tcPr>
            <w:tcW w:w="0" w:type="dxa"/>
            <w:vAlign w:val="bottom"/>
          </w:tcPr>
          <w:p>
            <w:pPr>
              <w:spacing w:after="0"/>
              <w:rPr>
                <w:sz w:val="1"/>
                <w:szCs w:val="1"/>
                <w:color w:val="auto"/>
              </w:rPr>
            </w:pPr>
          </w:p>
        </w:tc>
      </w:tr>
      <w:tr>
        <w:trPr>
          <w:trHeight w:val="219"/>
        </w:trPr>
        <w:tc>
          <w:tcPr>
            <w:tcW w:w="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3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 Rowe Price Mid-Cap Value Fund</w:t>
            </w:r>
          </w:p>
        </w:tc>
        <w:tc>
          <w:tcPr>
            <w:tcW w:w="37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Mutual Funds - Domestic Stocks</w:t>
            </w:r>
          </w:p>
        </w:tc>
        <w:tc>
          <w:tcPr>
            <w:tcW w:w="20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11,605</w:t>
            </w:r>
          </w:p>
        </w:tc>
        <w:tc>
          <w:tcPr>
            <w:tcW w:w="0" w:type="dxa"/>
            <w:vAlign w:val="bottom"/>
          </w:tcPr>
          <w:p>
            <w:pPr>
              <w:spacing w:after="0"/>
              <w:rPr>
                <w:sz w:val="1"/>
                <w:szCs w:val="1"/>
                <w:color w:val="auto"/>
              </w:rPr>
            </w:pPr>
          </w:p>
        </w:tc>
      </w:tr>
      <w:tr>
        <w:trPr>
          <w:trHeight w:val="213"/>
        </w:trPr>
        <w:tc>
          <w:tcPr>
            <w:tcW w:w="360" w:type="dxa"/>
            <w:vAlign w:val="bottom"/>
          </w:tcPr>
          <w:p>
            <w:pPr>
              <w:spacing w:after="0"/>
              <w:rPr>
                <w:sz w:val="18"/>
                <w:szCs w:val="18"/>
                <w:color w:val="auto"/>
              </w:rPr>
            </w:pPr>
          </w:p>
        </w:tc>
        <w:tc>
          <w:tcPr>
            <w:tcW w:w="35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Vanguard Institutional Index</w:t>
            </w:r>
          </w:p>
        </w:tc>
        <w:tc>
          <w:tcPr>
            <w:tcW w:w="372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Mutual Funds - Domestic Stocks</w:t>
            </w:r>
          </w:p>
        </w:tc>
        <w:tc>
          <w:tcPr>
            <w:tcW w:w="20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36,997</w:t>
            </w:r>
          </w:p>
        </w:tc>
        <w:tc>
          <w:tcPr>
            <w:tcW w:w="0" w:type="dxa"/>
            <w:vAlign w:val="bottom"/>
          </w:tcPr>
          <w:p>
            <w:pPr>
              <w:spacing w:after="0"/>
              <w:rPr>
                <w:sz w:val="1"/>
                <w:szCs w:val="1"/>
                <w:color w:val="auto"/>
              </w:rPr>
            </w:pPr>
          </w:p>
        </w:tc>
      </w:tr>
      <w:tr>
        <w:trPr>
          <w:trHeight w:val="219"/>
        </w:trPr>
        <w:tc>
          <w:tcPr>
            <w:tcW w:w="360" w:type="dxa"/>
            <w:vAlign w:val="bottom"/>
            <w:shd w:val="clear" w:color="auto" w:fill="CCEEFF"/>
          </w:tcPr>
          <w:p>
            <w:pPr>
              <w:spacing w:after="0"/>
              <w:rPr>
                <w:sz w:val="19"/>
                <w:szCs w:val="19"/>
                <w:color w:val="auto"/>
              </w:rPr>
            </w:pPr>
          </w:p>
        </w:tc>
        <w:tc>
          <w:tcPr>
            <w:tcW w:w="3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Vanguard Total Bond Index Adm</w:t>
            </w:r>
          </w:p>
        </w:tc>
        <w:tc>
          <w:tcPr>
            <w:tcW w:w="37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Mutual Funds - Fixed Income</w:t>
            </w:r>
          </w:p>
        </w:tc>
        <w:tc>
          <w:tcPr>
            <w:tcW w:w="20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3,263</w:t>
            </w:r>
          </w:p>
        </w:tc>
        <w:tc>
          <w:tcPr>
            <w:tcW w:w="0" w:type="dxa"/>
            <w:vAlign w:val="bottom"/>
          </w:tcPr>
          <w:p>
            <w:pPr>
              <w:spacing w:after="0"/>
              <w:rPr>
                <w:sz w:val="1"/>
                <w:szCs w:val="1"/>
                <w:color w:val="auto"/>
              </w:rPr>
            </w:pPr>
          </w:p>
        </w:tc>
      </w:tr>
      <w:tr>
        <w:trPr>
          <w:trHeight w:val="213"/>
        </w:trPr>
        <w:tc>
          <w:tcPr>
            <w:tcW w:w="360" w:type="dxa"/>
            <w:vAlign w:val="bottom"/>
          </w:tcPr>
          <w:p>
            <w:pPr>
              <w:spacing w:after="0"/>
              <w:rPr>
                <w:sz w:val="18"/>
                <w:szCs w:val="18"/>
                <w:color w:val="auto"/>
              </w:rPr>
            </w:pPr>
          </w:p>
        </w:tc>
        <w:tc>
          <w:tcPr>
            <w:tcW w:w="35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Met West Total Return Bond I</w:t>
            </w:r>
          </w:p>
        </w:tc>
        <w:tc>
          <w:tcPr>
            <w:tcW w:w="372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Mutual Funds - Fixed Income</w:t>
            </w:r>
          </w:p>
        </w:tc>
        <w:tc>
          <w:tcPr>
            <w:tcW w:w="20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5,919</w:t>
            </w:r>
          </w:p>
        </w:tc>
        <w:tc>
          <w:tcPr>
            <w:tcW w:w="0" w:type="dxa"/>
            <w:vAlign w:val="bottom"/>
          </w:tcPr>
          <w:p>
            <w:pPr>
              <w:spacing w:after="0"/>
              <w:rPr>
                <w:sz w:val="1"/>
                <w:szCs w:val="1"/>
                <w:color w:val="auto"/>
              </w:rPr>
            </w:pPr>
          </w:p>
        </w:tc>
      </w:tr>
      <w:tr>
        <w:trPr>
          <w:trHeight w:val="219"/>
        </w:trPr>
        <w:tc>
          <w:tcPr>
            <w:tcW w:w="360" w:type="dxa"/>
            <w:vAlign w:val="bottom"/>
            <w:shd w:val="clear" w:color="auto" w:fill="CCEEFF"/>
          </w:tcPr>
          <w:p>
            <w:pPr>
              <w:spacing w:after="0"/>
              <w:rPr>
                <w:sz w:val="19"/>
                <w:szCs w:val="19"/>
                <w:color w:val="auto"/>
              </w:rPr>
            </w:pPr>
          </w:p>
        </w:tc>
        <w:tc>
          <w:tcPr>
            <w:tcW w:w="3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State Street Real Asset NL C</w:t>
            </w:r>
          </w:p>
        </w:tc>
        <w:tc>
          <w:tcPr>
            <w:tcW w:w="37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Collective Trust</w:t>
            </w:r>
          </w:p>
        </w:tc>
        <w:tc>
          <w:tcPr>
            <w:tcW w:w="20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702</w:t>
            </w:r>
          </w:p>
        </w:tc>
        <w:tc>
          <w:tcPr>
            <w:tcW w:w="0" w:type="dxa"/>
            <w:vAlign w:val="bottom"/>
          </w:tcPr>
          <w:p>
            <w:pPr>
              <w:spacing w:after="0"/>
              <w:rPr>
                <w:sz w:val="1"/>
                <w:szCs w:val="1"/>
                <w:color w:val="auto"/>
              </w:rPr>
            </w:pPr>
          </w:p>
        </w:tc>
      </w:tr>
      <w:tr>
        <w:trPr>
          <w:trHeight w:val="213"/>
        </w:trPr>
        <w:tc>
          <w:tcPr>
            <w:tcW w:w="360" w:type="dxa"/>
            <w:vAlign w:val="bottom"/>
          </w:tcPr>
          <w:p>
            <w:pPr>
              <w:spacing w:after="0"/>
              <w:rPr>
                <w:sz w:val="18"/>
                <w:szCs w:val="18"/>
                <w:color w:val="auto"/>
              </w:rPr>
            </w:pPr>
          </w:p>
        </w:tc>
        <w:tc>
          <w:tcPr>
            <w:tcW w:w="35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Vanguard Ttl International Stock Index Inst</w:t>
            </w:r>
          </w:p>
        </w:tc>
        <w:tc>
          <w:tcPr>
            <w:tcW w:w="372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Mutual Funds - International Stocks</w:t>
            </w:r>
          </w:p>
        </w:tc>
        <w:tc>
          <w:tcPr>
            <w:tcW w:w="20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4,181</w:t>
            </w:r>
          </w:p>
        </w:tc>
        <w:tc>
          <w:tcPr>
            <w:tcW w:w="0" w:type="dxa"/>
            <w:vAlign w:val="bottom"/>
          </w:tcPr>
          <w:p>
            <w:pPr>
              <w:spacing w:after="0"/>
              <w:rPr>
                <w:sz w:val="1"/>
                <w:szCs w:val="1"/>
                <w:color w:val="auto"/>
              </w:rPr>
            </w:pPr>
          </w:p>
        </w:tc>
      </w:tr>
      <w:tr>
        <w:trPr>
          <w:trHeight w:val="219"/>
        </w:trPr>
        <w:tc>
          <w:tcPr>
            <w:tcW w:w="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3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 Rowe Price Retirement 2005 Fund</w:t>
            </w:r>
          </w:p>
        </w:tc>
        <w:tc>
          <w:tcPr>
            <w:tcW w:w="37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Collective Trust</w:t>
            </w:r>
          </w:p>
        </w:tc>
        <w:tc>
          <w:tcPr>
            <w:tcW w:w="20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447</w:t>
            </w:r>
          </w:p>
        </w:tc>
        <w:tc>
          <w:tcPr>
            <w:tcW w:w="0" w:type="dxa"/>
            <w:vAlign w:val="bottom"/>
          </w:tcPr>
          <w:p>
            <w:pPr>
              <w:spacing w:after="0"/>
              <w:rPr>
                <w:sz w:val="1"/>
                <w:szCs w:val="1"/>
                <w:color w:val="auto"/>
              </w:rPr>
            </w:pPr>
          </w:p>
        </w:tc>
      </w:tr>
      <w:tr>
        <w:trPr>
          <w:trHeight w:val="213"/>
        </w:trPr>
        <w:tc>
          <w:tcPr>
            <w:tcW w:w="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35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 Rowe Price Retirement 2010 Fund</w:t>
            </w:r>
          </w:p>
        </w:tc>
        <w:tc>
          <w:tcPr>
            <w:tcW w:w="372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Collective Trust</w:t>
            </w:r>
          </w:p>
        </w:tc>
        <w:tc>
          <w:tcPr>
            <w:tcW w:w="20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3,102</w:t>
            </w:r>
          </w:p>
        </w:tc>
        <w:tc>
          <w:tcPr>
            <w:tcW w:w="0" w:type="dxa"/>
            <w:vAlign w:val="bottom"/>
          </w:tcPr>
          <w:p>
            <w:pPr>
              <w:spacing w:after="0"/>
              <w:rPr>
                <w:sz w:val="1"/>
                <w:szCs w:val="1"/>
                <w:color w:val="auto"/>
              </w:rPr>
            </w:pPr>
          </w:p>
        </w:tc>
      </w:tr>
      <w:tr>
        <w:trPr>
          <w:trHeight w:val="219"/>
        </w:trPr>
        <w:tc>
          <w:tcPr>
            <w:tcW w:w="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3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 Rowe Price Retirement 2015 Fund</w:t>
            </w:r>
          </w:p>
        </w:tc>
        <w:tc>
          <w:tcPr>
            <w:tcW w:w="37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Collective Trust</w:t>
            </w:r>
          </w:p>
        </w:tc>
        <w:tc>
          <w:tcPr>
            <w:tcW w:w="20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1,728</w:t>
            </w:r>
          </w:p>
        </w:tc>
        <w:tc>
          <w:tcPr>
            <w:tcW w:w="0" w:type="dxa"/>
            <w:vAlign w:val="bottom"/>
          </w:tcPr>
          <w:p>
            <w:pPr>
              <w:spacing w:after="0"/>
              <w:rPr>
                <w:sz w:val="1"/>
                <w:szCs w:val="1"/>
                <w:color w:val="auto"/>
              </w:rPr>
            </w:pPr>
          </w:p>
        </w:tc>
      </w:tr>
      <w:tr>
        <w:trPr>
          <w:trHeight w:val="213"/>
        </w:trPr>
        <w:tc>
          <w:tcPr>
            <w:tcW w:w="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35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 Rowe Price Retirement 2020 Fund</w:t>
            </w:r>
          </w:p>
        </w:tc>
        <w:tc>
          <w:tcPr>
            <w:tcW w:w="372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Collective Trust</w:t>
            </w:r>
          </w:p>
        </w:tc>
        <w:tc>
          <w:tcPr>
            <w:tcW w:w="20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22,533</w:t>
            </w:r>
          </w:p>
        </w:tc>
        <w:tc>
          <w:tcPr>
            <w:tcW w:w="0" w:type="dxa"/>
            <w:vAlign w:val="bottom"/>
          </w:tcPr>
          <w:p>
            <w:pPr>
              <w:spacing w:after="0"/>
              <w:rPr>
                <w:sz w:val="1"/>
                <w:szCs w:val="1"/>
                <w:color w:val="auto"/>
              </w:rPr>
            </w:pPr>
          </w:p>
        </w:tc>
      </w:tr>
      <w:tr>
        <w:trPr>
          <w:trHeight w:val="219"/>
        </w:trPr>
        <w:tc>
          <w:tcPr>
            <w:tcW w:w="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3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 Rowe Price Retirement 2025 Fund</w:t>
            </w:r>
          </w:p>
        </w:tc>
        <w:tc>
          <w:tcPr>
            <w:tcW w:w="37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Collective Trust</w:t>
            </w:r>
          </w:p>
        </w:tc>
        <w:tc>
          <w:tcPr>
            <w:tcW w:w="20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23,418</w:t>
            </w:r>
          </w:p>
        </w:tc>
        <w:tc>
          <w:tcPr>
            <w:tcW w:w="0" w:type="dxa"/>
            <w:vAlign w:val="bottom"/>
          </w:tcPr>
          <w:p>
            <w:pPr>
              <w:spacing w:after="0"/>
              <w:rPr>
                <w:sz w:val="1"/>
                <w:szCs w:val="1"/>
                <w:color w:val="auto"/>
              </w:rPr>
            </w:pPr>
          </w:p>
        </w:tc>
      </w:tr>
      <w:tr>
        <w:trPr>
          <w:trHeight w:val="213"/>
        </w:trPr>
        <w:tc>
          <w:tcPr>
            <w:tcW w:w="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35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 Rowe Price Retirement 2030 Fund</w:t>
            </w:r>
          </w:p>
        </w:tc>
        <w:tc>
          <w:tcPr>
            <w:tcW w:w="372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Collective Trust</w:t>
            </w:r>
          </w:p>
        </w:tc>
        <w:tc>
          <w:tcPr>
            <w:tcW w:w="20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67,498</w:t>
            </w:r>
          </w:p>
        </w:tc>
        <w:tc>
          <w:tcPr>
            <w:tcW w:w="0" w:type="dxa"/>
            <w:vAlign w:val="bottom"/>
          </w:tcPr>
          <w:p>
            <w:pPr>
              <w:spacing w:after="0"/>
              <w:rPr>
                <w:sz w:val="1"/>
                <w:szCs w:val="1"/>
                <w:color w:val="auto"/>
              </w:rPr>
            </w:pPr>
          </w:p>
        </w:tc>
      </w:tr>
      <w:tr>
        <w:trPr>
          <w:trHeight w:val="219"/>
        </w:trPr>
        <w:tc>
          <w:tcPr>
            <w:tcW w:w="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3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 Rowe Price Retirement 2035 Fund</w:t>
            </w:r>
          </w:p>
        </w:tc>
        <w:tc>
          <w:tcPr>
            <w:tcW w:w="37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Collective Trust</w:t>
            </w:r>
          </w:p>
        </w:tc>
        <w:tc>
          <w:tcPr>
            <w:tcW w:w="20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40,090</w:t>
            </w:r>
          </w:p>
        </w:tc>
        <w:tc>
          <w:tcPr>
            <w:tcW w:w="0" w:type="dxa"/>
            <w:vAlign w:val="bottom"/>
          </w:tcPr>
          <w:p>
            <w:pPr>
              <w:spacing w:after="0"/>
              <w:rPr>
                <w:sz w:val="1"/>
                <w:szCs w:val="1"/>
                <w:color w:val="auto"/>
              </w:rPr>
            </w:pPr>
          </w:p>
        </w:tc>
      </w:tr>
      <w:tr>
        <w:trPr>
          <w:trHeight w:val="213"/>
        </w:trPr>
        <w:tc>
          <w:tcPr>
            <w:tcW w:w="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35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 Rowe Price Retirement 2040 Fund</w:t>
            </w:r>
          </w:p>
        </w:tc>
        <w:tc>
          <w:tcPr>
            <w:tcW w:w="372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Collective Trust</w:t>
            </w:r>
          </w:p>
        </w:tc>
        <w:tc>
          <w:tcPr>
            <w:tcW w:w="20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55,274</w:t>
            </w:r>
          </w:p>
        </w:tc>
        <w:tc>
          <w:tcPr>
            <w:tcW w:w="0" w:type="dxa"/>
            <w:vAlign w:val="bottom"/>
          </w:tcPr>
          <w:p>
            <w:pPr>
              <w:spacing w:after="0"/>
              <w:rPr>
                <w:sz w:val="1"/>
                <w:szCs w:val="1"/>
                <w:color w:val="auto"/>
              </w:rPr>
            </w:pPr>
          </w:p>
        </w:tc>
      </w:tr>
      <w:tr>
        <w:trPr>
          <w:trHeight w:val="219"/>
        </w:trPr>
        <w:tc>
          <w:tcPr>
            <w:tcW w:w="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3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 Rowe Price Retirement 2045 Fund</w:t>
            </w:r>
          </w:p>
        </w:tc>
        <w:tc>
          <w:tcPr>
            <w:tcW w:w="37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Collective Trust</w:t>
            </w:r>
          </w:p>
        </w:tc>
        <w:tc>
          <w:tcPr>
            <w:tcW w:w="20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25,247</w:t>
            </w:r>
          </w:p>
        </w:tc>
        <w:tc>
          <w:tcPr>
            <w:tcW w:w="0" w:type="dxa"/>
            <w:vAlign w:val="bottom"/>
          </w:tcPr>
          <w:p>
            <w:pPr>
              <w:spacing w:after="0"/>
              <w:rPr>
                <w:sz w:val="1"/>
                <w:szCs w:val="1"/>
                <w:color w:val="auto"/>
              </w:rPr>
            </w:pPr>
          </w:p>
        </w:tc>
      </w:tr>
      <w:tr>
        <w:trPr>
          <w:trHeight w:val="213"/>
        </w:trPr>
        <w:tc>
          <w:tcPr>
            <w:tcW w:w="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35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 Rowe Price Retirement 2050 Fund</w:t>
            </w:r>
          </w:p>
        </w:tc>
        <w:tc>
          <w:tcPr>
            <w:tcW w:w="372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Collective Trust</w:t>
            </w:r>
          </w:p>
        </w:tc>
        <w:tc>
          <w:tcPr>
            <w:tcW w:w="20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22,644</w:t>
            </w:r>
          </w:p>
        </w:tc>
        <w:tc>
          <w:tcPr>
            <w:tcW w:w="0" w:type="dxa"/>
            <w:vAlign w:val="bottom"/>
          </w:tcPr>
          <w:p>
            <w:pPr>
              <w:spacing w:after="0"/>
              <w:rPr>
                <w:sz w:val="1"/>
                <w:szCs w:val="1"/>
                <w:color w:val="auto"/>
              </w:rPr>
            </w:pPr>
          </w:p>
        </w:tc>
      </w:tr>
      <w:tr>
        <w:trPr>
          <w:trHeight w:val="219"/>
        </w:trPr>
        <w:tc>
          <w:tcPr>
            <w:tcW w:w="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3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 Rowe Price Retirement 2055 Fund</w:t>
            </w:r>
          </w:p>
        </w:tc>
        <w:tc>
          <w:tcPr>
            <w:tcW w:w="37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Collective Trust</w:t>
            </w:r>
          </w:p>
        </w:tc>
        <w:tc>
          <w:tcPr>
            <w:tcW w:w="20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30,709</w:t>
            </w:r>
          </w:p>
        </w:tc>
        <w:tc>
          <w:tcPr>
            <w:tcW w:w="0" w:type="dxa"/>
            <w:vAlign w:val="bottom"/>
          </w:tcPr>
          <w:p>
            <w:pPr>
              <w:spacing w:after="0"/>
              <w:rPr>
                <w:sz w:val="1"/>
                <w:szCs w:val="1"/>
                <w:color w:val="auto"/>
              </w:rPr>
            </w:pPr>
          </w:p>
        </w:tc>
      </w:tr>
      <w:tr>
        <w:trPr>
          <w:trHeight w:val="230"/>
        </w:trPr>
        <w:tc>
          <w:tcPr>
            <w:tcW w:w="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5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 Rowe Price Retirement 2060 Fund</w:t>
            </w:r>
          </w:p>
        </w:tc>
        <w:tc>
          <w:tcPr>
            <w:tcW w:w="372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Collective Trust</w:t>
            </w:r>
          </w:p>
        </w:tc>
        <w:tc>
          <w:tcPr>
            <w:tcW w:w="20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15,907</w:t>
            </w: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3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 Rowe Price Retirement 2065 Fund</w:t>
            </w:r>
          </w:p>
        </w:tc>
        <w:tc>
          <w:tcPr>
            <w:tcW w:w="37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Collective Trust</w:t>
            </w:r>
          </w:p>
        </w:tc>
        <w:tc>
          <w:tcPr>
            <w:tcW w:w="20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5,907</w:t>
            </w:r>
          </w:p>
        </w:tc>
        <w:tc>
          <w:tcPr>
            <w:tcW w:w="0" w:type="dxa"/>
            <w:vAlign w:val="bottom"/>
          </w:tcPr>
          <w:p>
            <w:pPr>
              <w:spacing w:after="0"/>
              <w:rPr>
                <w:sz w:val="1"/>
                <w:szCs w:val="1"/>
                <w:color w:val="auto"/>
              </w:rPr>
            </w:pPr>
          </w:p>
        </w:tc>
      </w:tr>
      <w:tr>
        <w:trPr>
          <w:trHeight w:val="213"/>
        </w:trPr>
        <w:tc>
          <w:tcPr>
            <w:tcW w:w="360" w:type="dxa"/>
            <w:vAlign w:val="bottom"/>
          </w:tcPr>
          <w:p>
            <w:pPr>
              <w:spacing w:after="0"/>
              <w:rPr>
                <w:sz w:val="18"/>
                <w:szCs w:val="18"/>
                <w:color w:val="auto"/>
              </w:rPr>
            </w:pPr>
          </w:p>
        </w:tc>
        <w:tc>
          <w:tcPr>
            <w:tcW w:w="35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Vanguard Inflation-Protected Bond</w:t>
            </w:r>
          </w:p>
        </w:tc>
        <w:tc>
          <w:tcPr>
            <w:tcW w:w="372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Mutual Funds - Fixed Income</w:t>
            </w:r>
          </w:p>
        </w:tc>
        <w:tc>
          <w:tcPr>
            <w:tcW w:w="20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1,332</w:t>
            </w:r>
          </w:p>
        </w:tc>
        <w:tc>
          <w:tcPr>
            <w:tcW w:w="0" w:type="dxa"/>
            <w:vAlign w:val="bottom"/>
          </w:tcPr>
          <w:p>
            <w:pPr>
              <w:spacing w:after="0"/>
              <w:rPr>
                <w:sz w:val="1"/>
                <w:szCs w:val="1"/>
                <w:color w:val="auto"/>
              </w:rPr>
            </w:pPr>
          </w:p>
        </w:tc>
      </w:tr>
      <w:tr>
        <w:trPr>
          <w:trHeight w:val="219"/>
        </w:trPr>
        <w:tc>
          <w:tcPr>
            <w:tcW w:w="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3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 Rowe Price Stable Value Fund</w:t>
            </w:r>
          </w:p>
        </w:tc>
        <w:tc>
          <w:tcPr>
            <w:tcW w:w="37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Stable Value</w:t>
            </w:r>
          </w:p>
        </w:tc>
        <w:tc>
          <w:tcPr>
            <w:tcW w:w="20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34,557</w:t>
            </w:r>
          </w:p>
        </w:tc>
        <w:tc>
          <w:tcPr>
            <w:tcW w:w="0" w:type="dxa"/>
            <w:vAlign w:val="bottom"/>
          </w:tcPr>
          <w:p>
            <w:pPr>
              <w:spacing w:after="0"/>
              <w:rPr>
                <w:sz w:val="1"/>
                <w:szCs w:val="1"/>
                <w:color w:val="auto"/>
              </w:rPr>
            </w:pPr>
          </w:p>
        </w:tc>
      </w:tr>
      <w:tr>
        <w:trPr>
          <w:trHeight w:val="213"/>
        </w:trPr>
        <w:tc>
          <w:tcPr>
            <w:tcW w:w="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35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Louisiana-Pacific Corporation</w:t>
            </w:r>
          </w:p>
        </w:tc>
        <w:tc>
          <w:tcPr>
            <w:tcW w:w="372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Common stock</w:t>
            </w:r>
          </w:p>
        </w:tc>
        <w:tc>
          <w:tcPr>
            <w:tcW w:w="20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45,616</w:t>
            </w:r>
          </w:p>
        </w:tc>
        <w:tc>
          <w:tcPr>
            <w:tcW w:w="0" w:type="dxa"/>
            <w:vAlign w:val="bottom"/>
          </w:tcPr>
          <w:p>
            <w:pPr>
              <w:spacing w:after="0"/>
              <w:rPr>
                <w:sz w:val="1"/>
                <w:szCs w:val="1"/>
                <w:color w:val="auto"/>
              </w:rPr>
            </w:pPr>
          </w:p>
        </w:tc>
      </w:tr>
      <w:tr>
        <w:trPr>
          <w:trHeight w:val="219"/>
        </w:trPr>
        <w:tc>
          <w:tcPr>
            <w:tcW w:w="360" w:type="dxa"/>
            <w:vAlign w:val="bottom"/>
            <w:shd w:val="clear" w:color="auto" w:fill="CCEEFF"/>
          </w:tcPr>
          <w:p>
            <w:pPr>
              <w:spacing w:after="0"/>
              <w:rPr>
                <w:sz w:val="19"/>
                <w:szCs w:val="19"/>
                <w:color w:val="auto"/>
              </w:rPr>
            </w:pPr>
          </w:p>
        </w:tc>
        <w:tc>
          <w:tcPr>
            <w:tcW w:w="3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Boston Partners Large Cap Value Equity</w:t>
            </w:r>
          </w:p>
        </w:tc>
        <w:tc>
          <w:tcPr>
            <w:tcW w:w="37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Collective Trust</w:t>
            </w:r>
          </w:p>
        </w:tc>
        <w:tc>
          <w:tcPr>
            <w:tcW w:w="20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6,250</w:t>
            </w:r>
          </w:p>
        </w:tc>
        <w:tc>
          <w:tcPr>
            <w:tcW w:w="0" w:type="dxa"/>
            <w:vAlign w:val="bottom"/>
          </w:tcPr>
          <w:p>
            <w:pPr>
              <w:spacing w:after="0"/>
              <w:rPr>
                <w:sz w:val="1"/>
                <w:szCs w:val="1"/>
                <w:color w:val="auto"/>
              </w:rPr>
            </w:pPr>
          </w:p>
        </w:tc>
      </w:tr>
      <w:tr>
        <w:trPr>
          <w:trHeight w:val="213"/>
        </w:trPr>
        <w:tc>
          <w:tcPr>
            <w:tcW w:w="360" w:type="dxa"/>
            <w:vAlign w:val="bottom"/>
          </w:tcPr>
          <w:p>
            <w:pPr>
              <w:spacing w:after="0"/>
              <w:rPr>
                <w:sz w:val="18"/>
                <w:szCs w:val="18"/>
                <w:color w:val="auto"/>
              </w:rPr>
            </w:pPr>
          </w:p>
        </w:tc>
        <w:tc>
          <w:tcPr>
            <w:tcW w:w="35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MFS International Growth Fund</w:t>
            </w:r>
          </w:p>
        </w:tc>
        <w:tc>
          <w:tcPr>
            <w:tcW w:w="372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Collective Trust</w:t>
            </w:r>
          </w:p>
        </w:tc>
        <w:tc>
          <w:tcPr>
            <w:tcW w:w="20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5,382</w:t>
            </w:r>
          </w:p>
        </w:tc>
        <w:tc>
          <w:tcPr>
            <w:tcW w:w="0" w:type="dxa"/>
            <w:vAlign w:val="bottom"/>
          </w:tcPr>
          <w:p>
            <w:pPr>
              <w:spacing w:after="0"/>
              <w:rPr>
                <w:sz w:val="1"/>
                <w:szCs w:val="1"/>
                <w:color w:val="auto"/>
              </w:rPr>
            </w:pPr>
          </w:p>
        </w:tc>
      </w:tr>
      <w:tr>
        <w:trPr>
          <w:trHeight w:val="165"/>
        </w:trPr>
        <w:tc>
          <w:tcPr>
            <w:tcW w:w="36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3540" w:type="dxa"/>
            <w:vAlign w:val="bottom"/>
            <w:vMerge w:val="restart"/>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Participant loans</w:t>
            </w:r>
          </w:p>
        </w:tc>
        <w:tc>
          <w:tcPr>
            <w:tcW w:w="5760" w:type="dxa"/>
            <w:vAlign w:val="bottom"/>
            <w:gridSpan w:val="2"/>
            <w:shd w:val="clear" w:color="auto" w:fill="CCEEFF"/>
          </w:tcPr>
          <w:p>
            <w:pPr>
              <w:ind w:left="540"/>
              <w:spacing w:after="0" w:line="165" w:lineRule="exact"/>
              <w:rPr>
                <w:sz w:val="20"/>
                <w:szCs w:val="20"/>
                <w:color w:val="auto"/>
              </w:rPr>
            </w:pPr>
            <w:r>
              <w:rPr>
                <w:rFonts w:ascii="Times New Roman" w:cs="Times New Roman" w:eastAsia="Times New Roman" w:hAnsi="Times New Roman"/>
                <w:sz w:val="16"/>
                <w:szCs w:val="16"/>
                <w:color w:val="auto"/>
              </w:rPr>
              <w:t>Notes receivable from participants (interest rates between 4.25% and 9.50%</w:t>
            </w:r>
          </w:p>
        </w:tc>
        <w:tc>
          <w:tcPr>
            <w:tcW w:w="50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8,919</w:t>
            </w:r>
          </w:p>
        </w:tc>
        <w:tc>
          <w:tcPr>
            <w:tcW w:w="0" w:type="dxa"/>
            <w:vAlign w:val="bottom"/>
          </w:tcPr>
          <w:p>
            <w:pPr>
              <w:spacing w:after="0"/>
              <w:rPr>
                <w:sz w:val="1"/>
                <w:szCs w:val="1"/>
                <w:color w:val="auto"/>
              </w:rPr>
            </w:pPr>
          </w:p>
        </w:tc>
      </w:tr>
      <w:tr>
        <w:trPr>
          <w:trHeight w:val="213"/>
        </w:trPr>
        <w:tc>
          <w:tcPr>
            <w:tcW w:w="360" w:type="dxa"/>
            <w:vAlign w:val="bottom"/>
            <w:vMerge w:val="continue"/>
            <w:shd w:val="clear" w:color="auto" w:fill="CCEEFF"/>
          </w:tcPr>
          <w:p>
            <w:pPr>
              <w:spacing w:after="0"/>
              <w:rPr>
                <w:sz w:val="18"/>
                <w:szCs w:val="18"/>
                <w:color w:val="auto"/>
              </w:rPr>
            </w:pPr>
          </w:p>
        </w:tc>
        <w:tc>
          <w:tcPr>
            <w:tcW w:w="3540" w:type="dxa"/>
            <w:vAlign w:val="bottom"/>
            <w:vMerge w:val="continue"/>
            <w:shd w:val="clear" w:color="auto" w:fill="CCEEFF"/>
          </w:tcPr>
          <w:p>
            <w:pPr>
              <w:spacing w:after="0"/>
              <w:rPr>
                <w:sz w:val="18"/>
                <w:szCs w:val="18"/>
                <w:color w:val="auto"/>
              </w:rPr>
            </w:pPr>
          </w:p>
        </w:tc>
        <w:tc>
          <w:tcPr>
            <w:tcW w:w="37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maturing between 2025 and 2029)</w:t>
            </w:r>
          </w:p>
        </w:tc>
        <w:tc>
          <w:tcPr>
            <w:tcW w:w="204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360" w:type="dxa"/>
            <w:vAlign w:val="bottom"/>
          </w:tcPr>
          <w:p>
            <w:pPr>
              <w:spacing w:after="0"/>
              <w:rPr>
                <w:sz w:val="19"/>
                <w:szCs w:val="19"/>
                <w:color w:val="auto"/>
              </w:rPr>
            </w:pPr>
          </w:p>
        </w:tc>
        <w:tc>
          <w:tcPr>
            <w:tcW w:w="3540" w:type="dxa"/>
            <w:vAlign w:val="bottom"/>
          </w:tcPr>
          <w:p>
            <w:pPr>
              <w:spacing w:after="0"/>
              <w:rPr>
                <w:sz w:val="19"/>
                <w:szCs w:val="19"/>
                <w:color w:val="auto"/>
              </w:rPr>
            </w:pPr>
          </w:p>
        </w:tc>
        <w:tc>
          <w:tcPr>
            <w:tcW w:w="372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553,240</w:t>
            </w:r>
          </w:p>
        </w:tc>
        <w:tc>
          <w:tcPr>
            <w:tcW w:w="0" w:type="dxa"/>
            <w:vAlign w:val="bottom"/>
          </w:tcPr>
          <w:p>
            <w:pPr>
              <w:spacing w:after="0"/>
              <w:rPr>
                <w:sz w:val="1"/>
                <w:szCs w:val="1"/>
                <w:color w:val="auto"/>
              </w:rPr>
            </w:pPr>
          </w:p>
        </w:tc>
      </w:tr>
      <w:tr>
        <w:trPr>
          <w:trHeight w:val="21"/>
        </w:trPr>
        <w:tc>
          <w:tcPr>
            <w:tcW w:w="36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*Party-in-interest</w:t>
      </w:r>
    </w:p>
    <w:p>
      <w:pPr>
        <w:spacing w:after="0" w:line="27" w:lineRule="exact"/>
        <w:rPr>
          <w:sz w:val="20"/>
          <w:szCs w:val="20"/>
          <w:color w:val="auto"/>
        </w:rPr>
      </w:pPr>
    </w:p>
    <w:p>
      <w:pPr>
        <w:ind w:left="240" w:hanging="232"/>
        <w:spacing w:after="0"/>
        <w:tabs>
          <w:tab w:leader="none" w:pos="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 information is not required for participant-directed investments and, therefore, is not included.</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346" w:lineRule="exact"/>
        <w:rPr>
          <w:rFonts w:ascii="Times New Roman" w:cs="Times New Roman" w:eastAsia="Times New Roman" w:hAnsi="Times New Roman"/>
          <w:sz w:val="18"/>
          <w:szCs w:val="18"/>
          <w:color w:val="auto"/>
        </w:rPr>
      </w:pPr>
    </w:p>
    <w:p>
      <w:pPr>
        <w:ind w:left="55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w:t>
      </w:r>
    </w:p>
    <w:p>
      <w:pPr>
        <w:sectPr>
          <w:pgSz w:w="11900" w:h="16838" w:orient="portrait"/>
          <w:cols w:equalWidth="0" w:num="1">
            <w:col w:w="11220"/>
          </w:cols>
          <w:pgMar w:left="320" w:top="1177" w:right="3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20"/>
          <w:szCs w:val="20"/>
          <w:b w:val="1"/>
          <w:bCs w:val="1"/>
          <w:color w:val="auto"/>
        </w:rPr>
        <w:t>EXHIBIT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248285</wp:posOffset>
            </wp:positionV>
            <wp:extent cx="7098030" cy="1803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098030" cy="180340"/>
                    </a:xfrm>
                    <a:prstGeom prst="rect">
                      <a:avLst/>
                    </a:prstGeom>
                    <a:noFill/>
                  </pic:spPr>
                </pic:pic>
              </a:graphicData>
            </a:graphic>
          </wp:anchor>
        </w:drawing>
      </w:r>
    </w:p>
    <w:p>
      <w:pPr>
        <w:spacing w:after="0" w:line="375" w:lineRule="exact"/>
        <w:rPr>
          <w:sz w:val="20"/>
          <w:szCs w:val="20"/>
          <w:color w:val="auto"/>
        </w:rPr>
      </w:pPr>
    </w:p>
    <w:p>
      <w:pPr>
        <w:ind w:left="380"/>
        <w:spacing w:after="0"/>
        <w:tabs>
          <w:tab w:leader="none" w:pos="1060" w:val="left"/>
        </w:tabs>
        <w:rPr>
          <w:sz w:val="20"/>
          <w:szCs w:val="20"/>
          <w:color w:val="auto"/>
        </w:rPr>
      </w:pPr>
      <w:r>
        <w:rPr>
          <w:rFonts w:ascii="Times New Roman" w:cs="Times New Roman" w:eastAsia="Times New Roman" w:hAnsi="Times New Roman"/>
          <w:sz w:val="20"/>
          <w:szCs w:val="20"/>
          <w:color w:val="auto"/>
        </w:rPr>
        <w:t>23.1</w:t>
      </w:r>
      <w:r>
        <w:rPr>
          <w:sz w:val="20"/>
          <w:szCs w:val="20"/>
          <w:color w:val="auto"/>
        </w:rPr>
        <w:tab/>
      </w:r>
      <w:r>
        <w:rPr>
          <w:rFonts w:ascii="Times New Roman" w:cs="Times New Roman" w:eastAsia="Times New Roman" w:hAnsi="Times New Roman"/>
          <w:sz w:val="19"/>
          <w:szCs w:val="19"/>
          <w:u w:val="single" w:color="auto"/>
          <w:color w:val="0000FF"/>
        </w:rPr>
        <w:t>Consent of LBMC, PC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139"/>
          </w:cols>
          <w:pgMar w:left="320" w:top="1085" w:right="1440" w:bottom="1440" w:gutter="0" w:footer="0" w:header="0"/>
        </w:sectPr>
      </w:pPr>
    </w:p>
    <w:bookmarkStart w:id="12" w:name="page13"/>
    <w:bookmarkEnd w:id="12"/>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SIGNATURES</w:t>
      </w:r>
    </w:p>
    <w:p>
      <w:pPr>
        <w:spacing w:after="0" w:line="179" w:lineRule="exact"/>
        <w:rPr>
          <w:sz w:val="20"/>
          <w:szCs w:val="20"/>
          <w:color w:val="auto"/>
        </w:rPr>
      </w:pPr>
    </w:p>
    <w:p>
      <w:pPr>
        <w:ind w:firstLine="445"/>
        <w:spacing w:after="0" w:line="269"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the trustee (or other persons who administer the Plan) have duly caused this report to be signed on its behalf by the undersigned hereunto duly authorized.</w:t>
      </w:r>
    </w:p>
    <w:p>
      <w:pPr>
        <w:spacing w:after="0" w:line="321"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20"/>
          <w:szCs w:val="20"/>
          <w:color w:val="auto"/>
        </w:rPr>
        <w:t>LOUISIANA-PACIFIC 401(k) AND PROFIT SHARING PLAN</w:t>
      </w:r>
    </w:p>
    <w:p>
      <w:pPr>
        <w:spacing w:after="0" w:line="297" w:lineRule="exact"/>
        <w:rPr>
          <w:sz w:val="20"/>
          <w:szCs w:val="20"/>
          <w:color w:val="auto"/>
        </w:rPr>
      </w:pPr>
    </w:p>
    <w:p>
      <w:pPr>
        <w:ind w:left="5220"/>
        <w:spacing w:after="0"/>
        <w:tabs>
          <w:tab w:leader="none" w:pos="772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20"/>
          <w:szCs w:val="20"/>
          <w:color w:val="auto"/>
        </w:rPr>
        <w:t>/s/ LESLIE E. DAVIS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3811270</wp:posOffset>
            </wp:positionH>
            <wp:positionV relativeFrom="paragraph">
              <wp:posOffset>31115</wp:posOffset>
            </wp:positionV>
            <wp:extent cx="33261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26130" cy="8255"/>
                    </a:xfrm>
                    <a:prstGeom prst="rect">
                      <a:avLst/>
                    </a:prstGeom>
                    <a:noFill/>
                  </pic:spPr>
                </pic:pic>
              </a:graphicData>
            </a:graphic>
          </wp:anchor>
        </w:drawing>
      </w:r>
    </w:p>
    <w:p>
      <w:pPr>
        <w:spacing w:after="0" w:line="34" w:lineRule="exact"/>
        <w:rPr>
          <w:sz w:val="20"/>
          <w:szCs w:val="20"/>
          <w:color w:val="auto"/>
        </w:rPr>
      </w:pPr>
    </w:p>
    <w:p>
      <w:pPr>
        <w:ind w:left="8020"/>
        <w:spacing w:after="0"/>
        <w:rPr>
          <w:sz w:val="20"/>
          <w:szCs w:val="20"/>
          <w:color w:val="auto"/>
        </w:rPr>
      </w:pPr>
      <w:r>
        <w:rPr>
          <w:rFonts w:ascii="Times New Roman" w:cs="Times New Roman" w:eastAsia="Times New Roman" w:hAnsi="Times New Roman"/>
          <w:sz w:val="20"/>
          <w:szCs w:val="20"/>
          <w:color w:val="auto"/>
        </w:rPr>
        <w:t>Leslie E. Davis</w:t>
      </w:r>
    </w:p>
    <w:p>
      <w:pPr>
        <w:spacing w:after="0" w:line="21" w:lineRule="exact"/>
        <w:rPr>
          <w:sz w:val="20"/>
          <w:szCs w:val="20"/>
          <w:color w:val="auto"/>
        </w:rPr>
      </w:pPr>
    </w:p>
    <w:p>
      <w:pPr>
        <w:ind w:left="7400"/>
        <w:spacing w:after="0"/>
        <w:rPr>
          <w:sz w:val="20"/>
          <w:szCs w:val="20"/>
          <w:color w:val="auto"/>
        </w:rPr>
      </w:pPr>
      <w:r>
        <w:rPr>
          <w:rFonts w:ascii="Times New Roman" w:cs="Times New Roman" w:eastAsia="Times New Roman" w:hAnsi="Times New Roman"/>
          <w:sz w:val="20"/>
          <w:szCs w:val="20"/>
          <w:color w:val="auto"/>
        </w:rPr>
        <w:t>Vice President, Controller and</w:t>
      </w:r>
    </w:p>
    <w:p>
      <w:pPr>
        <w:ind w:left="7600"/>
        <w:spacing w:after="0"/>
        <w:rPr>
          <w:sz w:val="20"/>
          <w:szCs w:val="20"/>
          <w:color w:val="auto"/>
        </w:rPr>
      </w:pPr>
      <w:r>
        <w:rPr>
          <w:rFonts w:ascii="Times New Roman" w:cs="Times New Roman" w:eastAsia="Times New Roman" w:hAnsi="Times New Roman"/>
          <w:sz w:val="20"/>
          <w:szCs w:val="20"/>
          <w:color w:val="auto"/>
        </w:rPr>
        <w:t>Chief Accounting Officer</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 June 26, 2025</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40"/>
          </w:cols>
          <w:pgMar w:left="320" w:top="1440" w:right="5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22"/>
          <w:szCs w:val="22"/>
          <w:color w:val="auto"/>
        </w:rPr>
        <w:t>Exhibit 23.1 Consent of Public Accountants</w:t>
      </w: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CONSENT OF INDEPENDENT REGISTERED PUBLIC ACCOUNTING FIRM</w:t>
      </w:r>
    </w:p>
    <w:p>
      <w:pPr>
        <w:spacing w:after="0" w:line="237"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We consent to the incorporation by reference in the Registration Statements (Nos. 333-156144, 333-153080, 333-110243, and 333-87775) on Form S-8 of our report dated June 26, 2025, appearing in the December 31, 2024 annual report on Form 11-K of the Louisiana-Pacific 401(k) and Profit Sharing Plan.</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 LBMC, PC</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Brentwood, Tennessee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June 26, 2025</w:t>
      </w:r>
    </w:p>
    <w:sectPr>
      <w:pgSz w:w="11900" w:h="16838" w:orient="portrait"/>
      <w:cols w:equalWidth="0" w:num="1">
        <w:col w:w="11240"/>
      </w:cols>
      <w:pgMar w:left="320" w:top="142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decimal"/>
      <w:start w:val="7"/>
    </w:lvl>
  </w:abstractNum>
  <w:abstractNum w:abstractNumId="2">
    <w:nsid w:val="2AE8944A"/>
    <w:multiLevelType w:val="hybridMultilevel"/>
    <w:lvl w:ilvl="0">
      <w:lvlJc w:val="left"/>
      <w:lvlText w:val="%1."/>
      <w:numFmt w:val="decimal"/>
      <w:start w:val="8"/>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2025-06-26T15:43:59Z</dcterms:created>
  <dcterms:modified xsi:type="dcterms:W3CDTF">2025-06-26T15:43:59Z</dcterms:modified>
</cp:coreProperties>
</file>