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16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2025</w:t>
      </w:r>
    </w:p>
    <w:p>
      <w:pPr>
        <w:spacing w:after="0" w:line="98" w:lineRule="exact"/>
        <w:rPr>
          <w:sz w:val="24"/>
          <w:szCs w:val="24"/>
          <w:color w:val="auto"/>
        </w:rPr>
      </w:pPr>
    </w:p>
    <w:p>
      <w:pPr>
        <w:jc w:val="center"/>
        <w:ind w:left="5400" w:right="14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8"/>
        </w:trPr>
        <w:tc>
          <w:tcPr>
            <w:tcW w:w="3960" w:type="dxa"/>
            <w:vAlign w:val="bottom"/>
          </w:tcPr>
          <w:p>
            <w:pPr>
              <w:jc w:val="center"/>
              <w:ind w:right="20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55880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line="189" w:lineRule="exact"/>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9" w:lineRule="exact"/>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89"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69,643,461 shares of common stock, $1 par value per share, outstanding as of November 3, 2025.</w:t>
      </w:r>
    </w:p>
    <w:p>
      <w:pPr>
        <w:spacing w:after="0" w:line="1" w:lineRule="exact"/>
        <w:rPr>
          <w:sz w:val="24"/>
          <w:szCs w:val="24"/>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statements preceded by, followed by or that include words like “may,” “will,” “could,” “should,” “believe,” “expect,” “anticipate,” “assume,” “intend,” “plan,”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LP’s financial outlook.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forward-looking statements include, but are not limited to, the following:</w:t>
      </w:r>
    </w:p>
    <w:p>
      <w:pPr>
        <w:spacing w:after="0" w:line="54"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trade, and monetary policies, including the imposition of higher or new tariffs, trade barriers, and levels of employment;</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rising inflation, supply chain disruptions, new, ongoing, or escalated geopolitical or military conflicts or tensions including the conflict between Russia and Ukraine, the conflicts in the Middle East, tensions between the United States and China, and tensions between China and Taiwan;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financing for home mortgages;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 including as a result of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 of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prices and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 including transportation services provided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and suppliers for certain goods and services critical to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financial impacts from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development, launch or production ramp-up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executives, management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formulate and implement effective succession plans from time to time for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 divestitures, joint ventures, capital investments and other corporate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climate conditions, the impacts of climate change, and potential government policies adopted in response to such conditions;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Chilean peso, and Argentine peso;</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our competitors or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gridSpan w:val="5"/>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3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color w:val="auto"/>
              </w:rPr>
              <w:t>(Unaudited)</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24"/>
                <w:szCs w:val="24"/>
                <w:color w:val="auto"/>
              </w:rPr>
            </w:pPr>
          </w:p>
        </w:tc>
        <w:tc>
          <w:tcPr>
            <w:tcW w:w="26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2,261</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246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impairment</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3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154</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358</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5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358</w:t>
            </w:r>
          </w:p>
        </w:tc>
      </w:tr>
      <w:tr>
        <w:trPr>
          <w:trHeight w:val="213"/>
        </w:trPr>
        <w:tc>
          <w:tcPr>
            <w:tcW w:w="5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6"/>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(11)</w:t>
            </w: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347</w:t>
            </w:r>
          </w:p>
        </w:tc>
      </w:tr>
      <w:tr>
        <w:trPr>
          <w:trHeight w:val="22"/>
        </w:trPr>
        <w:tc>
          <w:tcPr>
            <w:tcW w:w="5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 as of September 30, 2025 and December 31, 2024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855</w:t>
            </w: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w:t>
            </w: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w:t>
            </w:r>
          </w:p>
        </w:tc>
        <w:tc>
          <w:tcPr>
            <w:tcW w:w="0" w:type="dxa"/>
            <w:vAlign w:val="bottom"/>
          </w:tcPr>
          <w:p>
            <w:pPr>
              <w:spacing w:after="0"/>
              <w:rPr>
                <w:sz w:val="1"/>
                <w:szCs w:val="1"/>
                <w:color w:val="auto"/>
              </w:rPr>
            </w:pPr>
          </w:p>
        </w:tc>
      </w:tr>
      <w:tr>
        <w:trPr>
          <w:trHeight w:val="252"/>
        </w:trPr>
        <w:tc>
          <w:tcPr>
            <w:tcW w:w="7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per share, 200 shares authorized; 85 shares issued and 70 shares issued and</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respectively, as of September 30, 2025; and 86 shares issued and 70 shares issued and outstanding,</w:t>
            </w:r>
          </w:p>
        </w:tc>
        <w:tc>
          <w:tcPr>
            <w:tcW w:w="1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 as of December 31, 2024</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15 shares and 16 shares at cost as of September 30, 2025 and December 31, 2024, respectively</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1,671</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2,569</w:t>
            </w: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impairment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remeasurement and transaction loss (gain)</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adjustments,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7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($0.28 per share) Issuance of shares under stock plans</w:t>
      </w:r>
    </w:p>
    <w:p>
      <w:pPr>
        <w:spacing w:after="0" w:line="1" w:lineRule="exact"/>
        <w:rPr>
          <w:sz w:val="20"/>
          <w:szCs w:val="20"/>
          <w:color w:val="auto"/>
        </w:rPr>
      </w:pPr>
    </w:p>
    <w:p>
      <w:pPr>
        <w:ind w:left="10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220" w:firstLine="121"/>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March 31, 2025</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($0.28 per share) Issuance of shares under stock plans</w:t>
      </w:r>
    </w:p>
    <w:p>
      <w:pPr>
        <w:spacing w:after="0" w:line="1" w:lineRule="exact"/>
        <w:rPr>
          <w:sz w:val="20"/>
          <w:szCs w:val="20"/>
          <w:color w:val="auto"/>
        </w:rPr>
      </w:pPr>
    </w:p>
    <w:p>
      <w:pPr>
        <w:ind w:left="120" w:right="6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220" w:firstLine="121"/>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June 30, 2025</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($0.28 per share) Issuance of shares under stock plans</w:t>
      </w:r>
    </w:p>
    <w:p>
      <w:pPr>
        <w:spacing w:after="0" w:line="1" w:lineRule="exact"/>
        <w:rPr>
          <w:sz w:val="20"/>
          <w:szCs w:val="20"/>
          <w:color w:val="auto"/>
        </w:rPr>
      </w:pPr>
    </w:p>
    <w:p>
      <w:pPr>
        <w:ind w:left="120" w:right="6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220" w:firstLine="121"/>
        <w:spacing w:after="0" w:line="333"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September 30, 2025</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4"/>
                <w:szCs w:val="4"/>
                <w:color w:val="auto"/>
              </w:rPr>
            </w:pPr>
          </w:p>
        </w:tc>
        <w:tc>
          <w:tcPr>
            <w:tcW w:w="1160" w:type="dxa"/>
            <w:vAlign w:val="bottom"/>
            <w:vMerge w:val="restart"/>
          </w:tcPr>
          <w:p>
            <w:pPr>
              <w:jc w:val="center"/>
              <w:ind w:right="7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40" w:type="dxa"/>
            <w:vAlign w:val="bottom"/>
          </w:tcPr>
          <w:p>
            <w:pPr>
              <w:spacing w:after="0"/>
              <w:rPr>
                <w:sz w:val="11"/>
                <w:szCs w:val="11"/>
                <w:color w:val="auto"/>
              </w:rPr>
            </w:pP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1,671</w:t>
            </w:r>
          </w:p>
        </w:tc>
        <w:tc>
          <w:tcPr>
            <w:tcW w:w="0" w:type="dxa"/>
            <w:vAlign w:val="bottom"/>
          </w:tcPr>
          <w:p>
            <w:pPr>
              <w:spacing w:after="0"/>
              <w:rPr>
                <w:sz w:val="1"/>
                <w:szCs w:val="1"/>
                <w:color w:val="auto"/>
              </w:rPr>
            </w:pPr>
          </w:p>
        </w:tc>
      </w:tr>
      <w:tr>
        <w:trPr>
          <w:trHeight w:val="214"/>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97"/>
        </w:trPr>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0" w:type="dxa"/>
            <w:vAlign w:val="bottom"/>
          </w:tcPr>
          <w:p>
            <w:pPr>
              <w:spacing w:after="0"/>
              <w:rPr>
                <w:sz w:val="1"/>
                <w:szCs w:val="1"/>
                <w:color w:val="auto"/>
              </w:rPr>
            </w:pPr>
          </w:p>
        </w:tc>
      </w:tr>
      <w:tr>
        <w:trPr>
          <w:trHeight w:val="206"/>
        </w:trPr>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1,742</w:t>
            </w:r>
          </w:p>
        </w:tc>
        <w:tc>
          <w:tcPr>
            <w:tcW w:w="0" w:type="dxa"/>
            <w:vAlign w:val="bottom"/>
          </w:tcPr>
          <w:p>
            <w:pPr>
              <w:spacing w:after="0"/>
              <w:rPr>
                <w:sz w:val="1"/>
                <w:szCs w:val="1"/>
                <w:color w:val="auto"/>
              </w:rPr>
            </w:pPr>
          </w:p>
        </w:tc>
      </w:tr>
      <w:tr>
        <w:trPr>
          <w:trHeight w:val="206"/>
        </w:trPr>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1,739</w:t>
            </w: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-4131310</wp:posOffset>
            </wp:positionV>
            <wp:extent cx="70980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-3848100</wp:posOffset>
            </wp:positionV>
            <wp:extent cx="70980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-3573780</wp:posOffset>
            </wp:positionV>
            <wp:extent cx="709803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-3196590</wp:posOffset>
            </wp:positionV>
            <wp:extent cx="7098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-2819400</wp:posOffset>
            </wp:positionV>
            <wp:extent cx="70980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-2528570</wp:posOffset>
            </wp:positionV>
            <wp:extent cx="70980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-2253615</wp:posOffset>
            </wp:positionV>
            <wp:extent cx="709803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-1877060</wp:posOffset>
            </wp:positionV>
            <wp:extent cx="70980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-1499870</wp:posOffset>
            </wp:positionV>
            <wp:extent cx="709803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-1207770</wp:posOffset>
            </wp:positionV>
            <wp:extent cx="70980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-933450</wp:posOffset>
            </wp:positionV>
            <wp:extent cx="709803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-556895</wp:posOffset>
            </wp:positionV>
            <wp:extent cx="709803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-179070</wp:posOffset>
            </wp:positionV>
            <wp:extent cx="709803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2640" w:space="60"/>
            <w:col w:w="8460"/>
          </w:cols>
          <w:pgMar w:left="380" w:top="887"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887" w:right="359" w:bottom="1440" w:gutter="0" w:footer="0" w:header="0"/>
          <w:type w:val="continuous"/>
        </w:sectPr>
      </w:pPr>
    </w:p>
    <w:bookmarkStart w:id="8" w:name="page9"/>
    <w:bookmarkEnd w:id="8"/>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($0.26 per share) Issuance of shares under stock plans</w:t>
      </w:r>
    </w:p>
    <w:p>
      <w:pPr>
        <w:spacing w:after="0" w:line="1" w:lineRule="exact"/>
        <w:rPr>
          <w:sz w:val="20"/>
          <w:szCs w:val="20"/>
          <w:color w:val="auto"/>
        </w:rPr>
      </w:pPr>
    </w:p>
    <w:p>
      <w:pPr>
        <w:ind w:left="12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240" w:firstLine="122"/>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March 31, 2024</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($0.26 per share) Issuance of shares under stock plans</w:t>
      </w:r>
    </w:p>
    <w:p>
      <w:pPr>
        <w:spacing w:after="0" w:line="1" w:lineRule="exact"/>
        <w:rPr>
          <w:sz w:val="20"/>
          <w:szCs w:val="20"/>
          <w:color w:val="auto"/>
        </w:rPr>
      </w:pPr>
    </w:p>
    <w:p>
      <w:pPr>
        <w:ind w:left="12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240" w:firstLine="122"/>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June 30, 2024</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($0.26 per share) Issuance of shares under stock plans</w:t>
      </w:r>
    </w:p>
    <w:p>
      <w:pPr>
        <w:spacing w:after="0" w:line="1" w:lineRule="exact"/>
        <w:rPr>
          <w:sz w:val="20"/>
          <w:szCs w:val="20"/>
          <w:color w:val="auto"/>
        </w:rPr>
      </w:pPr>
    </w:p>
    <w:p>
      <w:pPr>
        <w:ind w:left="12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240" w:firstLine="122"/>
        <w:spacing w:after="0" w:line="333"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4"/>
                <w:szCs w:val="4"/>
                <w:color w:val="auto"/>
              </w:rPr>
            </w:pPr>
          </w:p>
        </w:tc>
        <w:tc>
          <w:tcPr>
            <w:tcW w:w="1140" w:type="dxa"/>
            <w:vAlign w:val="bottom"/>
            <w:vMerge w:val="restart"/>
          </w:tcPr>
          <w:p>
            <w:pPr>
              <w:jc w:val="center"/>
              <w:ind w:right="5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40" w:type="dxa"/>
            <w:vAlign w:val="bottom"/>
          </w:tcPr>
          <w:p>
            <w:pPr>
              <w:spacing w:after="0"/>
              <w:rPr>
                <w:sz w:val="11"/>
                <w:szCs w:val="11"/>
                <w:color w:val="auto"/>
              </w:rPr>
            </w:pP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r>
        <w:trPr>
          <w:trHeight w:val="214"/>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1,617</w:t>
            </w:r>
          </w:p>
        </w:tc>
        <w:tc>
          <w:tcPr>
            <w:tcW w:w="0" w:type="dxa"/>
            <w:vAlign w:val="bottom"/>
          </w:tcPr>
          <w:p>
            <w:pPr>
              <w:spacing w:after="0"/>
              <w:rPr>
                <w:sz w:val="1"/>
                <w:szCs w:val="1"/>
                <w:color w:val="auto"/>
              </w:rPr>
            </w:pPr>
          </w:p>
        </w:tc>
      </w:tr>
      <w:tr>
        <w:trPr>
          <w:trHeight w:val="206"/>
        </w:trPr>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1,658</w:t>
            </w:r>
          </w:p>
        </w:tc>
        <w:tc>
          <w:tcPr>
            <w:tcW w:w="0" w:type="dxa"/>
            <w:vAlign w:val="bottom"/>
          </w:tcPr>
          <w:p>
            <w:pPr>
              <w:spacing w:after="0"/>
              <w:rPr>
                <w:sz w:val="1"/>
                <w:szCs w:val="1"/>
                <w:color w:val="auto"/>
              </w:rPr>
            </w:pPr>
          </w:p>
        </w:tc>
      </w:tr>
      <w:tr>
        <w:trPr>
          <w:trHeight w:val="206"/>
        </w:trPr>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97"/>
        </w:trPr>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1,666</w:t>
            </w: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-4131310</wp:posOffset>
            </wp:positionV>
            <wp:extent cx="711517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-3848100</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-3573780</wp:posOffset>
            </wp:positionV>
            <wp:extent cx="711517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-3196590</wp:posOffset>
            </wp:positionV>
            <wp:extent cx="711517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-2819400</wp:posOffset>
            </wp:positionV>
            <wp:extent cx="71151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-2527935</wp:posOffset>
            </wp:positionV>
            <wp:extent cx="711517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-2253615</wp:posOffset>
            </wp:positionV>
            <wp:extent cx="711517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-1876425</wp:posOffset>
            </wp:positionV>
            <wp:extent cx="711517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-1499235</wp:posOffset>
            </wp:positionV>
            <wp:extent cx="711517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-1207770</wp:posOffset>
            </wp:positionV>
            <wp:extent cx="711517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-933450</wp:posOffset>
            </wp:positionV>
            <wp:extent cx="711517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-556895</wp:posOffset>
            </wp:positionV>
            <wp:extent cx="711517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-179070</wp:posOffset>
            </wp:positionV>
            <wp:extent cx="711517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660" w:space="60"/>
            <w:col w:w="8460"/>
          </w:cols>
          <w:pgMar w:left="360" w:top="1042" w:right="359"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2" w:right="359" w:bottom="1440" w:gutter="0" w:footer="0" w:header="0"/>
          <w:type w:val="continuous"/>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We operate more than 20 manufacturing facilities across the U.S., Canada, Chile, and Brazil, in certain cases through foreign subsidiaries. References to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LP,”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our,”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us” refer to Louisiana-Pacific Corporation and its consolidated subsidiaries as a whole.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Note 13. Selected Segment Data” below for further information regarding our products and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 have been prepared in accordance with accounting principles generally accepted in the United States of America (U.S. GAAP) for interim financial reporting. As such, they do not include all the information and footnotes required by U.S. GAAP for complete consolidated financial statements. Management believes that all necessary adjustments for a fair presentation have been included and are of a normal and recurring nature. These Condensed Consolidated Financial Statements and the accompanying Notes should be reviewed in conjunction with our annual report on Form 10-K for the fiscal year ended December 31, 2024, filed with the SEC on February 19, 2025 (2024 Annual Report on Form 10-K). The results of operations for interim periods are not necessarily indicative of the results that may be expected for the full fiscal year.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LP and our consolidated subsidiaries. All intercompany transactions, profits, and balances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segment reporting information in “Note 13. Selected Segment Data” below, our reportable segments are Siding, Oriented Strand Board (OSB), and LP South America (LPSA). The following tables present our reportable segment revenues, disaggregated by revenue source (dollar amounts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79"/>
        </w:trPr>
        <w:tc>
          <w:tcPr>
            <w:tcW w:w="38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8"/>
              </w:rPr>
              <w:t>Other</w:t>
            </w:r>
          </w:p>
        </w:tc>
        <w:tc>
          <w:tcPr>
            <w:tcW w:w="38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42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5"/>
        </w:trPr>
        <w:tc>
          <w:tcPr>
            <w:tcW w:w="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99"/>
        </w:trPr>
        <w:tc>
          <w:tcPr>
            <w:tcW w:w="38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Other</w:t>
            </w:r>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13"/>
        </w:trPr>
        <w:tc>
          <w:tcPr>
            <w:tcW w:w="42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4"/>
        </w:trPr>
        <w:tc>
          <w:tcPr>
            <w:tcW w:w="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199"/>
        </w:trPr>
        <w:tc>
          <w:tcPr>
            <w:tcW w:w="38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Other</w:t>
            </w:r>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13"/>
        </w:trPr>
        <w:tc>
          <w:tcPr>
            <w:tcW w:w="42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4"/>
        </w:trPr>
        <w:tc>
          <w:tcPr>
            <w:tcW w:w="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199"/>
        </w:trPr>
        <w:tc>
          <w:tcPr>
            <w:tcW w:w="38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Other</w:t>
            </w:r>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13"/>
        </w:trPr>
        <w:tc>
          <w:tcPr>
            <w:tcW w:w="42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5"/>
        </w:trPr>
        <w:tc>
          <w:tcPr>
            <w:tcW w:w="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contracts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program costs and incentives are accounted for as a reduction in net sales at the time the program is initiated and/or the revenue is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include, but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limited to, volume allowances and rebates, promotional allowances, and cooperative advertising programs. These costs are recorded at the later of (i) the time of sale or (ii)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8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9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for diluted earnings per share</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4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7"/>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SUPPLEMENTAL BALANCE SHEET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Receivables consisted of the following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Receivables</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as of September 30, 2025, and December 31, 2024, primarily consisted of sales tax receivables, vendor rebates, and other miscellaneous receivables.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first-in, first-out or average cost methods are used to value our inventories as of September 30, 2025. Inventory consisted of the following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36"/>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including capitalized interest, are recorded at cost and consisted of the following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land improvements, and logging roads, net of road amortization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2"/>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3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were as follows (dollars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 payable</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customer incentives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5"/>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accounts payable and accrued liabilities</w:t>
            </w: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accrued liabilities at September 30, 2025, and December 31, 2024, primarily consisted of accrued interest, workers' compensation liabilities, and warranty reserves. Additionally, trade accounts payable included $22 million and $32 million related to capital expenditures that had not yet been paid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obligations</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 reserves</w:t>
            </w:r>
          </w:p>
        </w:tc>
        <w:tc>
          <w:tcPr>
            <w:tcW w:w="1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5"/>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long-term liabilities</w:t>
            </w:r>
          </w:p>
        </w:tc>
        <w:tc>
          <w:tcPr>
            <w:tcW w:w="1760" w:type="dxa"/>
            <w:vAlign w:val="bottom"/>
            <w:tcBorders>
              <w:bottom w:val="single" w:sz="8" w:color="auto"/>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long-term liabilities at September 30, 2025 and December 31, 2024, consisted primarily of workers’ compensation liabilities and investment tax incentives associated with property, plant, and equipment. See “Note 11. Product Warranties” below for further information regarding our product warranty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levels of inputs that may be used to measure fair value:</w:t>
      </w:r>
    </w:p>
    <w:p>
      <w:pPr>
        <w:spacing w:after="0" w:line="1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17" w:lineRule="exact"/>
        <w:rPr>
          <w:sz w:val="20"/>
          <w:szCs w:val="20"/>
          <w:color w:val="auto"/>
        </w:rPr>
      </w:pPr>
    </w:p>
    <w:p>
      <w:pPr>
        <w:jc w:val="both"/>
        <w:ind w:left="780" w:hanging="971"/>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54" w:lineRule="exact"/>
        <w:rPr>
          <w:sz w:val="20"/>
          <w:szCs w:val="20"/>
          <w:color w:val="auto"/>
        </w:rPr>
      </w:pPr>
    </w:p>
    <w:p>
      <w:pPr>
        <w:jc w:val="both"/>
        <w:ind w:left="760" w:hanging="97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carrying value of the 3.625% Senior Notes due in 2029 (2029 Senior Notes) was $348 million as of September 30, 2025 and December 31, 2024. Based on market quotations, the fair value of the 2029 Senior Notes was estimated to be $335 million and $323 million as of September 30, 2025 and December 31, 2024,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LP entered into the First Amendment to Second Amended and Restated Credit Agreement (the First Amendment) with American AgCredit, PCA, as administrative agent, CoBank, ACB, as letter of credit issuer, and the lenders and voting participants party thereto, which amends that certain Second Amended and Restated Credit Agreement (the Credit Agreement) that was entered into in November 2022. The First Amendment amended the Credit Agreement to (1) increase the aggregate principal amount for the credit facility (the Amended Credit Facility) from $550 million to $750 million, (2) increase the sub-limit for letters of credit from $60 million to $75 million, (3) change the interest rate for revolving borrowing, (4) change the capitalization ratio limit, and (5) extend the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March 26, 2032. As of September 30, 2025, there were no outstanding borrowings pursuant to the Amended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nine months ended September 30, 2025 are provided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Developed Technology</w:t>
            </w: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2024</w:t>
            </w: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center"/>
              <w:ind w:left="1419"/>
              <w:spacing w:after="0"/>
              <w:rPr>
                <w:sz w:val="20"/>
                <w:szCs w:val="20"/>
                <w:color w:val="auto"/>
              </w:rPr>
            </w:pPr>
            <w:r>
              <w:rPr>
                <w:rFonts w:ascii="Times New Roman" w:cs="Times New Roman" w:eastAsia="Times New Roman" w:hAnsi="Times New Roman"/>
                <w:sz w:val="16"/>
                <w:szCs w:val="16"/>
                <w:color w:val="auto"/>
                <w:w w:val="99"/>
              </w:rPr>
              <w:t>7</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5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rPr>
              <w:t>(2)</w:t>
            </w:r>
          </w:p>
        </w:tc>
      </w:tr>
      <w:tr>
        <w:trPr>
          <w:trHeight w:val="235"/>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 2025</w:t>
            </w:r>
          </w:p>
        </w:tc>
        <w:tc>
          <w:tcPr>
            <w:tcW w:w="152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w w:val="99"/>
              </w:rPr>
              <w:t>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evaluates the estimated useful lives of its definite-lived intangible assets. During the quarter ended June 30, 2025, the Company revised its estimate of the useful lives of its developed technology to better reflect the period over which the asset is expected to be utilized. The developed technology previously had a remaining useful life of ten years and is now being amortized over a revised useful life of one year. This revision in estimate resulted in a quarterly increase of $2 million in amortization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interim periods, income tax expense is recognized by applying the estimated annual effective tax rate to year-to-date results, unless doing so does not yield a reliable estimate. Each period, the income tax accrual is updated based on the latest estimate, and any difference from the previously accrued year-to-date balance is recorded in the current quarter. Changes in profitability estimates across jurisdictions may affect quarterly effective tax rates.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2025, and 2024, reflected estimated annual effective tax rates of 27% and 25%, respectively, excluding discrete items discussed below. The total tax provision for the three and nine months ended September 30, 2025, was $9 million and $54 million, respectively, compared to $23 million and $117 million for the corresponding periods in 2024, respectively. The effective tax rate, including discrete items, for the three and nine months ended September 30, 2025, was 52% and 26%, respectively, compared to 20% and 25% for the comparable periods in 2024, respective.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recognized net discrete tax benefits of $2 million and $1 million, respectively. The current year net tax benefit is primarily related to inflationary and foreign currency exchange-related effects, as well as stock-based compensation. The prior year net tax benefit related primarily to stock-based compensation.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announced an Inclusive Framework on Base Erosion and Profit Shifting, including the Pillar Two Model Rules (Pillar Two), applicable to large multinational corporations. These rules establish a global per-country minimum tax of 15%. Although, the United States has not enacted legislation to adopt the Pillar Two framework, and future adoption remains uncertain, certain countries where our operations are conducted have enacted such legislation.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the Canadian government enacted legislation in 2024 implementing aspects of the OECD’s minimum tax rules under the Pillar Two framework, effective for the 2024 fiscal year, and proposed additional legislation to implement further aspects effective in the 2025 fiscal year. Additionally, in 2024, the Brazilian Congress approved legislation, effective in 2025, that is largely aligned with certain aspects of the OECD’s minimum tax rules under the Pillar Two framework. To date, no other jurisdictions in which LP operates have enacted Pillar Two legislation. At this time, Pillar Two legislation is not expected to have a material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results of operations, financial position, or cash flows. The Company will continue to monitor future developments related to Pillar Two legislation to assess any potential impact in the relevant jurisdictions.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H.R. 1, a bill to provide for reconciliation pursuant to title II of H. Con. Res. 14, informally known as the One Big Beautiful Bill Act (“The Tax Act”) was enacted in the U.S., introducing a series of corporate tax changes in the U.S., including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thereafter through 2027. The provisions of The Tax Act effective in 2025 include 100% bonus depreciation on qualified property and full expensing for research and development expenditures. The impacts of The Tax Act are reflected in our results for the nine months ended September 30, 2025, and have no material impact on our income tax expense or effective tax rate. We expect certain provisions of The Tax Act will decrease cash taxes paid in the current fiscal year and may change the timing of cash tax payments in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0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items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2"/>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decline significantly below cycle-average levels, if capital is allocated to alternative projects, or if changes occur in the wood supply for mills, future impairment charges may be required.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asset dispositions are also periodically reviewed, taking into account current and anticipated economic and industry conditions, the strategic plan, and other relevant factors. A decision to dispose of specific assets may require assumptions regarding the transaction structure of the disposition to estimate the net sales proceeds, which could be lower than prior estimates of undiscounted future net cash flows. As a result, impairment charges may be necessary in connection with such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ended September 30, 2025, $13 million in non-cash, pre-tax impairment charges were recorded related to equipment that will not be utilized in future operations. During the second quarter ended June 30. 2025, $17 million in non-cash, pre-tax impairment charges were recorded. These included $11 million related to acquired equipment that will not be utilized in future operations, $4 million related to property, plant, and equipment associated with a facility closure, and $2 million primarily related to an operating lease asset associated with a previously closed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for various contingent liabilities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840" w:type="dxa"/>
            <w:vAlign w:val="bottom"/>
            <w:tcBorders>
              <w:bottom w:val="single" w:sz="8" w:color="auto"/>
            </w:tcBorders>
            <w:shd w:val="clear" w:color="auto" w:fill="CCEEFF"/>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84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84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27</w:t>
            </w:r>
          </w:p>
        </w:tc>
      </w:tr>
      <w:tr>
        <w:trPr>
          <w:trHeight w:val="23"/>
        </w:trPr>
        <w:tc>
          <w:tcPr>
            <w:tcW w:w="68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Estimates of loss contingencies are based on various assumptions and judgments. Due to the numerous uncertainties and variables associated with these assumptions and judgments, both the precision and reliability of the resulting estimates are subject to substantial uncertainty. Estimated exposure to contingencies is regularly monitored, and as additional information becomes available, estimates may change significantly. Although no estimate of the range of any such change can be made at this time, the amount ultimately paid in connection with these matters could materially exceed, in either the near term or the longer term, the amounts accrued to date. Estimates of loss contingencies do not reflect potential future recoveries from insurance carriers, except to the extent that recovery is deemed probable based on an insurer’s agreement to payment terms.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reserve is maintained for undiscounted estimated environmental loss contingencies. This reserve primarily covers estimated future costs for the remediation of hazardous or toxic substances at various sites currently or previously owned by the Company. Estimates of environmental loss contingencies are based on a range of assumptions and judgments, which vary depending on the specific facts and circumstances of each case. These estimates typically reflect management’s assumptions regarding the probable nature, magnitude, and timing of required investigation, remediation, and/or monitoring activities, as well as the probable costs associated with those activities. In some cases, estimates also consider the obligation, willingness, or ability of third parties to bear a proportionate or allocated share of the costs.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numerous uncertainties and variables associated with these assumptions and judgments-as well as the potential effects of changes in governmental regulations and environmental technologies-the precision and reliability of the resulting estimates are subject to substantial uncertainty. Estimated exposure to environmental loss contingencies is regularly monitored, and estimates may be revised significantly as additional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and its subsidiaries are parties to certain legal proceedings arising in our ordinary course of business. Based on currently available information, management does not believe that the resolution of such proceedings could reasonably be expected to have a material adverse effect on the Company’s financial position, results of operations, cash flows,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Warranties are offered on the sale of most of our products, and an accrual is recorded for estimated future claims. These accruals are based upon historical experience and management’s estimate of future claim levels. The activity in the warranty reserves is summarized in the following table for the three and nine months ended September 30, 2025, and 2024, (dollar amounts in millions):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 in warranty provision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Payments made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warranty reserves</w:t>
      </w:r>
    </w:p>
    <w:p>
      <w:pPr>
        <w:spacing w:after="0" w:line="46" w:lineRule="exact"/>
        <w:rPr>
          <w:sz w:val="20"/>
          <w:szCs w:val="20"/>
          <w:color w:val="auto"/>
        </w:rPr>
      </w:pPr>
    </w:p>
    <w:p>
      <w:pPr>
        <w:ind w:left="360"/>
        <w:spacing w:after="0" w:line="245" w:lineRule="auto"/>
        <w:rPr>
          <w:sz w:val="20"/>
          <w:szCs w:val="20"/>
          <w:color w:val="auto"/>
        </w:rPr>
      </w:pPr>
      <w:r>
        <w:rPr>
          <w:rFonts w:ascii="Times New Roman" w:cs="Times New Roman" w:eastAsia="Times New Roman" w:hAnsi="Times New Roman"/>
          <w:sz w:val="16"/>
          <w:szCs w:val="16"/>
          <w:color w:val="auto"/>
        </w:rPr>
        <w:t>Current portion of warranty reserves (included in accounts payable and accrued liabilities)</w:t>
      </w:r>
    </w:p>
    <w:p>
      <w:pPr>
        <w:spacing w:after="0" w:line="2" w:lineRule="exact"/>
        <w:rPr>
          <w:sz w:val="20"/>
          <w:szCs w:val="20"/>
          <w:color w:val="auto"/>
        </w:rPr>
      </w:pPr>
    </w:p>
    <w:p>
      <w:pPr>
        <w:ind w:left="360" w:right="180"/>
        <w:spacing w:after="0" w:line="245" w:lineRule="auto"/>
        <w:rPr>
          <w:sz w:val="20"/>
          <w:szCs w:val="20"/>
          <w:color w:val="auto"/>
        </w:rPr>
      </w:pPr>
      <w:r>
        <w:rPr>
          <w:rFonts w:ascii="Times New Roman" w:cs="Times New Roman" w:eastAsia="Times New Roman" w:hAnsi="Times New Roman"/>
          <w:sz w:val="16"/>
          <w:szCs w:val="16"/>
          <w:color w:val="auto"/>
        </w:rPr>
        <w:t>Long-term portion of warranty reserves (included in other long-term liabilities)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Borders>
              <w:bottom w:val="single" w:sz="8" w:color="auto"/>
            </w:tcBorders>
          </w:tcPr>
          <w:p>
            <w:pPr>
              <w:spacing w:after="0"/>
              <w:rPr>
                <w:sz w:val="18"/>
                <w:szCs w:val="18"/>
                <w:color w:val="auto"/>
              </w:rPr>
            </w:pPr>
          </w:p>
        </w:tc>
      </w:tr>
      <w:tr>
        <w:trPr>
          <w:trHeight w:val="211"/>
        </w:trPr>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r>
      <w:tr>
        <w:trPr>
          <w:trHeight w:val="206"/>
        </w:trPr>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7"/>
                <w:szCs w:val="17"/>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7"/>
                <w:szCs w:val="17"/>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0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9"/>
                <w:szCs w:val="19"/>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97"/>
        </w:trPr>
        <w:tc>
          <w:tcPr>
            <w:tcW w:w="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87"/>
        </w:trPr>
        <w:tc>
          <w:tcPr>
            <w:tcW w:w="10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258"/>
        </w:trPr>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2"/>
                <w:szCs w:val="22"/>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22"/>
                <w:szCs w:val="22"/>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22"/>
                <w:szCs w:val="22"/>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73"/>
        </w:trPr>
        <w:tc>
          <w:tcPr>
            <w:tcW w:w="10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-1062355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-779145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-496570</wp:posOffset>
            </wp:positionV>
            <wp:extent cx="713232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960" w:space="200"/>
            <w:col w:w="6080"/>
          </w:cols>
          <w:pgMar w:left="320" w:top="1440"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Warranty and other product-related claims continue to be monitored by management, and as of September 30, 2025, the warranty reserve balances associated with these matters are considered adequate to cover future warranty payments. However, additional adjustments may be required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COMPREHENSIVE LOSS</w:t>
      </w:r>
    </w:p>
    <w:p>
      <w:pPr>
        <w:spacing w:after="0" w:line="22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and nine months ended September 30, 2025 and 2024 (dollar amounts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SELECTED SEGMENT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three segments: Siding, OSB, and LPSA. Our business units have been aggregated into these three segments based upon the similarity of economic characteristics, customers, and distribution methods. The results of operations are summarized below for each of these segments separately, as well as for the “Other” category, which comprises other products that are not individually significant.</w:t>
      </w:r>
    </w:p>
    <w:p>
      <w:pPr>
        <w:spacing w:after="0" w:line="68" w:lineRule="exact"/>
        <w:rPr>
          <w:sz w:val="20"/>
          <w:szCs w:val="20"/>
          <w:color w:val="auto"/>
        </w:rPr>
      </w:pPr>
    </w:p>
    <w:p>
      <w:pPr>
        <w:jc w:val="both"/>
        <w:ind w:left="660" w:hanging="328"/>
        <w:spacing w:after="0" w:line="20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Siding segment serves diverse end markets with a broad product portfolio of engineered wood siding, trim, soffit,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w:t>
      </w:r>
    </w:p>
    <w:p>
      <w:pPr>
        <w:spacing w:after="0" w:line="91"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Sheathing,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Oriented Strand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86"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of our business segments is evaluated based on net sales and segment Adjusted EBITDA. Accordingly, our chief operating decision maker, the chief executive officer, evaluates performance and allocates resources based primarily on net sales and segment Adjusted EBITDA for each business segment. Segment Adjusted EBITDA is defined as income attributed to LP excluding interest expense, provision for income taxes, depreciation and amortization, stock-based compensation expense, loss on impairment attributed to LP, business exit credits and charges, product-line discontinuance charges, other operating credits and charges, net, loss on early debt extinguishment, investment income, pension settlement charges, other non-operating items, income from discontinued operations, net of income taxes, and net income attributed to noncontrolling interest.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business segments is presented below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8"/>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Adjusted EBITDA: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31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charges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8"/>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10"/>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Adjusted EBITDA: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31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charges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8"/>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10"/>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2,141</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Adjusted EBITDA: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6"/>
        </w:trPr>
        <w:tc>
          <w:tcPr>
            <w:tcW w:w="31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charges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5"/>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8"/>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09"/>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2,261</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Adjusted EBITDA: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6"/>
        </w:trPr>
        <w:tc>
          <w:tcPr>
            <w:tcW w:w="31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charges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5"/>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charges includes stock compensation and income from equity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TO ADJUSTED EBITDA RECONCILIATION</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exit credits and charges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r>
      <w:tr>
        <w:trPr>
          <w:trHeight w:val="22"/>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identifiable assets by segment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1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840" w:type="dxa"/>
            <w:vAlign w:val="bottom"/>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1,380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1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LPSA</w:t>
            </w:r>
          </w:p>
        </w:tc>
        <w:tc>
          <w:tcPr>
            <w:tcW w:w="1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8"/>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4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2,649</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2,569</w:t>
            </w:r>
          </w:p>
        </w:tc>
      </w:tr>
      <w:tr>
        <w:trPr>
          <w:trHeight w:val="22"/>
        </w:trPr>
        <w:tc>
          <w:tcPr>
            <w:tcW w:w="65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related assets include cash and cash equivalents,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2024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Oriented Strand Board (OSB), and LP South America (LPSA).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and repair and remodeling activity in North America, which historically has been characterized by significant cyclicality. The U.S. Census Bureau published actual U.S. housing starts data on September 17, 2025. September 2025 housing starts have not yet been published by the U.S. Census Bureau, and therefore, we have calculated September housing starts as the average of July and August 2025 actual housing starts. Actual single-family housing starts were approximately 4% and 5% lower, respectively, for the three and nine months ended September 30, 2025, as compared to the same periods in 2024. Actual multi-family housing starts for the three and nine months ended September 30, 2025, were approximately 24% and 20% higher, respectively, as compared to the same periods in 2024. Repair and remodeling activity is difficult to reasonably measure, but the general sentiment among repair and remodeling contractors is more cautious than expected earlier in the year.</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various macroeconomic factors, including interest rates, employment levels, changing trade policy in various jurisdictions (including the imposition of trade barriers, new tariffs and the modification of existing tariffs), consumer confidence, and financial markets, among other things. Additionally, we have experienced increases in material prices, supply disruptions, and labor challenges, which we continue to address as we work to meet the demands of builders, remodelers, and homeowners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international trade landscape has been extremely volatile in recent periods. Earlier this year, the U.S. government announced significant changes to U.S. trade policy, including the implementation or planned imposition of new or increased tariffs and trade barriers on a broad range of goods imported from international markets, including Canada and China, as well as the potential modification or termination of existing trade agreements between the U.S. and certain other countries. In response, certain countries have imposed, or are considering, retaliatory tariffs on U.S. exports. The global tariff landscape continues to shift rapidly, with changes impacting businesses and markets around the world. These changes could negatively affect our sales and our competitive position within the U.S. market and in markets outside the U.S. Further, changing trade policy in the U.S. and other countries, particularly Canada and China, could continue to increase the cost of certain raw materials or components that are critical to our manufacturing process, which could have a material negative impact on our manufacturing costs and our overall financial performance. While we are actively exploring opportunities to mitigate these increased costs, there can be no guarantee that we will be able to achieve successful mitigation strategies or meaningfully offset the financial impact of new or increased tariffs, or other adverse changes to trade policy, in the U.S. or other countries. In the nine months ended September 30, 2025, our cost of sales in the Siding segment was negatively impacted by $7 million related to new or increased tariffs. Based on a preliminary analysis of the potential effects of the tariffs that are currently in force in the United States, as well as in other markets where we operate, we estimate that we could incur potential incremental costs of approximately $8 million in 2025, most of which would likely be incurred by the Siding segment. The potential impact of these factors on our future operational and financial performance is uncertain. As a result, our past performance may not be indicative of future results.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Siding Solutions products are specialty building materials and are subject to competition from various siding technologies, including vinyl, stucco, wood, fiber cement, brick, and others. We believe we are the largest manufacturer of engineered wood siding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prices. We cannot predict whether the prices of our OSB products will remain at current levels or fluctuate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Consolidated Financial Statements included in our 2024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net income excluding interest expense, provision for income taxes, depreciation and amortization, stock-based compensation expense, loss on impairment attributed to LP, business exit credits and charges, product-line discontinuance charges, other operating credits and charges, net, loss on early debt extinguishment, investment income, pension settlement charges, other non-operating items, income from discontinued operations, net of income taxes, and net income attributed to noncontrolling interest,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net income excluding loss on impairment attributed to LP,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and net income attributed to noncontrolling interest, and adjusting for a normalized tax rate, as Adjusted Income (Adjusted Income), which is a non-GAAP financial measure. In addition, we disclose Adjusted Diluted EPS, which is calculated as Adjusted Income divided by diluted shares outstanding (Adjusted Diluted EPS).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and net income per share of common stock - diluted, respectively, are presented below.</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exit credits and charges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5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BY SEGMENT</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LPSA</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8"/>
        </w:trPr>
        <w:tc>
          <w:tcPr>
            <w:tcW w:w="5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r>
      <w:tr>
        <w:trPr>
          <w:trHeight w:val="22"/>
        </w:trPr>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Income (dollar amounts in millions, except per share amounts):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 - diluted</w:t>
            </w:r>
          </w:p>
        </w:tc>
        <w:tc>
          <w:tcPr>
            <w:tcW w:w="9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Add (deduct):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impairment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exit credits and charges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Reported tax provision</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housing starts for the three and nine months ended September 30, 2025 and 2024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10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4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9"/>
        </w:trPr>
        <w:tc>
          <w:tcPr>
            <w:tcW w:w="51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3"/>
        </w:trPr>
        <w:tc>
          <w:tcPr>
            <w:tcW w:w="5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right="140" w:firstLine="8"/>
        <w:spacing w:after="0" w:line="221" w:lineRule="auto"/>
        <w:tabs>
          <w:tab w:leader="none" w:pos="83"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in thousands, reported by the U.S. Census Bureau as published through September 17, 2025. September 2025 housing starts have not yet been published by the U.S. Census Bureau, and therefore, we have calculated September housing starts as the average of July and August 2025 actual housing starts.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OSB, and LPSA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and nine months ended September 30, 2025 and 2024 (in MMSF):</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4160" w:type="dxa"/>
            <w:vAlign w:val="bottom"/>
            <w:gridSpan w:val="8"/>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4060" w:type="dxa"/>
            <w:vAlign w:val="bottom"/>
            <w:gridSpan w:val="7"/>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r>
      <w:tr>
        <w:trPr>
          <w:trHeight w:val="21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0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940" w:type="dxa"/>
            <w:vAlign w:val="bottom"/>
            <w:tcBorders>
              <w:top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461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0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1040" w:type="dxa"/>
            <w:vAlign w:val="bottom"/>
            <w:gridSpan w:val="2"/>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bl>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4160" w:type="dxa"/>
            <w:vAlign w:val="bottom"/>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060" w:type="dxa"/>
            <w:vAlign w:val="bottom"/>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r>
      <w:tr>
        <w:trPr>
          <w:trHeight w:val="21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0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OEE for the three and nine months ended September 30, 2025 and 2024, for each of our segments is listed below:</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4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LPSA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for each of our segments are discussed below, as are the results of operations for the “Other” category, which comprises other products that are not individually significant. See “Note 13. Selected Segment Data” of the Notes to the Condensed Consolidated Financial Statements included in “Item 1. Financial Statements” of this quarterly report on Form 10-Q for further information regarding our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ectPr>
          <w:pgSz w:w="11900" w:h="16838" w:orient="portrait"/>
          <w:cols w:equalWidth="0" w:num="1">
            <w:col w:w="11240"/>
          </w:cols>
          <w:pgMar w:left="320" w:top="1417" w:right="339" w:bottom="1440" w:gutter="0" w:footer="0" w:header="0"/>
        </w:sectPr>
      </w:pP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Siding segment serves diverse end markets with a broad product portfolio of engineered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8"/>
          <w:szCs w:val="18"/>
          <w:color w:val="auto"/>
        </w:rPr>
        <w:t>wood siding, trim, soffit,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p>
    <w:p>
      <w:pPr>
        <w:spacing w:after="0" w:line="328" w:lineRule="exact"/>
        <w:rPr>
          <w:sz w:val="20"/>
          <w:szCs w:val="20"/>
          <w:color w:val="auto"/>
        </w:rPr>
      </w:pPr>
    </w:p>
    <w:p>
      <w:pPr>
        <w:sectPr>
          <w:pgSz w:w="11900" w:h="16838" w:orient="portrait"/>
          <w:cols w:equalWidth="0" w:num="2">
            <w:col w:w="7260" w:space="20"/>
            <w:col w:w="396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4040" w:type="dxa"/>
            <w:vAlign w:val="bottom"/>
            <w:gridSpan w:val="9"/>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260" w:type="dxa"/>
            <w:vAlign w:val="bottom"/>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top w:val="single" w:sz="8" w:color="auto"/>
              <w:bottom w:val="single" w:sz="8" w:color="auto"/>
            </w:tcBorders>
          </w:tcPr>
          <w:p>
            <w:pPr>
              <w:spacing w:after="0"/>
              <w:rPr>
                <w:sz w:val="18"/>
                <w:szCs w:val="18"/>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1,196</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nine months ended September 30, 2025, compared to the corresponding periods in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2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6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2025 versus 2024</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 versus 2024</w:t>
            </w:r>
          </w:p>
        </w:tc>
      </w:tr>
      <w:tr>
        <w:trPr>
          <w:trHeight w:val="157"/>
        </w:trPr>
        <w:tc>
          <w:tcPr>
            <w:tcW w:w="3660" w:type="dxa"/>
            <w:vAlign w:val="bottom"/>
          </w:tcPr>
          <w:p>
            <w:pPr>
              <w:spacing w:after="0"/>
              <w:rPr>
                <w:sz w:val="13"/>
                <w:szCs w:val="13"/>
                <w:color w:val="auto"/>
              </w:rPr>
            </w:pPr>
          </w:p>
        </w:tc>
        <w:tc>
          <w:tcPr>
            <w:tcW w:w="1400" w:type="dxa"/>
            <w:vAlign w:val="bottom"/>
          </w:tcPr>
          <w:p>
            <w:pPr>
              <w:ind w:left="48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Unit</w:t>
            </w:r>
          </w:p>
        </w:tc>
      </w:tr>
      <w:tr>
        <w:trPr>
          <w:trHeight w:val="213"/>
        </w:trPr>
        <w:tc>
          <w:tcPr>
            <w:tcW w:w="3660" w:type="dxa"/>
            <w:vAlign w:val="bottom"/>
          </w:tcPr>
          <w:p>
            <w:pPr>
              <w:spacing w:after="0"/>
              <w:rPr>
                <w:sz w:val="18"/>
                <w:szCs w:val="18"/>
                <w:color w:val="auto"/>
              </w:rPr>
            </w:pPr>
          </w:p>
        </w:tc>
        <w:tc>
          <w:tcPr>
            <w:tcW w:w="1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Selling Price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bl>
    <w:p>
      <w:pPr>
        <w:spacing w:after="0" w:line="171" w:lineRule="exact"/>
        <w:rPr>
          <w:sz w:val="20"/>
          <w:szCs w:val="20"/>
          <w:color w:val="auto"/>
        </w:rPr>
      </w:pPr>
    </w:p>
    <w:p>
      <w:pPr>
        <w:ind w:right="220"/>
        <w:spacing w:after="0" w:line="212" w:lineRule="auto"/>
        <w:rPr>
          <w:sz w:val="20"/>
          <w:szCs w:val="20"/>
          <w:color w:val="auto"/>
        </w:rPr>
      </w:pPr>
      <w:r>
        <w:rPr>
          <w:rFonts w:ascii="Times New Roman" w:cs="Times New Roman" w:eastAsia="Times New Roman" w:hAnsi="Times New Roman"/>
          <w:sz w:val="18"/>
          <w:szCs w:val="18"/>
          <w:color w:val="auto"/>
        </w:rPr>
        <w:t>For the three and nine months ended September 30, 2025, Siding net sales increased year over year by $22 million and $108 million, respectively, reflecting higher selling prices. The nine-month increase also included a benefit from higher sales volume. Within the Siding segment, ExpertFinish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net sales increased by 31% and 24% for the three and nine months ended September 30, 2025, respectively, compared to the prior-year periods.</w:t>
      </w:r>
    </w:p>
    <w:p>
      <w:pPr>
        <w:spacing w:after="0" w:line="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Adjusted EBITDA for the Siding segment decreased year over year by $6 million for the three months ended September 30, 2025, with improved pricing of $18 million more than offset by $13 million mill overhead and inventory absorption, $5 million of strategic investments in sales and marketing, $3 million of SG&amp;A, and $2 million of tariff expenses. Adjusted EBITDA increased $30 million for the nine months ended September 30, 2025, compared to the prior-year period. This growth was driven by higher sales volume and higher selling prices of $70 million, partially offset by strategic investments in sales and marketing of $12 million, $13 million of mill overhead and inventory absorption, $7 million of tariff expenses, and $5 million of SG&amp;A.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2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Sheathing,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Oriented Strand Board.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4140" w:type="dxa"/>
            <w:vAlign w:val="bottom"/>
            <w:gridSpan w:val="9"/>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40" w:type="dxa"/>
            <w:vAlign w:val="bottom"/>
            <w:gridSpan w:val="6"/>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6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84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8"/>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r>
      <w:tr>
        <w:trPr>
          <w:trHeight w:val="22"/>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nine months ended September 30, 2025, compared to the corresponding periods in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72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2025 versus 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 2025 versus 2024</w:t>
            </w:r>
          </w:p>
        </w:tc>
      </w:tr>
      <w:tr>
        <w:trPr>
          <w:trHeight w:val="157"/>
        </w:trPr>
        <w:tc>
          <w:tcPr>
            <w:tcW w:w="372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78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7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Shipments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7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OSB net sales decreased year over year by $74 million and $221 million, respectively. These decreases were primarily driven by lower OSB prices and a decline in sales volume.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OSB segment for the same periods decreased year over year by $60 million and $203 million, respectively, also reflecting the impact of lower OSB prices and a decline in sales volume.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LPSA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4000" w:type="dxa"/>
            <w:vAlign w:val="bottom"/>
            <w:gridSpan w:val="9"/>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40" w:type="dxa"/>
            <w:vAlign w:val="bottom"/>
            <w:gridSpan w:val="6"/>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net sales decreased year over year by $8 million and $6 million, respectively, primarily due to lower OSB prices.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Adjusted EBITDA decreased by $5 million and $4 million year over year, respectively, primarily due to lower OSB prices.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other products segment includes other minor products, services, and closed operations, which do not qualify as discontinued operations. Additionally, this segment includes corporate expenses that are not allocated, such as general administrative costs and stock-based compensation. During 2024, the equity method investment held by Entekra Holdings LLC, our off-site framing operation, sold substantially all of its net assets. Other net sales were $2 million and $6 million for the three and nine months ended September 30, 2025, respectively, as compared to $2 million and $7 million for the corresponding periods in 2024, respectively. Adjusted EBITDA was $(13) million and $(33) million for the three and nine months ended September 30, 2025, respectively, as compared to $(12) million and $(32) million for the corresponding periods in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$95 million and $250 million for the three and nine months ended September 30, 2025, respectively, compared to $75 million and $215 million for the corresponding periods in 2024, respectively. The year-over-year increase in selling, general, and administrative expenses for both periods was primarily driven by higher employee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an estimated tax provision of $9 million and $54 million in the three and nine months ended September 30, 2025, respectively, as compared to $23 million and $117 million for the comparable periods in 2024, respectively. Each quarter the income tax accrual is adjusted to the latest estimate and the difference from the previously accrued year-to-date balance is recorded in the current quarter. For the nine months ended September 30, 2025, the primary difference between the U.S. statutory rate of 21% and the total effective tax rate of 26% relates to state income tax and non-deductible compensation. For the nine months ended September 30, 2024, the primary difference between the U.S. statutory rate of 21% and the total effective tax rate of 25% relates to state income tax.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2024 Annual Report on Form 10-K and “Note 10. Commitments and Contingencies” of the Notes to the Condensed Consolidated Financial Statements included in “Item 1. Financial Statements”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facilities in effect from time to time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cash provided by operations was $315 million and $500 million, respectively. The decrease in cash provided by operations was primarily related to lower net income and changes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cash used in investing activities was $216 million and $122 million, respectively, relating to capital expenditures. The year-over-year increase in capital expenditures was primarily related to higher spend on growth and sustaining maintenance projects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in 2025 are expected to be approximately $315 million. We expect to fund our short-term and long-term capital expenditures in 2025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financing activities was $124 million, which included $61 million for share repurchases of LP common stock under the 2024 Share Repurchase Program (defined below) in the three months ended March 31, 2025. Additionally, we paid cash dividends of $58 million and used $3 million to repurchase stock from employees in connection with income tax withholding requirements associated with our employee stock-based compensation plans. In connection with other financing activities, we paid $2 million of debt issuance costs related to the amendment of our credit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financing activities was $252 million, which included $188 million for share repurchases of LP common stock under the share repurchase program authorized by LP’s Board of Directors in May 2022. Additionally, during this period we had $56 million of dividend payments and $8 million of stock repurchases from employees in connection with income tax withholding requirements associated with our employee stock-based compensation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CoBank, ACB, as letter of credit issuer, and the lenders and the guarantors from time to time party thereto relating to its revolving credit facility. On March 26, 2025, LP entered into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from $550 million to $750 million, (2) increase the sub-limit for letters of credit from $60 million to $75 million, (3) change the interest rate for revolving borrowing, (4) change the capitalization ratio limit, and (5) extend the maturity date to March 26, 2032. As of September 30, 2025, there were no outstanding borrowings under the Amended Credit Facility.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restrictive covenants and customary events of default. The breach of restrictive covenants or the occurrence of any other event of default under the Amended Credit Agreement could result in the acceleration of our obligation to repay the indebtedness outstanding thereunder. The Amended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65%. As of September 30, 2025, we were in compliance with all financial covenants under the Amended Credit Agreement.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Amended Credit Agreement, including the capitalization ratio covenant. All amounts outstanding under the Letter of Credit Facility become due on April 15, 2029. As of September 30, 2025, we were in compliance with all covenants under the Letter of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had standby letters of credit of $14 million outstanding related to collateral for environmental impact on owned properties, a deposit for a forestry license, and insurance collateral, including workers’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decline significantly below cycle-average levels, if capital is allocated to alternative projects, or if changes occur in the wood supply for mills, future impairment charges may be required.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asset dispositions are also periodically reviewed, taking into account current and anticipated economic and industry conditions, the strategic plan, and other relevant factors. A decision to dispose of specific assets may require assumptions regarding the transaction structure of the disposition to estimate the net sales proceeds, which could be lower than prior estimates of undiscounted future net cash flows. As a result, impairment charges may be necessary in connection with such dispositions.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ended September 30, 2025, $13 million in non-cash, pre-tax impairment charges were recorded related to equipment that will not be utilized in future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ended June 30. 2025, $17 million in non-cash, pre-tax impairment charges were recorded. These included $11 million related to acquired equipment that will not be utilized in future operations, $4 million related to property, plant, and equipment associated with a facility closure, and $2 million primarily related to an operating lease asset associated with a previously closed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commodity prices and interest rates which could impact our results of operations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2024 Annual Report on Form 10-K. We historically have not entered into material commodity futures and swaps, but we may do so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exposed to market risk associated with changes in interest rates on our variable rate credit facility. As of September 30, 2025, there were no outstanding borrowings under our Amended Credit Facility. We do not currently have any derivative or hedging arrangements, or other known exposures, to changes in interest rates. There have been no material changes to the interest rate sensitivity analysis previously disclosed under the caption “Item 7A. Quantitative and Qualitative Disclosures about Market Risk”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September 30, 2025,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Financial Statements” of this quarterly report on Form 10-Q under “Note 10. Commitments and Contingencies” of the Notes to the Condensed Consolidated Financial Statements contained herein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2024 Annual Report on Form 10-K. There have been no material changes to the risk factors previously disclosed under the caption “Item 1A. Risk Factors” in Part I of our 2024 Annual Report on Form 10-K.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our 2024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September 30, 2025. At September 30, 2025, we had an aggregate of $177 million of repurchase authorization remaining under the 2024 Share Repurchase Program. LP may initiate, discontinue, or resume purchases of its common stock under the 2024 Share Repurchase Program in the open market, in block, and in privately negotiated transactions, including under Rule 10b5-1 plans, at such times and in such amounts as management deems appropriate without prior notice, subject to market and business conditions, regulatory requirements, and other factors.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E32E1"/>
              </w:rPr>
              <w:t>31.</w:t>
            </w:r>
            <w:r>
              <w:rPr>
                <w:rFonts w:ascii="Times New Roman" w:cs="Times New Roman" w:eastAsia="Times New Roman" w:hAnsi="Times New Roman"/>
                <w:sz w:val="18"/>
                <w:szCs w:val="18"/>
                <w:u w:val="single" w:color="auto"/>
                <w:color w:val="0E32E1"/>
              </w:rPr>
              <w:t>1</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of Chief Executive Officer Pursuant to Rule 13a-14(a) under the Securities Exchange Act of 1934. *</w:t>
            </w:r>
          </w:p>
        </w:tc>
        <w:tc>
          <w:tcPr>
            <w:tcW w:w="0" w:type="dxa"/>
            <w:vAlign w:val="bottom"/>
          </w:tcPr>
          <w:p>
            <w:pPr>
              <w:spacing w:after="0"/>
              <w:rPr>
                <w:sz w:val="1"/>
                <w:szCs w:val="1"/>
                <w:color w:val="auto"/>
              </w:rPr>
            </w:pPr>
          </w:p>
        </w:tc>
      </w:tr>
      <w:tr>
        <w:trPr>
          <w:trHeight w:val="20"/>
        </w:trPr>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3220" w:type="dxa"/>
            <w:vAlign w:val="bottom"/>
            <w:shd w:val="clear" w:color="auto" w:fill="0E32E1"/>
          </w:tcPr>
          <w:p>
            <w:pPr>
              <w:spacing w:after="0" w:line="20" w:lineRule="exact"/>
              <w:rPr>
                <w:sz w:val="1"/>
                <w:szCs w:val="1"/>
                <w:color w:val="auto"/>
              </w:rPr>
            </w:pPr>
          </w:p>
        </w:tc>
        <w:tc>
          <w:tcPr>
            <w:tcW w:w="19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E32E1"/>
              </w:rPr>
              <w:t>31.</w:t>
            </w:r>
            <w:r>
              <w:rPr>
                <w:rFonts w:ascii="Times New Roman" w:cs="Times New Roman" w:eastAsia="Times New Roman" w:hAnsi="Times New Roman"/>
                <w:sz w:val="18"/>
                <w:szCs w:val="18"/>
                <w:u w:val="single" w:color="auto"/>
                <w:color w:val="0E32E1"/>
              </w:rPr>
              <w:t>2</w:t>
            </w: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of Chief Financial Officer Pursuant to Rule 13a-14(a) under the Securities Exchange Act of 1934. *</w:t>
            </w:r>
          </w:p>
        </w:tc>
        <w:tc>
          <w:tcPr>
            <w:tcW w:w="0" w:type="dxa"/>
            <w:vAlign w:val="bottom"/>
          </w:tcPr>
          <w:p>
            <w:pPr>
              <w:spacing w:after="0"/>
              <w:rPr>
                <w:sz w:val="1"/>
                <w:szCs w:val="1"/>
                <w:color w:val="auto"/>
              </w:rPr>
            </w:pPr>
          </w:p>
        </w:tc>
      </w:tr>
      <w:tr>
        <w:trPr>
          <w:trHeight w:val="20"/>
        </w:trPr>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3220" w:type="dxa"/>
            <w:vAlign w:val="bottom"/>
            <w:shd w:val="clear" w:color="auto" w:fill="0E32E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pursuant to § 906 of the Sarbanes-Oxley Act of 2002.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9"/>
        </w:trPr>
        <w:tc>
          <w:tcPr>
            <w:tcW w:w="1000" w:type="dxa"/>
            <w:vAlign w:val="bottom"/>
            <w:gridSpan w:val="4"/>
            <w:vMerge w:val="continue"/>
          </w:tcPr>
          <w:p>
            <w:pPr>
              <w:spacing w:after="0"/>
              <w:rPr>
                <w:sz w:val="12"/>
                <w:szCs w:val="12"/>
                <w:color w:val="auto"/>
              </w:rPr>
            </w:pPr>
          </w:p>
        </w:tc>
        <w:tc>
          <w:tcPr>
            <w:tcW w:w="10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3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5, 2025</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 Bradley Southern</w:t>
            </w:r>
          </w:p>
        </w:tc>
      </w:tr>
      <w:tr>
        <w:trPr>
          <w:trHeight w:val="184"/>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5, 2025</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184"/>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J.M. Haughie,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0"/>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in connection with the Quarterly Report on Form 10-Q of Louisiana-Pacific Corporation (the “Company”) for the quarter ended September 30, 2025,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2025-11-05T13:53:27Z</dcterms:created>
  <dcterms:modified xsi:type="dcterms:W3CDTF">2025-11-05T13:53:27Z</dcterms:modified>
</cp:coreProperties>
</file>