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81280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7" w:lineRule="exact"/>
        <w:rPr>
          <w:sz w:val="24"/>
          <w:szCs w:val="24"/>
          <w:color w:val="auto"/>
        </w:rPr>
      </w:pPr>
    </w:p>
    <w:p>
      <w:pPr>
        <w:jc w:val="center"/>
        <w:ind w:left="3480" w:right="40" w:hanging="3435"/>
        <w:spacing w:after="0" w:line="313" w:lineRule="auto"/>
        <w:tabs>
          <w:tab w:leader="none" w:pos="222" w:val="left"/>
        </w:tabs>
        <w:numPr>
          <w:ilvl w:val="0"/>
          <w:numId w:val="1"/>
        </w:numPr>
        <w:rPr>
          <w:rFonts w:ascii="Arial" w:cs="Arial" w:eastAsia="Arial" w:hAnsi="Arial"/>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 For the Quarterly Period Ended June 30, 2022</w:t>
      </w:r>
    </w:p>
    <w:p>
      <w:pPr>
        <w:spacing w:after="0" w:line="2" w:lineRule="exact"/>
        <w:rPr>
          <w:sz w:val="24"/>
          <w:szCs w:val="24"/>
          <w:color w:val="auto"/>
        </w:rPr>
      </w:pPr>
    </w:p>
    <w:p>
      <w:pPr>
        <w:jc w:val="center"/>
        <w:ind w:left="340" w:right="40"/>
        <w:spacing w:after="0" w:line="351" w:lineRule="auto"/>
        <w:rPr>
          <w:sz w:val="20"/>
          <w:szCs w:val="20"/>
          <w:color w:val="auto"/>
        </w:rPr>
      </w:pPr>
      <w:r>
        <w:rPr>
          <w:rFonts w:ascii="Arial" w:cs="Arial" w:eastAsia="Arial" w:hAnsi="Arial"/>
          <w:sz w:val="18"/>
          <w:szCs w:val="18"/>
          <w:color w:val="auto"/>
        </w:rPr>
        <w:t xml:space="preserve">o </w:t>
      </w:r>
      <w:r>
        <w:rPr>
          <w:rFonts w:ascii="Times New Roman" w:cs="Times New Roman" w:eastAsia="Times New Roman" w:hAnsi="Times New Roman"/>
          <w:sz w:val="21"/>
          <w:szCs w:val="21"/>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Times New Roman" w:cs="Times New Roman" w:eastAsia="Times New Roman" w:hAnsi="Times New Roman"/>
          <w:sz w:val="21"/>
          <w:szCs w:val="21"/>
          <w:b w:val="1"/>
          <w:bCs w:val="1"/>
          <w:color w:val="auto"/>
        </w:rPr>
        <w:t xml:space="preserve">Commission File Number </w:t>
      </w:r>
      <w:r>
        <w:rPr>
          <w:rFonts w:ascii="Times New Roman" w:cs="Times New Roman" w:eastAsia="Times New Roman" w:hAnsi="Times New Roman"/>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-26670</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6"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LOUISIANA-PACIFIC CORPORATION</w:t>
      </w:r>
    </w:p>
    <w:p>
      <w:pPr>
        <w:spacing w:after="0" w:line="44"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62865</wp:posOffset>
            </wp:positionV>
            <wp:extent cx="228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00" w:lineRule="exact"/>
        <w:rPr>
          <w:sz w:val="24"/>
          <w:szCs w:val="24"/>
          <w:color w:val="auto"/>
        </w:rPr>
      </w:pPr>
    </w:p>
    <w:tbl>
      <w:tblPr>
        <w:tblLayout w:type="fixed"/>
        <w:tblInd w:w="1840" w:type="dxa"/>
        <w:tblCellMar>
          <w:top w:w="0" w:type="dxa"/>
          <w:left w:w="0" w:type="dxa"/>
          <w:bottom w:w="0" w:type="dxa"/>
          <w:right w:w="0" w:type="dxa"/>
        </w:tblCellMar>
      </w:tblPr>
      <w:tr>
        <w:trPr>
          <w:trHeight w:val="227"/>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8"/>
                <w:szCs w:val="18"/>
                <w:b w:val="1"/>
                <w:bCs w:val="1"/>
                <w:color w:val="auto"/>
                <w:w w:val="98"/>
              </w:rPr>
              <w:t>93-0609074</w:t>
            </w:r>
          </w:p>
        </w:tc>
      </w:tr>
      <w:tr>
        <w:trPr>
          <w:trHeight w:val="146"/>
        </w:trPr>
        <w:tc>
          <w:tcPr>
            <w:tcW w:w="3960" w:type="dxa"/>
            <w:vAlign w:val="bottom"/>
          </w:tcPr>
          <w:p>
            <w:pPr>
              <w:jc w:val="center"/>
              <w:ind w:right="20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19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1610 West End Avenue, Suite 200, Nashville, TN 37203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63500</wp:posOffset>
            </wp:positionV>
            <wp:extent cx="228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LPX</w:t>
            </w: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17" w:lineRule="exact"/>
        <w:rPr>
          <w:sz w:val="24"/>
          <w:szCs w:val="24"/>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8" w:lineRule="exact"/>
        <w:rPr>
          <w:sz w:val="24"/>
          <w:szCs w:val="24"/>
          <w:color w:val="auto"/>
        </w:rPr>
      </w:pPr>
    </w:p>
    <w:p>
      <w:pPr>
        <w:ind w:right="36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8" w:lineRule="exact"/>
        <w:rPr>
          <w:sz w:val="24"/>
          <w:szCs w:val="24"/>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4"/>
        </w:trPr>
        <w:tc>
          <w:tcPr>
            <w:tcW w:w="26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Large accelerated filer</w:t>
            </w:r>
          </w:p>
        </w:tc>
        <w:tc>
          <w:tcPr>
            <w:tcW w:w="2340" w:type="dxa"/>
            <w:vAlign w:val="bottom"/>
          </w:tcPr>
          <w:p>
            <w:pPr>
              <w:ind w:left="660"/>
              <w:spacing w:after="0" w:line="204" w:lineRule="exact"/>
              <w:rPr>
                <w:sz w:val="20"/>
                <w:szCs w:val="20"/>
                <w:color w:val="auto"/>
              </w:rPr>
            </w:pPr>
            <w:r>
              <w:rPr>
                <w:rFonts w:ascii="Arial" w:cs="Arial" w:eastAsia="Arial" w:hAnsi="Arial"/>
                <w:sz w:val="18"/>
                <w:szCs w:val="18"/>
                <w:color w:val="auto"/>
              </w:rPr>
              <w:t>x</w:t>
            </w:r>
          </w:p>
        </w:tc>
        <w:tc>
          <w:tcPr>
            <w:tcW w:w="4120" w:type="dxa"/>
            <w:vAlign w:val="bottom"/>
          </w:tcPr>
          <w:p>
            <w:pPr>
              <w:ind w:left="1540"/>
              <w:spacing w:after="0" w:line="204" w:lineRule="exact"/>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204" w:lineRule="exact"/>
              <w:rPr>
                <w:sz w:val="20"/>
                <w:szCs w:val="20"/>
                <w:color w:val="auto"/>
              </w:rPr>
            </w:pPr>
            <w:r>
              <w:rPr>
                <w:rFonts w:ascii="Arial" w:cs="Arial" w:eastAsia="Arial" w:hAnsi="Arial"/>
                <w:sz w:val="18"/>
                <w:szCs w:val="18"/>
                <w:color w:val="auto"/>
              </w:rPr>
              <w:t>o</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40" w:type="dxa"/>
            <w:vAlign w:val="bottom"/>
          </w:tcPr>
          <w:p>
            <w:pPr>
              <w:ind w:left="660"/>
              <w:spacing w:after="0"/>
              <w:rPr>
                <w:sz w:val="20"/>
                <w:szCs w:val="20"/>
                <w:color w:val="auto"/>
              </w:rPr>
            </w:pPr>
            <w:r>
              <w:rPr>
                <w:rFonts w:ascii="Arial" w:cs="Arial" w:eastAsia="Arial" w:hAnsi="Arial"/>
                <w:sz w:val="18"/>
                <w:szCs w:val="18"/>
                <w:color w:val="auto"/>
              </w:rPr>
              <w:t>o</w:t>
            </w:r>
          </w:p>
        </w:tc>
        <w:tc>
          <w:tcPr>
            <w:tcW w:w="4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10" w:lineRule="exact"/>
        <w:rPr>
          <w:sz w:val="24"/>
          <w:szCs w:val="24"/>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 w:lineRule="exact"/>
        <w:rPr>
          <w:sz w:val="24"/>
          <w:szCs w:val="24"/>
          <w:color w:val="auto"/>
        </w:rPr>
      </w:pP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73,872,044 shares of common stock, $1 par value, outstanding as of August 8, 2022.</w:t>
      </w:r>
    </w:p>
    <w:p>
      <w:pPr>
        <w:spacing w:after="0" w:line="1" w:lineRule="exact"/>
        <w:rPr>
          <w:sz w:val="24"/>
          <w:szCs w:val="24"/>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specified and unless the context otherwise requires, references to "LP," the “Company,” “we,” “us,” and “our” refer to Louisiana-Pacific Corporation and its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the statements. This quarterly report on Form 10-Q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statements are or may constitute forward-looking statements: (1) statements preceded by, followed by, or that include words like “may,” “will,” “could,” “should,” “believe,” “expect,” “anticipate,” “intend,” “plan,” “estimate,” “project,” “potential,” “continue,” “likely,” or “future” or the negative or other variations thereof and (2) other statements regarding matters that are not historical facts, including without limitation, plans for product development, forecasts of future costs and expenditures, possible outcomes of legal proceedings, capacity expansion, and other growth initiatives and the adequacy of reserves for loss contingencies.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by the forward-looking statements include, but are not limited to, the following, which may be amplified by the invasion of Ukraine by Russia, the sanctions (including their duration), and other measures being imposed in response to this conflict, as well as any escalation or expansion of economic disruption or the conflict’s current scope:</w:t>
      </w:r>
    </w:p>
    <w:p>
      <w:pPr>
        <w:spacing w:after="0" w:line="68" w:lineRule="exact"/>
        <w:rPr>
          <w:sz w:val="20"/>
          <w:szCs w:val="20"/>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global pandemics, such as the ongoing COVID-19 pandemic) on the economy, demand for our products or our operations, including the actions and recommendations of governmental authorities to contain such public health issues;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fiscal and monetary policies, including tariffs and levels of employment;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including impacts from the ongoing COVID-19 pandemic;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home construction and repair and remodel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 and prices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supply of and demand for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or business conditions of third-party wholesale distributors and dealers;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the supply of and demand for raw materials, including wood fiber and resins, used in manufacturing our products;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energy, primarily natural gas, electricity, and diesel fuel;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transportation;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manufacturing our products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launch or production ramp-up of newly introduced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significant operating expenses;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values and exchange rates between the U.S. dollar and other currencies, particularly the Canadian dollar, Brazilian real, and Chilean peso;</w:t>
      </w: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giving rise to environmental liabilities or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 exceeding our warranty reserves;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or exploitation of our intellectual property or other proprietary information by others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funding requirements of our defined benefit pension plans;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existing and future product-related litigation, environmental proceedings and remediation efforts, and other legal or environmental proceedings or matters;</w:t>
      </w:r>
    </w:p>
    <w:p>
      <w:pPr>
        <w:spacing w:after="0" w:line="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 of covenants and events of default contained in our debt instruments;</w:t>
      </w:r>
    </w:p>
    <w:p>
      <w:pPr>
        <w:spacing w:after="0" w:line="1"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repurchases of our common stock and the payment of dividends on our common stock, which will depend on market and business conditions and other considerations;</w:t>
      </w:r>
    </w:p>
    <w:p>
      <w:pPr>
        <w:spacing w:after="0" w:line="23"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cybersecurity events affecting our information technology systems or those of our third-party providers and the related costs and impact of any disruption on our business; and</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public authorities, war, civil unrest, natural disasters, fire, floods, earthquakes, inclement weather, and other matters beyond our control.</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foregoing and any risks and uncertainties specifically identified in the text surrounding forward-looking statements, any statements in the reports and other documents filed by us with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that we make or that are made by others on our behalf are based on our knowledge of our business and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We undertake no obligation to revise or update any of the forward-looking statements to reflect subsequent events or circumstances except to the extent required by applicable law.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40" w:type="dxa"/>
            <w:vAlign w:val="bottom"/>
            <w:gridSpan w:val="5"/>
          </w:tcPr>
          <w:p>
            <w:pPr>
              <w:jc w:val="center"/>
              <w:ind w:left="114"/>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60" w:type="dxa"/>
            <w:vAlign w:val="bottom"/>
            <w:gridSpan w:val="7"/>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020" w:type="dxa"/>
            <w:vAlign w:val="bottom"/>
            <w:gridSpan w:val="8"/>
          </w:tcPr>
          <w:p>
            <w:pPr>
              <w:jc w:val="center"/>
              <w:ind w:left="1650"/>
              <w:spacing w:after="0"/>
              <w:rPr>
                <w:sz w:val="20"/>
                <w:szCs w:val="20"/>
                <w:color w:val="auto"/>
              </w:rPr>
            </w:pPr>
            <w:r>
              <w:rPr>
                <w:rFonts w:ascii="Times New Roman" w:cs="Times New Roman" w:eastAsia="Times New Roman" w:hAnsi="Times New Roman"/>
                <w:sz w:val="18"/>
                <w:szCs w:val="18"/>
                <w:color w:val="auto"/>
                <w:w w:val="99"/>
              </w:rPr>
              <w:t>Dollar amounts in millions, except per share amounts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940" w:type="dxa"/>
            <w:vAlign w:val="bottom"/>
            <w:gridSpan w:val="4"/>
          </w:tcPr>
          <w:p>
            <w:pPr>
              <w:jc w:val="center"/>
              <w:ind w:left="614"/>
              <w:spacing w:after="0"/>
              <w:rPr>
                <w:sz w:val="20"/>
                <w:szCs w:val="20"/>
                <w:color w:val="auto"/>
              </w:rPr>
            </w:pPr>
            <w:r>
              <w:rPr>
                <w:rFonts w:ascii="Times New Roman" w:cs="Times New Roman" w:eastAsia="Times New Roman" w:hAnsi="Times New Roman"/>
                <w:sz w:val="18"/>
                <w:szCs w:val="18"/>
                <w:color w:val="auto"/>
              </w:rPr>
              <w:t>(Unaudited)</w:t>
            </w: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24"/>
                <w:szCs w:val="24"/>
                <w:color w:val="auto"/>
              </w:rPr>
            </w:pPr>
          </w:p>
        </w:tc>
        <w:tc>
          <w:tcPr>
            <w:tcW w:w="266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124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2,062</w:t>
            </w:r>
          </w:p>
        </w:tc>
        <w:tc>
          <w:tcPr>
            <w:tcW w:w="0" w:type="dxa"/>
            <w:vAlign w:val="bottom"/>
          </w:tcPr>
          <w:p>
            <w:pPr>
              <w:spacing w:after="0"/>
              <w:rPr>
                <w:sz w:val="1"/>
                <w:szCs w:val="1"/>
                <w:color w:val="auto"/>
              </w:rPr>
            </w:pPr>
          </w:p>
        </w:tc>
      </w:tr>
      <w:tr>
        <w:trPr>
          <w:trHeight w:val="213"/>
        </w:trPr>
        <w:tc>
          <w:tcPr>
            <w:tcW w:w="1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Cost of sales</w:t>
            </w:r>
          </w:p>
        </w:tc>
        <w:tc>
          <w:tcPr>
            <w:tcW w:w="25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226"/>
        </w:trPr>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r>
        <w:trPr>
          <w:trHeight w:val="213"/>
        </w:trPr>
        <w:tc>
          <w:tcPr>
            <w:tcW w:w="3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8"/>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1,058</w:t>
            </w:r>
          </w:p>
        </w:tc>
        <w:tc>
          <w:tcPr>
            <w:tcW w:w="0" w:type="dxa"/>
            <w:vAlign w:val="bottom"/>
          </w:tcPr>
          <w:p>
            <w:pPr>
              <w:spacing w:after="0"/>
              <w:rPr>
                <w:sz w:val="1"/>
                <w:szCs w:val="1"/>
                <w:color w:val="auto"/>
              </w:rPr>
            </w:pPr>
          </w:p>
        </w:tc>
      </w:tr>
      <w:tr>
        <w:trPr>
          <w:trHeight w:val="218"/>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38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Investment income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8"/>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1,040</w:t>
            </w:r>
          </w:p>
        </w:tc>
        <w:tc>
          <w:tcPr>
            <w:tcW w:w="0" w:type="dxa"/>
            <w:vAlign w:val="bottom"/>
          </w:tcPr>
          <w:p>
            <w:pPr>
              <w:spacing w:after="0"/>
              <w:rPr>
                <w:sz w:val="1"/>
                <w:szCs w:val="1"/>
                <w:color w:val="auto"/>
              </w:rPr>
            </w:pPr>
          </w:p>
        </w:tc>
      </w:tr>
      <w:tr>
        <w:trPr>
          <w:trHeight w:val="218"/>
        </w:trPr>
        <w:tc>
          <w:tcPr>
            <w:tcW w:w="3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Equity in unconsolidated affiliate</w:t>
            </w:r>
          </w:p>
        </w:tc>
        <w:tc>
          <w:tcPr>
            <w:tcW w:w="1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802</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income taxes</w:t>
            </w:r>
          </w:p>
        </w:tc>
        <w:tc>
          <w:tcPr>
            <w:tcW w:w="1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5"/>
        </w:trPr>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5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1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00" w:type="dxa"/>
            <w:vAlign w:val="bottom"/>
            <w:tcBorders>
              <w:top w:val="single" w:sz="8" w:color="CCEEFF"/>
              <w:bottom w:val="single" w:sz="8" w:color="CCEEFF"/>
            </w:tcBorders>
            <w:gridSpan w:val="2"/>
            <w:vMerge w:val="continue"/>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w:t>
            </w:r>
          </w:p>
        </w:tc>
        <w:tc>
          <w:tcPr>
            <w:tcW w:w="14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 per share of common stock:</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per share continuing operations - basic</w:t>
            </w:r>
          </w:p>
        </w:tc>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per share discontinued operations - basic</w:t>
            </w:r>
          </w:p>
        </w:tc>
        <w:tc>
          <w:tcPr>
            <w:tcW w:w="1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7"/>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14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4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per share continuing operations - diluted</w:t>
            </w:r>
          </w:p>
        </w:tc>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per share discontinued operations - diluted</w:t>
            </w:r>
          </w:p>
        </w:tc>
        <w:tc>
          <w:tcPr>
            <w:tcW w:w="1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7"/>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14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4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4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shares of common stock used to compute net income per share: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5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vMerge w:val="continue"/>
          </w:tcPr>
          <w:p>
            <w:pPr>
              <w:spacing w:after="0"/>
              <w:rPr>
                <w:sz w:val="16"/>
                <w:szCs w:val="16"/>
                <w:color w:val="auto"/>
              </w:rPr>
            </w:pPr>
          </w:p>
        </w:tc>
        <w:tc>
          <w:tcPr>
            <w:tcW w:w="2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Changes in defined benefit pension plans</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43"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8"/>
          <w:szCs w:val="18"/>
          <w:color w:val="auto"/>
        </w:rPr>
        <w:t>Dollar amounts in millions</w:t>
      </w:r>
    </w:p>
    <w:p>
      <w:pPr>
        <w:spacing w:after="0" w:line="9"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2200" w:type="dxa"/>
        <w:tblCellMar>
          <w:top w:w="0" w:type="dxa"/>
          <w:left w:w="0" w:type="dxa"/>
          <w:bottom w:w="0" w:type="dxa"/>
          <w:right w:w="0" w:type="dxa"/>
        </w:tblCellMar>
      </w:tblPr>
      <w:tr>
        <w:trPr>
          <w:trHeight w:val="215"/>
        </w:trPr>
        <w:tc>
          <w:tcPr>
            <w:tcW w:w="270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817</w:t>
            </w:r>
          </w:p>
        </w:tc>
      </w:tr>
      <w:tr>
        <w:trPr>
          <w:trHeight w:val="408"/>
        </w:trPr>
        <w:tc>
          <w:tcPr>
            <w:tcW w:w="10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-553085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-269875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20" w:space="180"/>
            <w:col w:w="8040"/>
          </w:cols>
          <w:pgMar w:left="320" w:top="1008" w:right="339" w:bottom="1440" w:gutter="0" w:footer="0" w:header="0"/>
        </w:sectPr>
      </w:pPr>
    </w:p>
    <w:tbl>
      <w:tblPr>
        <w:tblLayout w:type="fixed"/>
        <w:tblInd w:w="0" w:type="dxa"/>
        <w:tblCellMar>
          <w:top w:w="0" w:type="dxa"/>
          <w:left w:w="0" w:type="dxa"/>
          <w:bottom w:w="0" w:type="dxa"/>
          <w:right w:w="0" w:type="dxa"/>
        </w:tblCellMar>
      </w:tblPr>
      <w:tr>
        <w:trPr>
          <w:trHeight w:val="215"/>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8"/>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354</w:t>
            </w: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505</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861</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819</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associated with noncontrolling interest</w:t>
            </w: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attributed to LP</w:t>
            </w: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354</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506</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862</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819</w:t>
            </w:r>
          </w:p>
        </w:tc>
      </w:tr>
      <w:tr>
        <w:trPr>
          <w:trHeight w:val="22"/>
        </w:trPr>
        <w:tc>
          <w:tcPr>
            <w:tcW w:w="5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 amounts in millions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 million as of June 30, 2022, and December 31, 2021</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1"/>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890</w:t>
            </w:r>
          </w:p>
        </w:tc>
        <w:tc>
          <w:tcPr>
            <w:tcW w:w="0" w:type="dxa"/>
            <w:vAlign w:val="bottom"/>
          </w:tcPr>
          <w:p>
            <w:pPr>
              <w:spacing w:after="0"/>
              <w:rPr>
                <w:sz w:val="1"/>
                <w:szCs w:val="1"/>
                <w:color w:val="auto"/>
              </w:rPr>
            </w:pPr>
          </w:p>
        </w:tc>
      </w:tr>
      <w:tr>
        <w:trPr>
          <w:trHeight w:val="76"/>
        </w:trPr>
        <w:tc>
          <w:tcPr>
            <w:tcW w:w="7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Timber and timberlands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Investments in and advances to affiliates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assets held for sale</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2,194</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w:t>
            </w:r>
          </w:p>
        </w:tc>
        <w:tc>
          <w:tcPr>
            <w:tcW w:w="0" w:type="dxa"/>
            <w:vAlign w:val="bottom"/>
          </w:tcPr>
          <w:p>
            <w:pPr>
              <w:spacing w:after="0"/>
              <w:rPr>
                <w:sz w:val="1"/>
                <w:szCs w:val="1"/>
                <w:color w:val="auto"/>
              </w:rPr>
            </w:pPr>
          </w:p>
        </w:tc>
      </w:tr>
      <w:tr>
        <w:trPr>
          <w:trHeight w:val="76"/>
        </w:trPr>
        <w:tc>
          <w:tcPr>
            <w:tcW w:w="7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Contingency reserves, excluding current portion</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liabilities held for sale</w:t>
            </w:r>
          </w:p>
        </w:tc>
        <w:tc>
          <w:tcPr>
            <w:tcW w:w="2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2"/>
        </w:trPr>
        <w:tc>
          <w:tcPr>
            <w:tcW w:w="75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955</w:t>
            </w:r>
          </w:p>
        </w:tc>
        <w:tc>
          <w:tcPr>
            <w:tcW w:w="0" w:type="dxa"/>
            <w:vAlign w:val="bottom"/>
          </w:tcPr>
          <w:p>
            <w:pPr>
              <w:spacing w:after="0"/>
              <w:rPr>
                <w:sz w:val="1"/>
                <w:szCs w:val="1"/>
                <w:color w:val="auto"/>
              </w:rPr>
            </w:pPr>
          </w:p>
        </w:tc>
      </w:tr>
      <w:tr>
        <w:trPr>
          <w:trHeight w:val="95"/>
        </w:trPr>
        <w:tc>
          <w:tcPr>
            <w:tcW w:w="7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95"/>
        </w:trPr>
        <w:tc>
          <w:tcPr>
            <w:tcW w:w="7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$1 par value, 200,000,000 shares authorized; 93,546,332 and 77,241,859 shares issued and</w:t>
            </w: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outstanding, respectively, as of June 30, 2022; and 102,415,883 and 85,636,154 shares issued and outstanding,</w:t>
            </w:r>
          </w:p>
        </w:tc>
        <w:tc>
          <w:tcPr>
            <w:tcW w:w="2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 as of December 31, 2021</w:t>
            </w:r>
          </w:p>
        </w:tc>
        <w:tc>
          <w:tcPr>
            <w:tcW w:w="2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Treasury stock, 16,304,473 shares and 16,779,729 shares, at cost as of June 30, 2022, and December 31, 2021,</w:t>
            </w:r>
          </w:p>
        </w:tc>
        <w:tc>
          <w:tcPr>
            <w:tcW w:w="2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1,235</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2,194</w:t>
            </w:r>
          </w:p>
        </w:tc>
        <w:tc>
          <w:tcPr>
            <w:tcW w:w="0" w:type="dxa"/>
            <w:vAlign w:val="bottom"/>
          </w:tcPr>
          <w:p>
            <w:pPr>
              <w:spacing w:after="0"/>
              <w:rPr>
                <w:sz w:val="1"/>
                <w:szCs w:val="1"/>
                <w:color w:val="auto"/>
              </w:rPr>
            </w:pPr>
          </w:p>
        </w:tc>
      </w:tr>
      <w:tr>
        <w:trPr>
          <w:trHeight w:val="22"/>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r>
      <w:tr>
        <w:trPr>
          <w:trHeight w:val="211"/>
        </w:trPr>
        <w:tc>
          <w:tcPr>
            <w:tcW w:w="75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r>
      <w:tr>
        <w:trPr>
          <w:trHeight w:val="19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Pr>
          <w:p>
            <w:pPr>
              <w:spacing w:after="0"/>
              <w:rPr>
                <w:sz w:val="18"/>
                <w:szCs w:val="18"/>
                <w:color w:val="auto"/>
              </w:rPr>
            </w:pP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net income:</w:t>
            </w: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joint ventures</w:t>
            </w: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taxes</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early debt extinguishment</w:t>
            </w:r>
          </w:p>
        </w:tc>
        <w:tc>
          <w:tcPr>
            <w:tcW w:w="12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adjustments, net</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 (net of acquisitions and divestitures):</w:t>
            </w: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Receivables</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0"/>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payable, net of receivables</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operating activities</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908</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772</w:t>
            </w:r>
          </w:p>
        </w:tc>
      </w:tr>
      <w:tr>
        <w:trPr>
          <w:trHeight w:val="194"/>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18"/>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additions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business divestiture</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investing activities</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w:t>
            </w:r>
          </w:p>
        </w:tc>
      </w:tr>
      <w:tr>
        <w:trPr>
          <w:trHeight w:val="197"/>
        </w:trPr>
        <w:tc>
          <w:tcPr>
            <w:tcW w:w="2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Borrowing of long-term debt</w:t>
            </w:r>
          </w:p>
        </w:tc>
        <w:tc>
          <w:tcPr>
            <w:tcW w:w="7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long-term debt, including redemption premium</w:t>
            </w:r>
          </w:p>
        </w:tc>
        <w:tc>
          <w:tcPr>
            <w:tcW w:w="7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stock</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213"/>
        </w:trPr>
        <w:tc>
          <w:tcPr>
            <w:tcW w:w="2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tc>
        <w:tc>
          <w:tcPr>
            <w:tcW w:w="7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(626)</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(642)</w:t>
            </w:r>
          </w:p>
        </w:tc>
      </w:tr>
      <w:tr>
        <w:trPr>
          <w:trHeight w:val="207"/>
        </w:trPr>
        <w:tc>
          <w:tcPr>
            <w:tcW w:w="20" w:type="dxa"/>
            <w:vAlign w:val="bottom"/>
            <w:tcBorders>
              <w:bottom w:val="single" w:sz="8" w:color="CCEEFF"/>
            </w:tcBorders>
          </w:tcPr>
          <w:p>
            <w:pPr>
              <w:spacing w:after="0"/>
              <w:rPr>
                <w:sz w:val="17"/>
                <w:szCs w:val="17"/>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EFFECT OF EXCHANGE RATE ON CASH, CASH EQUIVALENTS, AND RESTRICTED CASH</w:t>
            </w:r>
          </w:p>
        </w:tc>
        <w:tc>
          <w:tcPr>
            <w:tcW w:w="7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3"/>
        </w:trPr>
        <w:tc>
          <w:tcPr>
            <w:tcW w:w="2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5"/>
        </w:trPr>
        <w:tc>
          <w:tcPr>
            <w:tcW w:w="20" w:type="dxa"/>
            <w:vAlign w:val="bottom"/>
            <w:shd w:val="clear" w:color="auto" w:fill="CCEEFF"/>
          </w:tcPr>
          <w:p>
            <w:pPr>
              <w:spacing w:after="0"/>
              <w:rPr>
                <w:sz w:val="15"/>
                <w:szCs w:val="15"/>
                <w:color w:val="auto"/>
              </w:rPr>
            </w:pPr>
          </w:p>
        </w:tc>
        <w:tc>
          <w:tcPr>
            <w:tcW w:w="75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7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auto"/>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paid for income taxes, net of cash received</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 net of cash received</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0"/>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Unpaid capital expenditures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 and share amounts 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5"/>
                <w:szCs w:val="5"/>
                <w:color w:val="auto"/>
              </w:rPr>
            </w:pPr>
          </w:p>
        </w:tc>
        <w:tc>
          <w:tcPr>
            <w:tcW w:w="98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5"/>
                <w:szCs w:val="5"/>
                <w:color w:val="auto"/>
              </w:rPr>
            </w:pPr>
          </w:p>
        </w:tc>
        <w:tc>
          <w:tcPr>
            <w:tcW w:w="136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060" w:type="dxa"/>
            <w:vAlign w:val="bottom"/>
            <w:vMerge w:val="restart"/>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7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4"/>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1,235</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($0.22 per share)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shares under stock plans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Compensation expense associated with</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1,613</w:t>
            </w: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attributed to LP</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($0.22 per share)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shares under stock plans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Compensation expense associated with</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1,484</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5"/>
                <w:szCs w:val="5"/>
                <w:color w:val="auto"/>
              </w:rPr>
            </w:pPr>
          </w:p>
        </w:tc>
        <w:tc>
          <w:tcPr>
            <w:tcW w:w="100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5"/>
                <w:szCs w:val="5"/>
                <w:color w:val="auto"/>
              </w:rPr>
            </w:pPr>
          </w:p>
        </w:tc>
        <w:tc>
          <w:tcPr>
            <w:tcW w:w="1360" w:type="dxa"/>
            <w:vAlign w:val="bottom"/>
            <w:gridSpan w:val="2"/>
            <w:vMerge w:val="restart"/>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00" w:type="dxa"/>
            <w:vAlign w:val="bottom"/>
            <w:vMerge w:val="restart"/>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6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4"/>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1,234</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Dividends paid ($0.16 per share)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shares under stock plans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80"/>
              <w:spacing w:after="0" w:line="165" w:lineRule="exact"/>
              <w:rPr>
                <w:sz w:val="20"/>
                <w:szCs w:val="20"/>
                <w:color w:val="auto"/>
              </w:rPr>
            </w:pPr>
            <w:r>
              <w:rPr>
                <w:rFonts w:ascii="Times New Roman" w:cs="Times New Roman" w:eastAsia="Times New Roman" w:hAnsi="Times New Roman"/>
                <w:sz w:val="16"/>
                <w:szCs w:val="16"/>
                <w:color w:val="auto"/>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Compensation expense associated</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with stock-based compensation</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March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1,404</w:t>
            </w:r>
          </w:p>
        </w:tc>
        <w:tc>
          <w:tcPr>
            <w:tcW w:w="0" w:type="dxa"/>
            <w:vAlign w:val="bottom"/>
          </w:tcPr>
          <w:p>
            <w:pPr>
              <w:spacing w:after="0"/>
              <w:rPr>
                <w:sz w:val="1"/>
                <w:szCs w:val="1"/>
                <w:color w:val="auto"/>
              </w:rPr>
            </w:pPr>
          </w:p>
        </w:tc>
      </w:tr>
      <w:tr>
        <w:trPr>
          <w:trHeight w:val="22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Dividends paid ($0.16 per share)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shares under stock plans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162"/>
        </w:trPr>
        <w:tc>
          <w:tcPr>
            <w:tcW w:w="268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Compensation expense associated</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 stock-based compensation</w:t>
            </w: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8"/>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June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72" w:right="359" w:bottom="1440" w:gutter="0" w:footer="0" w:header="0"/>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FOR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and reliability. The Company operates 22 plants in our continuing operations across the U.S., Canada, Chile, and Brazil through foreign subsidiaries, and it operates facilities through joint ventures. The principal customers for our building solutions are retailers, wholesalers, and homebuilding and industrial businesses in North America and South America, with limited sales to Asia, Australia, and Europe. References to "LP," the "Company," "we," "our," and "us" refer to Louisiana-Pacific Corporation and its consolidated subsidiaries as a whole.</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2022, LP and one of its wholly-owned subsidiaries entered into an asset purchase agreement with Pacific Woodtech Corporation, a Washington corporation, and Pacific Woodtech Canada Holdings Limited, a British Columbia limited company (collectively, the Purchaser). Pursuant to the terms and conditions of the asset purchase agreement, LP agreed to sell to the Purchaser the assets related to its Engineered Wood Products (EWP) segment in exchange for the Purchaser’s payment to the Company of $210 million in cash, subject to certain purchase price adjustments, and the Purchaser’s assumption of certain liabilities of the EWP segment. On August 1, 2022, the Company completed the sale of the EWP assets to the Purchaser. Upon closing, the Company entered into a transition services agreement with the Purchaser, pursuant to which the Company agreed to support the various activities of the EWP segment for a period not to exceed eight months.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we have classified the related assets and liabilities associated with the EWP segment as held for sale in our Condensed Consolidated Balance Sheets. The results of our EWP segment have been presented as discontinued operations in our Condensed Consolidated Statements of Income for all periods presented. See Note 7 –Discontinued Operations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for interim financial information. Accordingly, they do not include all the information and footnotes required by U.S. GAAP for complete consolidated financial statements. In the opinion of management, all adjustments considered necessary for a fair presentation have been included and are of a normal and recurring nature. These Condensed Consolidated Financial Statements and related Notes should be read in conjunction with our annual report on Form 10-K for the fiscal year ended December 31, 2021, filed with the SEC on February 22, 2022 (2021 Annual Report on Form 10-K). Results of operations for interim periods are not necessarily indicative of results to be expected for an entire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reportable segment revenues, disaggregated by revenue source. We disaggregate revenue from contracts with customers into major product lines. We have determined that disaggregating revenue into these categories achieves the disclosure objective to depict how the nature, amount, timing, and uncertainty of revenue and cash flows are affected by economic factors.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in the segment reporting information in Note 17 below, our reportable segments are Siding, Oriented Strand Board (OSB), and South America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24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40" w:type="dxa"/>
            <w:vAlign w:val="bottom"/>
          </w:tcPr>
          <w:p>
            <w:pPr>
              <w:spacing w:after="0"/>
              <w:rPr>
                <w:sz w:val="20"/>
                <w:szCs w:val="20"/>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19"/>
        </w:trPr>
        <w:tc>
          <w:tcPr>
            <w:tcW w:w="20" w:type="dxa"/>
            <w:vAlign w:val="bottom"/>
            <w:shd w:val="clear" w:color="auto" w:fill="CCEEFF"/>
          </w:tcPr>
          <w:p>
            <w:pPr>
              <w:spacing w:after="0"/>
              <w:rPr>
                <w:sz w:val="19"/>
                <w:szCs w:val="19"/>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07"/>
        </w:trPr>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r>
      <w:tr>
        <w:trPr>
          <w:trHeight w:val="158"/>
        </w:trPr>
        <w:tc>
          <w:tcPr>
            <w:tcW w:w="2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53"/>
        </w:trPr>
        <w:tc>
          <w:tcPr>
            <w:tcW w:w="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6"/>
        </w:trPr>
        <w:tc>
          <w:tcPr>
            <w:tcW w:w="280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24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40" w:type="dxa"/>
            <w:vAlign w:val="bottom"/>
          </w:tcPr>
          <w:p>
            <w:pPr>
              <w:spacing w:after="0"/>
              <w:rPr>
                <w:sz w:val="20"/>
                <w:szCs w:val="20"/>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9"/>
        </w:trPr>
        <w:tc>
          <w:tcPr>
            <w:tcW w:w="20" w:type="dxa"/>
            <w:vAlign w:val="bottom"/>
            <w:shd w:val="clear" w:color="auto" w:fill="CCEEFF"/>
          </w:tcPr>
          <w:p>
            <w:pPr>
              <w:spacing w:after="0"/>
              <w:rPr>
                <w:sz w:val="19"/>
                <w:szCs w:val="19"/>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07"/>
        </w:trPr>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158"/>
        </w:trPr>
        <w:tc>
          <w:tcPr>
            <w:tcW w:w="2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53"/>
        </w:trPr>
        <w:tc>
          <w:tcPr>
            <w:tcW w:w="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5"/>
        </w:trPr>
        <w:tc>
          <w:tcPr>
            <w:tcW w:w="280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11" w:name="page12"/>
    <w:bookmarkEnd w:id="11"/>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4"/>
        </w:trPr>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r>
      <w:tr>
        <w:trPr>
          <w:trHeight w:val="219"/>
        </w:trPr>
        <w:tc>
          <w:tcPr>
            <w:tcW w:w="20" w:type="dxa"/>
            <w:vAlign w:val="bottom"/>
            <w:shd w:val="clear" w:color="auto" w:fill="CCEEFF"/>
          </w:tcPr>
          <w:p>
            <w:pPr>
              <w:spacing w:after="0"/>
              <w:rPr>
                <w:sz w:val="19"/>
                <w:szCs w:val="19"/>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r>
      <w:tr>
        <w:trPr>
          <w:trHeight w:val="207"/>
        </w:trPr>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w:t>
            </w:r>
          </w:p>
        </w:tc>
      </w:tr>
      <w:tr>
        <w:trPr>
          <w:trHeight w:val="158"/>
        </w:trPr>
        <w:tc>
          <w:tcPr>
            <w:tcW w:w="2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w w:val="98"/>
              </w:rPr>
              <w:t>Other</w:t>
            </w:r>
          </w:p>
        </w:tc>
        <w:tc>
          <w:tcPr>
            <w:tcW w:w="24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3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55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3"/>
        </w:trPr>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19"/>
        </w:trPr>
        <w:tc>
          <w:tcPr>
            <w:tcW w:w="20" w:type="dxa"/>
            <w:vAlign w:val="bottom"/>
            <w:shd w:val="clear" w:color="auto" w:fill="CCEEFF"/>
          </w:tcPr>
          <w:p>
            <w:pPr>
              <w:spacing w:after="0"/>
              <w:rPr>
                <w:sz w:val="19"/>
                <w:szCs w:val="19"/>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07"/>
        </w:trPr>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158"/>
        </w:trPr>
        <w:tc>
          <w:tcPr>
            <w:tcW w:w="2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r>
      <w:tr>
        <w:trPr>
          <w:trHeight w:val="253"/>
        </w:trPr>
        <w:tc>
          <w:tcPr>
            <w:tcW w:w="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5"/>
        </w:trPr>
        <w:tc>
          <w:tcPr>
            <w:tcW w:w="280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when obligations under the terms of a contract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deductions from net sales at the time the program is initiated. These reductions from revenue are recorded at the time of sale or the implementation of the program based on management’s best estimates. Estimates are based on historical and projected experience for each type of program or customer. Volume allowances are accrued based on management’s estimates of customer volume achievement and other factors incorporated into customer agreements, such as new product purchases, store sell-through, and merchandising support. Management adjusts accruals when circumstances indicate (typically as a result of a change in volume expectations).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is based upon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(SSARs), restricted stock units, and performance stock units) be excluded from the calculation of diluted earnings per share for the periods in which losses are reported because the effect is anti-dilutive.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(dollar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6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Pr>
          <w:p>
            <w:pPr>
              <w:spacing w:after="0"/>
              <w:rPr>
                <w:sz w:val="18"/>
                <w:szCs w:val="18"/>
                <w:color w:val="auto"/>
              </w:rPr>
            </w:pPr>
          </w:p>
        </w:tc>
        <w:tc>
          <w:tcPr>
            <w:tcW w:w="10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8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1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attributed to LP</w:t>
            </w:r>
          </w:p>
        </w:tc>
        <w:tc>
          <w:tcPr>
            <w:tcW w:w="1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for discontinued operations, net of income taxes</w:t>
            </w: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498</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Dilutive effect of employee stock plans</w:t>
            </w:r>
          </w:p>
        </w:tc>
        <w:tc>
          <w:tcPr>
            <w:tcW w:w="1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6"/>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Shares used for diluted earnings per share</w:t>
            </w: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attributed to LP per share - basic:</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8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8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attributed to LP per share - basic</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BFE4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BFE4FF"/>
              <w:bottom w:val="single" w:sz="8" w:color="auto"/>
            </w:tcBorders>
          </w:tcPr>
          <w:p>
            <w:pPr>
              <w:spacing w:after="0" w:line="20" w:lineRule="exact"/>
              <w:rPr>
                <w:sz w:val="1"/>
                <w:szCs w:val="1"/>
                <w:color w:val="auto"/>
              </w:rPr>
            </w:pPr>
          </w:p>
        </w:tc>
        <w:tc>
          <w:tcPr>
            <w:tcW w:w="4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attributed to LP per share – diluted:</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8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attributed to LP per share - diluted</w:t>
            </w: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Trading securities consist of rabbi trust financial assets, which are recorded in Other assets in our Condensed Consolidated Balance Sheets. The assets of the rabbi trust are invested in mutual funds and are reported at fair value based on active market quotations, which represent Level 1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3.625% Senior Notes due in 2029 (2029 Senior Notes) was estimated to be $279 million and $358 million as of June 30, 2022, and December 31, 2021, respectively, based on market quotations. The 2029 Senior Notes and other long-term debt are categorized as Level 1 in the U.S. GAAP fair value hierarchy. Fair values are based on trading activity among the Company’s lenders and the average bid and ask price as determined using published rates.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amounts borrowed under our Amended Credit Facility (defined below) as of June 30, 2022.</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Carrying amounts reported on the balance sheet for cash and cash equivalents, accounts receivables, and accounts payable approximate fair value due to the short-term maturity of these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RECEIVABLES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consisted of the following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64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4"/>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40" w:type="dxa"/>
            <w:vAlign w:val="bottom"/>
            <w:tcBorders>
              <w:bottom w:val="single" w:sz="8" w:color="auto"/>
            </w:tcBorders>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Trade receivables are primarily generated by sales of our products to our wholesale and retail customers. Other receivables as of June 30, 2022, and December 31, 2021, primarily consist of sales tax receivables, vendor rebates, and other miscellaneous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Inventory cost includes materials, labor, and operating overhead. The major types of inventories (work in process is not material and is included in Semi-finished inventory) are as follows (dollar amounts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Logs</w:t>
            </w:r>
          </w:p>
        </w:tc>
        <w:tc>
          <w:tcPr>
            <w:tcW w:w="164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raw materials</w:t>
            </w:r>
          </w:p>
        </w:tc>
        <w:tc>
          <w:tcPr>
            <w:tcW w:w="1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Semi-finished inventory</w:t>
            </w: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34"/>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40" w:type="dxa"/>
            <w:vAlign w:val="bottom"/>
            <w:tcBorders>
              <w:bottom w:val="single" w:sz="8" w:color="auto"/>
            </w:tcBorders>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Wood Products (EWP)</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2022, LP and one of its wholly-owned subsidiaries entered into an asset purchase agreement with the Purchaser. Pursuant to the terms and conditions of the asset purchase agreement, the Company agreed to sell to the Purchaser the assets related to the EWP segment in exchange for the Purchaser’s payment to the Company of $210 million in cash, subject to certain purchase price adjustments, and the Purchaser’s assumption of certain liabilities of the EWP segment. On August 1, 2022, the Company completed the sale of the EWP assets to the Purchaser. As a result of the sale, the Company received $210 million, subject to post-closing adjustments, and we anticipate recognizing a pre-tax gain on the sale of between $120 million to $125 million in the third quarter. Upon closing, the Company entered into a transition services agreement with the Purchaser, pursuant to which the Company agreed to support the various activities of the EWP segment for a period not to exceed eight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classified the results of its EWP segment as discontinued operations in its Condensed Consolidated Statements of Income for all periods presented. As of June 30, 2022, and December 31, 2021, we have classified the related assets and liabilities associated with our EWP segment as discontinued operations held for sale in our Condensed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EWP Joint Ventures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we sold our 50% equity interest in two joint ventures that produce I-joists to Resolute Forest Products Inc. (Resolute) for $59 million. The total net carrying value of our equity method investment at the date of sale was $19 million, and we recognized a gain associated with the sale of $39 million within Income from discontinued operations in the Condensed Consolidated Statements of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financial results of the EWP segment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6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w:t>
            </w:r>
          </w:p>
        </w:tc>
      </w:tr>
      <w:tr>
        <w:trPr>
          <w:trHeight w:val="213"/>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Cost of sales</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12"/>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 of discontinued operations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r>
      <w:tr>
        <w:trPr>
          <w:trHeight w:val="213"/>
        </w:trPr>
        <w:tc>
          <w:tcPr>
            <w:tcW w:w="4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0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disposal before income taxes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8"/>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before income taxes</w:t>
            </w: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r>
      <w:tr>
        <w:trPr>
          <w:trHeight w:val="218"/>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8"/>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income taxes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r>
      <w:tr>
        <w:trPr>
          <w:trHeight w:val="22"/>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total cash provided by operations and total cash used for investing activities related to the EWP segment and included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six months ended June 30, 2022 and 2021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996"/>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6"/>
        </w:trPr>
        <w:tc>
          <w:tcPr>
            <w:tcW w:w="7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discontinued operating activities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discontinued investing activities</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provided by discontinued investing activities for the six months ended June 30, 2022, includes $59 million of proceeds from the sale of our 50% equity interest in two joint ventures that produce I-joists.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carrying amounts of discontinued operations related to the EWP segment in the Condensed Consolidated Balance Sheets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amounts of assets included as part of discontinued operations:</w:t>
            </w:r>
          </w:p>
        </w:tc>
        <w:tc>
          <w:tcPr>
            <w:tcW w:w="1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Timber and timberlands</w:t>
            </w:r>
          </w:p>
        </w:tc>
        <w:tc>
          <w:tcPr>
            <w:tcW w:w="1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5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assets</w:t>
            </w:r>
          </w:p>
        </w:tc>
        <w:tc>
          <w:tcPr>
            <w:tcW w:w="1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Investments in and advances to affiliates</w:t>
            </w:r>
          </w:p>
        </w:tc>
        <w:tc>
          <w:tcPr>
            <w:tcW w:w="1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8"/>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classified as discontinued operations in the condensed consolidated balance sheet</w:t>
            </w:r>
          </w:p>
        </w:tc>
        <w:tc>
          <w:tcPr>
            <w:tcW w:w="1560" w:type="dxa"/>
            <w:vAlign w:val="bottom"/>
            <w:tcBorders>
              <w:top w:val="single" w:sz="8" w:color="auto"/>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5"/>
        </w:trPr>
        <w:tc>
          <w:tcPr>
            <w:tcW w:w="7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amounts of liabilities included as part of discontinued operations:</w:t>
            </w: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8"/>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36"/>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classified as discontinued operations in the condensed consolidated balance sheet</w:t>
            </w: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OTHER INTANGIBLES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goodwill and other intangible assets for the six months ended June 30, 2022, are provided in the following table (dollar amounts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Timber licenses</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6"/>
                <w:szCs w:val="16"/>
                <w:color w:val="auto"/>
              </w:rPr>
            </w:pPr>
          </w:p>
        </w:tc>
        <w:tc>
          <w:tcPr>
            <w:tcW w:w="10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20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Developed</w:t>
            </w:r>
          </w:p>
        </w:tc>
        <w:tc>
          <w:tcPr>
            <w:tcW w:w="200" w:type="dxa"/>
            <w:vAlign w:val="bottom"/>
          </w:tcPr>
          <w:p>
            <w:pPr>
              <w:spacing w:after="0"/>
              <w:rPr>
                <w:sz w:val="16"/>
                <w:szCs w:val="16"/>
                <w:color w:val="auto"/>
              </w:rPr>
            </w:pPr>
          </w:p>
        </w:tc>
        <w:tc>
          <w:tcPr>
            <w:tcW w:w="12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Trademarks</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Technology</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December 31, 2021</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June 30, 2022</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Timber licenses are included in Timber and timberlands on the Condensed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REDEEMABLE NONCONTROLLING INTEREST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Redeemable noncontrolling interest is interest in subsidiaries that is redeemable outside of our control, either for cash or other assets. These interests are classified as mezzanine equity and measured at the greater of estimated redemption value or carrying value at the end of each reporting period. Net loss attributed to noncontrolling interest is recorded in the Condensed Consolidated Statements of Income. Any adjustments to the redemption value of redeemable noncontrolling interest are recognized in either net income or through accumulated paid-in capital, depending on the nature of the underlying security (preferred or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components of redeemable noncontrolling interest as of June 30, 2022, were as follows (dollar amounts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December 31, 2021</w:t>
            </w:r>
          </w:p>
        </w:tc>
        <w:tc>
          <w:tcPr>
            <w:tcW w:w="1440" w:type="dxa"/>
            <w:vAlign w:val="bottom"/>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center"/>
              <w:ind w:left="1259"/>
              <w:spacing w:after="0"/>
              <w:rPr>
                <w:sz w:val="20"/>
                <w:szCs w:val="20"/>
                <w:color w:val="auto"/>
              </w:rPr>
            </w:pPr>
            <w:r>
              <w:rPr>
                <w:rFonts w:ascii="Times New Roman" w:cs="Times New Roman" w:eastAsia="Times New Roman" w:hAnsi="Times New Roman"/>
                <w:sz w:val="16"/>
                <w:szCs w:val="16"/>
                <w:color w:val="auto"/>
                <w:w w:val="99"/>
              </w:rPr>
              <w:t>4</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1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left="1219"/>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June 30, 2022</w:t>
            </w:r>
          </w:p>
        </w:tc>
        <w:tc>
          <w:tcPr>
            <w:tcW w:w="1440" w:type="dxa"/>
            <w:vAlign w:val="bottom"/>
            <w:tcBorders>
              <w:bottom w:val="single" w:sz="8" w:color="auto"/>
            </w:tcBorders>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center"/>
              <w:ind w:left="1259"/>
              <w:spacing w:after="0"/>
              <w:rPr>
                <w:sz w:val="20"/>
                <w:szCs w:val="20"/>
                <w:color w:val="auto"/>
              </w:rPr>
            </w:pPr>
            <w:r>
              <w:rPr>
                <w:rFonts w:ascii="Times New Roman" w:cs="Times New Roman" w:eastAsia="Times New Roman" w:hAnsi="Times New Roman"/>
                <w:sz w:val="16"/>
                <w:szCs w:val="16"/>
                <w:color w:val="auto"/>
                <w:w w:val="99"/>
              </w:rPr>
              <w:t>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interim periods, we recognize income tax expense by applying the estimated annual effective income tax rate to year-to-date results unless this method does not result in a reliable estimate of year-to-date income tax expense. Each period, the income tax accrual is adjusted to the latest estimate, and the difference from the previously accrued year-to-date balance is adjusted in the current quarter. Changes in profitability estimates in various jurisdictions will impact our quarterly effective income tax rates.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provision for income taxes from continuing operations for the six months ended June 30, 2022 and 2021, reflected an estimated annual effective tax</w:t>
      </w:r>
    </w:p>
    <w:p>
      <w:pPr>
        <w:spacing w:after="0" w:line="27"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rate of 25% and 24%, respectively, excluding discrete items discussed below. The total effective tax rate for continuing operations for the three and six months ended June 30, 2022, was 25% and 24%, compared to 23% for the comparable periods in 2021,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net discrete tax benefit of $9 million in both the six months ended June 30, 2022 and 2021, with the most significant benefit related to excess tax benefits from stock-based compensation in 2022 and the most significant benefits related to stock-based compensation and adjustments to the prior year, including an adjustment to the deferred tax rate in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reserves for various contingent liabilities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reserves</w:t>
            </w:r>
          </w:p>
        </w:tc>
        <w:tc>
          <w:tcPr>
            <w:tcW w:w="1800" w:type="dxa"/>
            <w:vAlign w:val="bottom"/>
            <w:shd w:val="clear" w:color="auto" w:fill="CCEEFF"/>
          </w:tcPr>
          <w:p>
            <w:pPr>
              <w:jc w:val="right"/>
              <w:ind w:right="1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reserves</w:t>
            </w:r>
          </w:p>
        </w:tc>
        <w:tc>
          <w:tcPr>
            <w:tcW w:w="180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contingencies</w:t>
            </w:r>
          </w:p>
        </w:tc>
        <w:tc>
          <w:tcPr>
            <w:tcW w:w="1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portion (included in Accounts payable and accrued liabilities)</w:t>
            </w:r>
          </w:p>
        </w:tc>
        <w:tc>
          <w:tcPr>
            <w:tcW w:w="1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6"/>
                <w:szCs w:val="16"/>
                <w:color w:val="auto"/>
              </w:rPr>
              <w:t>(1)</w:t>
            </w:r>
          </w:p>
        </w:tc>
      </w:tr>
      <w:tr>
        <w:trPr>
          <w:trHeight w:val="234"/>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portion</w:t>
            </w:r>
          </w:p>
        </w:tc>
        <w:tc>
          <w:tcPr>
            <w:tcW w:w="1800" w:type="dxa"/>
            <w:vAlign w:val="bottom"/>
            <w:tcBorders>
              <w:bottom w:val="single" w:sz="8" w:color="auto"/>
            </w:tcBorders>
            <w:shd w:val="clear" w:color="auto" w:fill="CCEEFF"/>
          </w:tcPr>
          <w:p>
            <w:pPr>
              <w:jc w:val="right"/>
              <w:ind w:right="1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considering the particular facts and circumstances surrounding each environmental loss contingency. These estimates typically reflect assumptions and judgments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and our subsidiaries are parties to certain legal proceedings. Based on the information currently available, management believes the resolution of such proceedings will not have a material effect on our financial position, results of operations, cash flows,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IMPAIRMENT OF 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the carrying values of our long-lived assets for potential impairments and believe we have adequate support for the carrying values of our long-lived assets.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June 30, 2022, there were no indications of impairment.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PRODUCT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warranties on the sale of most of our products and record an accrual for estimated future claims. Such accruals are based upon historical experience and management’s estimate of the level of future claims. The activity in warranty reserves for the three and six months ended June 30, 2022 and 2021, is summarized in the following table (dollar amounts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to expense</w:t>
            </w:r>
          </w:p>
        </w:tc>
        <w:tc>
          <w:tcPr>
            <w:tcW w:w="1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made</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warranty reserves</w:t>
            </w:r>
          </w:p>
        </w:tc>
        <w:tc>
          <w:tcPr>
            <w:tcW w:w="10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left="819"/>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left="819"/>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165"/>
        </w:trPr>
        <w:tc>
          <w:tcPr>
            <w:tcW w:w="51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Current portion of warranty reserves (included in Accounts payable and</w:t>
            </w:r>
          </w:p>
        </w:tc>
        <w:tc>
          <w:tcPr>
            <w:tcW w:w="104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160" w:type="dxa"/>
            <w:vAlign w:val="bottom"/>
          </w:tcPr>
          <w:p>
            <w:pPr>
              <w:ind w:left="360"/>
              <w:spacing w:after="0" w:line="142" w:lineRule="exact"/>
              <w:rPr>
                <w:sz w:val="20"/>
                <w:szCs w:val="20"/>
                <w:color w:val="auto"/>
              </w:rPr>
            </w:pPr>
            <w:r>
              <w:rPr>
                <w:rFonts w:ascii="Times New Roman" w:cs="Times New Roman" w:eastAsia="Times New Roman" w:hAnsi="Times New Roman"/>
                <w:sz w:val="16"/>
                <w:szCs w:val="16"/>
                <w:color w:val="auto"/>
              </w:rPr>
              <w:t>Long-term portion of warranty reserves (included in Other long-term</w:t>
            </w:r>
          </w:p>
        </w:tc>
        <w:tc>
          <w:tcPr>
            <w:tcW w:w="1040" w:type="dxa"/>
            <w:vAlign w:val="bottom"/>
            <w:vMerge w:val="restart"/>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2"/>
                <w:szCs w:val="12"/>
                <w:color w:val="auto"/>
              </w:rPr>
            </w:pPr>
          </w:p>
        </w:tc>
        <w:tc>
          <w:tcPr>
            <w:tcW w:w="1100" w:type="dxa"/>
            <w:vAlign w:val="bottom"/>
            <w:vMerge w:val="restart"/>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center"/>
              <w:ind w:left="81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2"/>
                <w:szCs w:val="12"/>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center"/>
              <w:ind w:left="819"/>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194"/>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liabilities)</w:t>
            </w:r>
          </w:p>
        </w:tc>
        <w:tc>
          <w:tcPr>
            <w:tcW w:w="10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monitor warranty and other claims associated with our products and believe, as of June 30, 2022, that the warranty reserve balances associated with these matters are adequate to cover future warranty payments. However, it is possible that additional changes may be required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DEFINED BENEFIT PENSION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periodic pension cost for our defined benefit pension and postretirement plans during the three and six months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ended</w:t>
            </w:r>
          </w:p>
        </w:tc>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w:t>
            </w:r>
          </w:p>
        </w:tc>
        <w:tc>
          <w:tcPr>
            <w:tcW w:w="9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(dollar</w:t>
            </w:r>
          </w:p>
        </w:tc>
        <w:tc>
          <w:tcPr>
            <w:tcW w:w="340" w:type="dxa"/>
            <w:vAlign w:val="bottom"/>
          </w:tcPr>
          <w:p>
            <w:pPr>
              <w:spacing w:after="0"/>
              <w:rPr>
                <w:sz w:val="20"/>
                <w:szCs w:val="20"/>
                <w:color w:val="auto"/>
              </w:rPr>
            </w:pPr>
          </w:p>
        </w:tc>
        <w:tc>
          <w:tcPr>
            <w:tcW w:w="116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w w:val="98"/>
              </w:rPr>
              <w:t>amounts</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millions):</w:t>
            </w:r>
          </w:p>
        </w:tc>
      </w:tr>
      <w:tr>
        <w:trPr>
          <w:trHeight w:val="222"/>
        </w:trPr>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40" w:type="dxa"/>
            <w:vAlign w:val="bottom"/>
            <w:tcBorders>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Borders>
              <w:bottom w:val="single" w:sz="8" w:color="auto"/>
            </w:tcBorders>
            <w:gridSpan w:val="5"/>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1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7"/>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330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components of net periodic pension cost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Amortization of net loss</w:t>
            </w:r>
          </w:p>
        </w:tc>
        <w:tc>
          <w:tcPr>
            <w:tcW w:w="9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6"/>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pension cost</w:t>
            </w:r>
          </w:p>
        </w:tc>
        <w:tc>
          <w:tcPr>
            <w:tcW w:w="9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7"/>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gridSpan w:val="2"/>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Other components of net periodic pension cost are included in Other non-operating items on our Condensed Consolidated Statements of Income.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2021, the Company initiated the termination of our frozen U.S. and Canadian defined benefit pension plans (collectively, the Plan), which would result in the full settlement of the Company's Plan obligations. The distribution of Plan assets pursuant to the termination will not be made until the Plan termination satisfies all regulatory requirements, which is expected to occur by the end of 2022. Plan participants will receive their full accrued benefits from Plan assets by electing either lump-sum distributions or annuity contracts with a qualifying third-party annuity provider. The Plan termination is expected to result in pension settlement expense in 2022, which will be determined based on prevailing market conditions, the actual lump-sum distributions, and annuity purchase rates at the date of distribution. As a result, we are currently unable to reasonably estimate the timing or final amount of such settlement charges. Upon settlement, we expect to recognize pre-tax pension settlement charges that will include (1) a non-cash charge for the recognition of all pre-tax actuarial losses accumulated in Accumulated other comprehensive loss ($98 million as of June 30, 2022) and (2) any cash contributions to settle the Plan’s obligations ($8 million net projected benefit obligation as of June 30, 2022). The actual amount of the settlement charges and any potential cash contribution will depend on various factors, including interest rates, Plan asset returns, and the lump-sum election rate.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ACCUMULATED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comprehensive loss is provided in the following table for the three months ended June 30, 2022 and 2021 (dollar amounts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00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Reclassified to income statement, net of taxes</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54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100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Reclassified to income statement, net of taxes</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comprehensive loss is provided in the following table for the six months ended June 30, 2022 and 2021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6"/>
                <w:szCs w:val="16"/>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00" w:type="dxa"/>
            <w:vAlign w:val="bottom"/>
          </w:tcPr>
          <w:p>
            <w:pPr>
              <w:spacing w:after="0"/>
              <w:rPr>
                <w:sz w:val="16"/>
                <w:szCs w:val="16"/>
                <w:color w:val="auto"/>
              </w:rPr>
            </w:pPr>
          </w:p>
        </w:tc>
        <w:tc>
          <w:tcPr>
            <w:tcW w:w="106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00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Reclassified to income statement, net of taxes</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4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24"/>
                <w:szCs w:val="24"/>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00" w:type="dxa"/>
            <w:vAlign w:val="bottom"/>
          </w:tcPr>
          <w:p>
            <w:pPr>
              <w:spacing w:after="0"/>
              <w:rPr>
                <w:sz w:val="24"/>
                <w:szCs w:val="24"/>
                <w:color w:val="auto"/>
              </w:rPr>
            </w:pPr>
          </w:p>
        </w:tc>
        <w:tc>
          <w:tcPr>
            <w:tcW w:w="106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100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Reclassified to income statement, net of taxes</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Amounts of actuarial loss and prior service cost are components of net periodic benefit cost.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OPERATING AND NON-OPERATING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credits and charges,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credits and charges, net,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recoveries</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charges</w:t>
            </w:r>
          </w:p>
        </w:tc>
        <w:tc>
          <w:tcPr>
            <w:tcW w:w="10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costs</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credits and charges, net</w:t>
            </w:r>
          </w:p>
        </w:tc>
        <w:tc>
          <w:tcPr>
            <w:tcW w:w="104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non-operating items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80" w:type="dxa"/>
            <w:vAlign w:val="bottom"/>
            <w:tcBorders>
              <w:bottom w:val="single" w:sz="8" w:color="auto"/>
            </w:tcBorders>
          </w:tcPr>
          <w:p>
            <w:pPr>
              <w:spacing w:after="0"/>
              <w:rPr>
                <w:sz w:val="18"/>
                <w:szCs w:val="18"/>
                <w:color w:val="auto"/>
              </w:rPr>
            </w:pPr>
          </w:p>
        </w:tc>
      </w:tr>
      <w:tr>
        <w:trPr>
          <w:trHeight w:val="211"/>
        </w:trPr>
        <w:tc>
          <w:tcPr>
            <w:tcW w:w="53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r>
      <w:tr>
        <w:trPr>
          <w:trHeight w:val="21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pension cost, excluding service cost</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early debt extinguishment</w:t>
            </w:r>
          </w:p>
        </w:tc>
        <w:tc>
          <w:tcPr>
            <w:tcW w:w="1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items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(11)</w:t>
            </w:r>
          </w:p>
        </w:tc>
      </w:tr>
      <w:tr>
        <w:trPr>
          <w:trHeight w:val="20"/>
        </w:trPr>
        <w:tc>
          <w:tcPr>
            <w:tcW w:w="5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SELECTED SEGMENT DATA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three segments: Siding, OSB, and South America. Our business units have been aggregated into these three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 In June 2022, LP reached an agreement for the sale of its EWP segment assets. As a result of this transaction, EWP has been reclassified to discontinued operations and is no longer a reportable segment of the Company. See "Note 7 –Discontinued Operations" for additional information.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business segments based on net sales and Adjusted EBITDA. Accordingly, our chief operating decision maker evaluates performance and allocates resources based primarily on net sales and Adjusted EBITDA for our business segments. Adjusted EBITDA is a non-GAAP financial measure and is defined as income attributed to LP from continuing operations before interest expense, provision for income taxes, depreciation and amortization, and excludes stock-based compensation expense, loss on impairment attributed to LP, product-line discontinuance charges, other operating credits and charges, net, loss on early debt extinguishment, investment income, pension settlement charges, and other non-operating items.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business segments is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5160" w:type="dxa"/>
            <w:vAlign w:val="bottom"/>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Siding</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13"/>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OSB</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r>
      <w:tr>
        <w:trPr>
          <w:trHeight w:val="21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South America</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3"/>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Intersegment sales</w:t>
            </w: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sales</w:t>
            </w: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1,130</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1,168</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2,297</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2,062</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PROFIT BY SEGMENT</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4"/>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497</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868</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817</w:t>
            </w:r>
          </w:p>
        </w:tc>
      </w:tr>
      <w:tr>
        <w:trPr>
          <w:trHeight w:val="21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income taxes</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7"/>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attributed to LP from continuing operations</w:t>
            </w: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early debt extinguishment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items</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1,089</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America</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491</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665</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1,089</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1,119</w:t>
            </w:r>
          </w:p>
        </w:tc>
      </w:tr>
      <w:tr>
        <w:trPr>
          <w:trHeight w:val="20"/>
        </w:trPr>
        <w:tc>
          <w:tcPr>
            <w:tcW w:w="5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on May 3, 2022, LP's Board of Directors authorized a share repurchase plan under which LP was authorized to repurchase shares of LP's common stock totaling up to $600 million (the 2022 Share Repurchase Program). Subsequent to June 30, 2022, through August 8, 2022, we used $197 million to repurchase 3.4 million shares of LP common stock under the 2022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statements that are forward-looking statements that are based on the beliefs of our management, as well as assumptions made by and information currently available to our management. See "Cautionary Statement Regarding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serve these markets, we operate in three segments: Siding, OSB, and South America.</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2022, we sold our 50% equity interest in two joint ventures that produce I-joists to Resolute Forest Products Inc. (Resolute) for $59 million. The joint ventures were comprised of Resolute-LP Engineered Wood Larouche Inc. in Larouche, Quebec, and Resolute-LP Engineered Wood St-Prime Limited Partnership in Saint-Prime, Quebec. The total net carrying value of our equity method investment at the date of sale was $19 million. We recognized a gain on the sale of $39 million during the six months ended June 30, 2022, within Income from discontinued operations in the Condensed Consolidated Statements of Income.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2022, LP and one of its wholly-owned subsidiaries entered into an asset purchase agreement with Pacific Woodtech Corporation, a Washington corporation, and Pacific Woodtech Canada Holdings Limited, a British Columbia limited company (collectively, the Purchaser). Pursuant to the terms and conditions of the asset purchase agreement, LP agreed to sell to the Purchaser the assets related to its Engineered Wood Products (EWP) segment in exchange for the Purchaser’s payment to the Company of $210 million in cash, subject to certain purchase price adjustments, and the Purchaser’s assumption of certain liabilities of the EWP segment. On August 1, 2022, the Company completed the sale of the EWP assets to the Purchaser. Upon closing, the Company entered into a transition services agreement with the Purchaser, pursuant to which the Company agreed to support the various activities of the EWP segment for a period not to exceed eight months.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we have classified the related assets and liabilities associated with the EWP segment as held for sale in our Condensed Consolidated Balance Sheets. The results of our EWP segment have been presented as discontinued operations in our Condensed Consolidated Statements of Income for all periods presented. See "Note 7 – Discontinued Operations" of the Notes to the Condensed Consolidated Financial Statements included in Item 1 of this quarterly report on Form 10-Q for additional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for our Building Products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our products correlates positively with new home construction and repair and remodeling activity in North America, which historically has been characterized by significant cyclicality. The U.S. Department of Census reported on July 19, 2022, that actual single housing starts were 3% lower for the three months ended June 30, 2022, and flat for the six months ended June 30, 2022, as compared to the same periods in 2021. Repair and remodeling activity is difficult to reasonably measure, but many indications, including the increase in LP’s retail sales, suggest that repair and remodeling activity is continuing to grow.</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housing market demand has recently been strong, future economic conditions in the United States and the demand for homes remain uncertain due to inflationary impacts on the economy, including interest rates, employment levels, consumer confidence, and financial markets, among other things. Additionally, we have experienced increases in material prices, supply disruptions, and labor shortages, which will be a challenge as we continue to work to meet the demands of builders, remodelers, and homeowners worldwide. The potential effect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ind w:right="380"/>
        <w:spacing w:after="0" w:line="375" w:lineRule="auto"/>
        <w:rPr>
          <w:sz w:val="20"/>
          <w:szCs w:val="20"/>
          <w:color w:val="auto"/>
        </w:rPr>
      </w:pPr>
      <w:r>
        <w:rPr>
          <w:rFonts w:ascii="Times New Roman" w:cs="Times New Roman" w:eastAsia="Times New Roman" w:hAnsi="Times New Roman"/>
          <w:sz w:val="18"/>
          <w:szCs w:val="18"/>
          <w:color w:val="auto"/>
        </w:rPr>
        <w:t xml:space="preserve">these factors on our future operational and financial performance is uncertain. As a result, our past performance may not be indicative of future results. </w:t>
      </w:r>
      <w:r>
        <w:rPr>
          <w:rFonts w:ascii="Times New Roman" w:cs="Times New Roman" w:eastAsia="Times New Roman" w:hAnsi="Times New Roman"/>
          <w:sz w:val="18"/>
          <w:szCs w:val="18"/>
          <w:i w:val="1"/>
          <w:iCs w:val="1"/>
          <w:color w:val="auto"/>
        </w:rPr>
        <w:t>Supply and Demand for OSB</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 We cannot predict whether the prices of our OSB products will remain at current levels or increase or decrease in the future.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factors affecting our results, refer to the “Overview” within our “Management's Discussion and Analysis of Financial Condition and Results of Operations” section and our “Risk Factors” section contained in our 2021 Annual Report on Form 10-K, and to the “Cautionary Statement Regarding Forward-Looking Statements” section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1 of the Notes to the Condensed Consolidated Financial Statements included in our 2021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application of principles, methods, and assumptions used to determine our significant estimates since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 and Other Key Performance Indicators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income attributed to LP from continuing operations before interest expense, provision for income taxes, depreciation and amortization, and exclude stock-based compensation expense, loss on impairment attributed to LP, product-line discontinuance charges, other operating credits and charges, net, loss on early debt extinguishment, investment income, pension settlement charges, and other non-operating items as Adjusted EBITDA from continuing operations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from continuing operations, excluding loss on impairment attributed to LP, product-line discontinuance charges, interest expense outside of normal operations, other operating credits and charges, net, loss on early debt extinguishment, gain (loss) on acquisition, pension settlement charges, and adjusting for a normalized tax rate as Adjusted Income from continuing operations (Adjusted Income). We also disclose Adjusted Diluted EPS from continuing operations (Adjusted Diluted EPS), calculated as Adjusted Income divided by diluted shares outstanding. We believe that Adjusted Diluted EPS and Adjusted Income are useful measures for evaluating our ability to generate earnings and that providing these measures should allow interested persons to more readily compare the earnings for past and future periods.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Adjusted Income, and Adjusted Diluted EPS are not substitutes for the U.S. GAAP measures of net income and net income per diluted share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6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817</w:t>
            </w: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1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4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from discontinued operations, net of income taxes</w:t>
            </w:r>
          </w:p>
        </w:tc>
        <w:tc>
          <w:tcPr>
            <w:tcW w:w="1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attributed to LP from continuing operations</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early debt extinguishment</w:t>
            </w:r>
          </w:p>
        </w:tc>
        <w:tc>
          <w:tcPr>
            <w:tcW w:w="11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income</w:t>
            </w: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491</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1,119</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Siding</w:t>
            </w: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OSB</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South America</w:t>
            </w: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1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provides the reconciliation of Net income to Adjusted Income (dollar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8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817</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1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4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attributed to LP from continuing operations</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early debt extinguishment</w:t>
            </w:r>
          </w:p>
        </w:tc>
        <w:tc>
          <w:tcPr>
            <w:tcW w:w="1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Reported tax provision</w:t>
            </w: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2"/>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income before tax</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13"/>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Normalized tax provision at 25%</w:t>
            </w: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37"/>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Income</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470</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shares outstanding</w:t>
            </w:r>
          </w:p>
        </w:tc>
        <w:tc>
          <w:tcPr>
            <w:tcW w:w="1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income attributed to LP per share</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4.73</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4.90</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4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Diluted EPS</w:t>
            </w: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4.19</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4.63</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8.96</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7.56</w:t>
            </w:r>
          </w:p>
        </w:tc>
      </w:tr>
      <w:tr>
        <w:trPr>
          <w:trHeight w:val="21"/>
        </w:trPr>
        <w:tc>
          <w:tcPr>
            <w:tcW w:w="4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addition, management monitors certain key performance indicators to evaluate our business performance, which include our Overall Equipment Effectiveness (OEE) and our sales volume relative to housing starts, as provided by reports from the U.S. Department of Census.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set forth: (1) housing starts, (2) our North American sales volume, and (3) OEE. We consider the following items to be key performance indicators because LP’s management uses these metrics to evaluate our business and trends, measure our performance, and make strategic decisions, and believes that the key performance indicators presented provide additional perspective and insights when analyzing the core operating performance of LP. These key performance indicators should not be considered superior to, as a substitute for, or as an alternative to, and should be considered in conjunction with, the U.S. GAAP financial measures presented herein. These measures may not be comparable to similarly-titled performance indicators used by other companies.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housing starts data presented by us may not be comparable to similarly-titled indicators reported by other companies.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29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20" w:type="dxa"/>
            <w:vAlign w:val="bottom"/>
            <w:tcBorders>
              <w:bottom w:val="single" w:sz="8" w:color="auto"/>
            </w:tcBorders>
          </w:tcPr>
          <w:p>
            <w:pPr>
              <w:spacing w:after="0"/>
              <w:rPr>
                <w:sz w:val="18"/>
                <w:szCs w:val="18"/>
                <w:color w:val="auto"/>
              </w:rPr>
            </w:pPr>
          </w:p>
        </w:tc>
      </w:tr>
      <w:tr>
        <w:trPr>
          <w:trHeight w:val="211"/>
        </w:trPr>
        <w:tc>
          <w:tcPr>
            <w:tcW w:w="4740" w:type="dxa"/>
            <w:vAlign w:val="bottom"/>
          </w:tcPr>
          <w:p>
            <w:pPr>
              <w:spacing w:after="0"/>
              <w:rPr>
                <w:sz w:val="18"/>
                <w:szCs w:val="18"/>
                <w:color w:val="auto"/>
              </w:rPr>
            </w:pPr>
          </w:p>
        </w:tc>
        <w:tc>
          <w:tcPr>
            <w:tcW w:w="116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Pr>
          <w:p>
            <w:pPr>
              <w:spacing w:after="0"/>
              <w:rPr>
                <w:sz w:val="18"/>
                <w:szCs w:val="18"/>
                <w:color w:val="auto"/>
              </w:rPr>
            </w:pPr>
          </w:p>
        </w:tc>
      </w:tr>
      <w:tr>
        <w:trPr>
          <w:trHeight w:val="198"/>
        </w:trPr>
        <w:tc>
          <w:tcPr>
            <w:tcW w:w="474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Housing starts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r>
      <w:tr>
        <w:trPr>
          <w:trHeight w:val="21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Single-Family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16"/>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0"/>
        </w:trPr>
        <w:tc>
          <w:tcPr>
            <w:tcW w:w="474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3"/>
        </w:trPr>
        <w:tc>
          <w:tcPr>
            <w:tcW w:w="4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bl>
    <w:p>
      <w:pPr>
        <w:spacing w:after="0" w:line="109" w:lineRule="exact"/>
        <w:rPr>
          <w:sz w:val="20"/>
          <w:szCs w:val="20"/>
          <w:color w:val="auto"/>
        </w:rPr>
      </w:pPr>
    </w:p>
    <w:p>
      <w:pPr>
        <w:ind w:left="100" w:hanging="74"/>
        <w:spacing w:after="0"/>
        <w:tabs>
          <w:tab w:leader="none" w:pos="1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Actual U.S. Housing starts data reported by U.S. Census Bureau as published through July 19,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We monitor sales volumes for our products in our Siding and OSB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volumes differently and, therefore, as presented by us, sales volumes may not be comparable to similarly-titled measures reported by other companies. We believe that sales volumes can be a useful measure for evaluating and understanding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sales volumes for the three and six months ended June 30, 2022 and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gridSpan w:val="10"/>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180" w:type="dxa"/>
            <w:vAlign w:val="bottom"/>
          </w:tcPr>
          <w:p>
            <w:pPr>
              <w:spacing w:after="0"/>
              <w:rPr>
                <w:sz w:val="18"/>
                <w:szCs w:val="18"/>
                <w:color w:val="auto"/>
              </w:rPr>
            </w:pPr>
          </w:p>
        </w:tc>
        <w:tc>
          <w:tcPr>
            <w:tcW w:w="3360" w:type="dxa"/>
            <w:vAlign w:val="bottom"/>
            <w:gridSpan w:val="10"/>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r>
      <w:tr>
        <w:trPr>
          <w:trHeight w:val="175"/>
        </w:trPr>
        <w:tc>
          <w:tcPr>
            <w:tcW w:w="40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Sales Volume</w:t>
            </w: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ind w:right="260"/>
              <w:spacing w:after="0" w:line="175" w:lineRule="exact"/>
              <w:rPr>
                <w:sz w:val="20"/>
                <w:szCs w:val="20"/>
                <w:color w:val="auto"/>
              </w:rPr>
            </w:pPr>
            <w:r>
              <w:rPr>
                <w:rFonts w:ascii="Times New Roman" w:cs="Times New Roman" w:eastAsia="Times New Roman" w:hAnsi="Times New Roman"/>
                <w:sz w:val="16"/>
                <w:szCs w:val="16"/>
                <w:b w:val="1"/>
                <w:bCs w:val="1"/>
                <w:color w:val="auto"/>
                <w:w w:val="96"/>
              </w:rPr>
              <w:t>Siding</w:t>
            </w:r>
          </w:p>
        </w:tc>
        <w:tc>
          <w:tcPr>
            <w:tcW w:w="740" w:type="dxa"/>
            <w:vAlign w:val="bottom"/>
            <w:tcBorders>
              <w:top w:val="single" w:sz="8" w:color="auto"/>
            </w:tcBorders>
            <w:gridSpan w:val="3"/>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OSB</w:t>
            </w:r>
          </w:p>
        </w:tc>
        <w:tc>
          <w:tcPr>
            <w:tcW w:w="1320" w:type="dxa"/>
            <w:vAlign w:val="bottom"/>
            <w:tcBorders>
              <w:top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South America</w:t>
            </w:r>
          </w:p>
        </w:tc>
        <w:tc>
          <w:tcPr>
            <w:tcW w:w="600" w:type="dxa"/>
            <w:vAlign w:val="bottom"/>
            <w:tcBorders>
              <w:top w:val="single" w:sz="8" w:color="auto"/>
            </w:tcBorders>
            <w:gridSpan w:val="2"/>
          </w:tcPr>
          <w:p>
            <w:pPr>
              <w:jc w:val="right"/>
              <w:ind w:right="260"/>
              <w:spacing w:after="0" w:line="175" w:lineRule="exact"/>
              <w:rPr>
                <w:sz w:val="20"/>
                <w:szCs w:val="20"/>
                <w:color w:val="auto"/>
              </w:rPr>
            </w:pPr>
            <w:r>
              <w:rPr>
                <w:rFonts w:ascii="Times New Roman" w:cs="Times New Roman" w:eastAsia="Times New Roman" w:hAnsi="Times New Roman"/>
                <w:sz w:val="16"/>
                <w:szCs w:val="16"/>
                <w:b w:val="1"/>
                <w:bCs w:val="1"/>
                <w:color w:val="auto"/>
                <w:w w:val="87"/>
              </w:rPr>
              <w:t>Total</w:t>
            </w:r>
          </w:p>
        </w:tc>
        <w:tc>
          <w:tcPr>
            <w:tcW w:w="120" w:type="dxa"/>
            <w:vAlign w:val="bottom"/>
          </w:tcPr>
          <w:p>
            <w:pPr>
              <w:spacing w:after="0"/>
              <w:rPr>
                <w:sz w:val="15"/>
                <w:szCs w:val="15"/>
                <w:color w:val="auto"/>
              </w:rPr>
            </w:pPr>
          </w:p>
        </w:tc>
        <w:tc>
          <w:tcPr>
            <w:tcW w:w="1040" w:type="dxa"/>
            <w:vAlign w:val="bottom"/>
            <w:tcBorders>
              <w:top w:val="single" w:sz="8" w:color="auto"/>
            </w:tcBorders>
            <w:gridSpan w:val="3"/>
          </w:tcPr>
          <w:p>
            <w:pPr>
              <w:jc w:val="right"/>
              <w:ind w:right="420"/>
              <w:spacing w:after="0" w:line="175" w:lineRule="exact"/>
              <w:rPr>
                <w:sz w:val="20"/>
                <w:szCs w:val="20"/>
                <w:color w:val="auto"/>
              </w:rPr>
            </w:pPr>
            <w:r>
              <w:rPr>
                <w:rFonts w:ascii="Times New Roman" w:cs="Times New Roman" w:eastAsia="Times New Roman" w:hAnsi="Times New Roman"/>
                <w:sz w:val="16"/>
                <w:szCs w:val="16"/>
                <w:b w:val="1"/>
                <w:bCs w:val="1"/>
                <w:color w:val="auto"/>
              </w:rPr>
              <w:t>Siding</w:t>
            </w:r>
          </w:p>
        </w:tc>
        <w:tc>
          <w:tcPr>
            <w:tcW w:w="540" w:type="dxa"/>
            <w:vAlign w:val="bottom"/>
            <w:tcBorders>
              <w:top w:val="single" w:sz="8" w:color="auto"/>
            </w:tcBorders>
            <w:gridSpan w:val="2"/>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w w:val="93"/>
              </w:rPr>
              <w:t>OSB</w:t>
            </w:r>
          </w:p>
        </w:tc>
        <w:tc>
          <w:tcPr>
            <w:tcW w:w="1220" w:type="dxa"/>
            <w:vAlign w:val="bottom"/>
            <w:tcBorders>
              <w:top w:val="single" w:sz="8" w:color="auto"/>
            </w:tcBorders>
            <w:gridSpan w:val="3"/>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South America</w:t>
            </w:r>
          </w:p>
        </w:tc>
        <w:tc>
          <w:tcPr>
            <w:tcW w:w="740" w:type="dxa"/>
            <w:vAlign w:val="bottom"/>
            <w:tcBorders>
              <w:top w:val="single" w:sz="8" w:color="auto"/>
            </w:tcBorders>
            <w:gridSpan w:val="3"/>
          </w:tcPr>
          <w:p>
            <w:pPr>
              <w:jc w:val="right"/>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 (MMSF)</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406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w:t>
            </w: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 (MMSF)</w:t>
            </w: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color w:val="auto"/>
                <w:w w:val="99"/>
              </w:rPr>
              <w:t>460</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481</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 (MMSF)</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w w:val="99"/>
              </w:rPr>
              <w:t>514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550</w:t>
            </w: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175"/>
        </w:trPr>
        <w:tc>
          <w:tcPr>
            <w:tcW w:w="40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Sales Volume</w:t>
            </w:r>
          </w:p>
        </w:tc>
        <w:tc>
          <w:tcPr>
            <w:tcW w:w="180" w:type="dxa"/>
            <w:vAlign w:val="bottom"/>
          </w:tcPr>
          <w:p>
            <w:pPr>
              <w:spacing w:after="0"/>
              <w:rPr>
                <w:sz w:val="15"/>
                <w:szCs w:val="15"/>
                <w:color w:val="auto"/>
              </w:rPr>
            </w:pPr>
          </w:p>
        </w:tc>
        <w:tc>
          <w:tcPr>
            <w:tcW w:w="700" w:type="dxa"/>
            <w:vAlign w:val="bottom"/>
            <w:gridSpan w:val="2"/>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w w:val="96"/>
              </w:rPr>
              <w:t>Siding</w:t>
            </w:r>
          </w:p>
        </w:tc>
        <w:tc>
          <w:tcPr>
            <w:tcW w:w="740" w:type="dxa"/>
            <w:vAlign w:val="bottom"/>
            <w:gridSpan w:val="3"/>
          </w:tcPr>
          <w:p>
            <w:pPr>
              <w:jc w:val="right"/>
              <w:ind w:right="188"/>
              <w:spacing w:after="0" w:line="175" w:lineRule="exact"/>
              <w:rPr>
                <w:sz w:val="20"/>
                <w:szCs w:val="20"/>
                <w:color w:val="auto"/>
              </w:rPr>
            </w:pPr>
            <w:r>
              <w:rPr>
                <w:rFonts w:ascii="Times New Roman" w:cs="Times New Roman" w:eastAsia="Times New Roman" w:hAnsi="Times New Roman"/>
                <w:sz w:val="16"/>
                <w:szCs w:val="16"/>
                <w:b w:val="1"/>
                <w:bCs w:val="1"/>
                <w:color w:val="auto"/>
              </w:rPr>
              <w:t>OSB</w:t>
            </w:r>
          </w:p>
        </w:tc>
        <w:tc>
          <w:tcPr>
            <w:tcW w:w="13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South America</w:t>
            </w:r>
          </w:p>
        </w:tc>
        <w:tc>
          <w:tcPr>
            <w:tcW w:w="600" w:type="dxa"/>
            <w:vAlign w:val="bottom"/>
            <w:gridSpan w:val="2"/>
          </w:tcPr>
          <w:p>
            <w:pPr>
              <w:jc w:val="right"/>
              <w:ind w:right="260"/>
              <w:spacing w:after="0" w:line="175" w:lineRule="exact"/>
              <w:rPr>
                <w:sz w:val="20"/>
                <w:szCs w:val="20"/>
                <w:color w:val="auto"/>
              </w:rPr>
            </w:pPr>
            <w:r>
              <w:rPr>
                <w:rFonts w:ascii="Times New Roman" w:cs="Times New Roman" w:eastAsia="Times New Roman" w:hAnsi="Times New Roman"/>
                <w:sz w:val="16"/>
                <w:szCs w:val="16"/>
                <w:b w:val="1"/>
                <w:bCs w:val="1"/>
                <w:color w:val="auto"/>
                <w:w w:val="87"/>
              </w:rPr>
              <w:t>Total</w:t>
            </w:r>
          </w:p>
        </w:tc>
        <w:tc>
          <w:tcPr>
            <w:tcW w:w="120" w:type="dxa"/>
            <w:vAlign w:val="bottom"/>
          </w:tcPr>
          <w:p>
            <w:pPr>
              <w:spacing w:after="0"/>
              <w:rPr>
                <w:sz w:val="15"/>
                <w:szCs w:val="15"/>
                <w:color w:val="auto"/>
              </w:rPr>
            </w:pPr>
          </w:p>
        </w:tc>
        <w:tc>
          <w:tcPr>
            <w:tcW w:w="1040" w:type="dxa"/>
            <w:vAlign w:val="bottom"/>
            <w:gridSpan w:val="3"/>
          </w:tcPr>
          <w:p>
            <w:pPr>
              <w:jc w:val="right"/>
              <w:ind w:right="339"/>
              <w:spacing w:after="0" w:line="175" w:lineRule="exact"/>
              <w:rPr>
                <w:sz w:val="20"/>
                <w:szCs w:val="20"/>
                <w:color w:val="auto"/>
              </w:rPr>
            </w:pPr>
            <w:r>
              <w:rPr>
                <w:rFonts w:ascii="Times New Roman" w:cs="Times New Roman" w:eastAsia="Times New Roman" w:hAnsi="Times New Roman"/>
                <w:sz w:val="16"/>
                <w:szCs w:val="16"/>
                <w:b w:val="1"/>
                <w:bCs w:val="1"/>
                <w:color w:val="auto"/>
              </w:rPr>
              <w:t>Siding</w:t>
            </w:r>
          </w:p>
        </w:tc>
        <w:tc>
          <w:tcPr>
            <w:tcW w:w="540" w:type="dxa"/>
            <w:vAlign w:val="bottom"/>
            <w:gridSpan w:val="2"/>
          </w:tcPr>
          <w:p>
            <w:pPr>
              <w:jc w:val="right"/>
              <w:ind w:right="148"/>
              <w:spacing w:after="0" w:line="175" w:lineRule="exact"/>
              <w:rPr>
                <w:sz w:val="20"/>
                <w:szCs w:val="20"/>
                <w:color w:val="auto"/>
              </w:rPr>
            </w:pPr>
            <w:r>
              <w:rPr>
                <w:rFonts w:ascii="Times New Roman" w:cs="Times New Roman" w:eastAsia="Times New Roman" w:hAnsi="Times New Roman"/>
                <w:sz w:val="16"/>
                <w:szCs w:val="16"/>
                <w:b w:val="1"/>
                <w:bCs w:val="1"/>
                <w:color w:val="auto"/>
                <w:w w:val="93"/>
              </w:rPr>
              <w:t>OSB</w:t>
            </w:r>
          </w:p>
        </w:tc>
        <w:tc>
          <w:tcPr>
            <w:tcW w:w="1340" w:type="dxa"/>
            <w:vAlign w:val="bottom"/>
            <w:gridSpan w:val="3"/>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South America</w:t>
            </w:r>
          </w:p>
        </w:tc>
        <w:tc>
          <w:tcPr>
            <w:tcW w:w="620" w:type="dxa"/>
            <w:vAlign w:val="bottom"/>
            <w:gridSpan w:val="3"/>
          </w:tcPr>
          <w:p>
            <w:pPr>
              <w:jc w:val="right"/>
              <w:ind w:right="260"/>
              <w:spacing w:after="0" w:line="175" w:lineRule="exact"/>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 (MMSF)</w:t>
            </w:r>
          </w:p>
        </w:tc>
        <w:tc>
          <w:tcPr>
            <w:tcW w:w="8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869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885</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4"/>
                <w:szCs w:val="14"/>
                <w:color w:val="auto"/>
              </w:rPr>
              <w:t>810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836</w:t>
            </w: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 (MMSF)</w:t>
            </w:r>
          </w:p>
        </w:tc>
        <w:tc>
          <w:tcPr>
            <w:tcW w:w="18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897</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936</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 (MMSF)</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2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1,100</w:t>
            </w: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the OEE of each of our mills to track improvements in the utilization and productivity of our manufacturing assets. OEE is a composite metric that considers asset uptime (adjusted for capital project downtime and similar events), production rates, and finished product quality. It should be noted that other companies may present OEE differently and, therefore, as presented by us, OEE may not be comparable to similarly-titled measures reported by other companies. We believe that when used in conjunction with other metrics, OEE can be a useful measure for evaluating our ability to generate profits, and providing this measure should allow interested persons to more readily monitor operational improvements. OEE for the three and six months ended June 30, 2022 and 2021, for each of our segments is listed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Borders>
              <w:bottom w:val="single" w:sz="8" w:color="auto"/>
            </w:tcBorders>
            <w:gridSpan w:val="2"/>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54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2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20" w:type="dxa"/>
            <w:vAlign w:val="bottom"/>
            <w:tcBorders>
              <w:top w:val="single" w:sz="8" w:color="auto"/>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75 %</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1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20" w:type="dxa"/>
            <w:vAlign w:val="bottom"/>
          </w:tcPr>
          <w:p>
            <w:pPr>
              <w:spacing w:after="0"/>
              <w:rPr>
                <w:sz w:val="18"/>
                <w:szCs w:val="18"/>
                <w:color w:val="auto"/>
              </w:rPr>
            </w:pPr>
          </w:p>
        </w:tc>
        <w:tc>
          <w:tcPr>
            <w:tcW w:w="22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73 %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1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America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75 %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are separately discussed below for each of our segments, as well as for the “Other” category, which comprises other products that are not individually significant. See Note 17 of the Notes to the Condensed Consolidated Financial Statements included in Item 1 of this quarterly report on Form 10-Q for further information regarding our segments.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Siding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Siding segment serves diverse end markets with a broad product offering of engineered wood siding, trim, and fascia, including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w:t>
      </w:r>
    </w:p>
    <w:p>
      <w:pPr>
        <w:ind w:firstLine="8"/>
        <w:spacing w:after="0" w:line="219" w:lineRule="auto"/>
        <w:tabs>
          <w:tab w:leader="none" w:pos="1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ExpertFinish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 BuilderSeries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Lap Siding,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Outdoor Building Solutions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(collectively referred to as Siding Solutions).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Adjusted EBITDA, and Adjusted EBITDA margin for this segment were as follows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gridSpan w:val="8"/>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2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920" w:type="dxa"/>
            <w:vAlign w:val="bottom"/>
          </w:tcPr>
          <w:p>
            <w:pPr>
              <w:spacing w:after="0"/>
              <w:rPr>
                <w:sz w:val="18"/>
                <w:szCs w:val="18"/>
                <w:color w:val="auto"/>
              </w:rPr>
            </w:pPr>
          </w:p>
        </w:tc>
      </w:tr>
      <w:tr>
        <w:trPr>
          <w:trHeight w:val="211"/>
        </w:trPr>
        <w:tc>
          <w:tcPr>
            <w:tcW w:w="3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160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8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40" w:type="dxa"/>
            <w:vAlign w:val="bottom"/>
          </w:tcPr>
          <w:p>
            <w:pPr>
              <w:spacing w:after="0"/>
              <w:rPr>
                <w:sz w:val="18"/>
                <w:szCs w:val="18"/>
                <w:color w:val="auto"/>
              </w:rPr>
            </w:pPr>
          </w:p>
        </w:tc>
        <w:tc>
          <w:tcPr>
            <w:tcW w:w="206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900" w:type="dxa"/>
            <w:vAlign w:val="bottom"/>
          </w:tcPr>
          <w:p>
            <w:pPr>
              <w:spacing w:after="0"/>
              <w:rPr>
                <w:sz w:val="18"/>
                <w:szCs w:val="18"/>
                <w:color w:val="auto"/>
              </w:rPr>
            </w:pPr>
          </w:p>
        </w:tc>
      </w:tr>
      <w:tr>
        <w:trPr>
          <w:trHeight w:val="211"/>
        </w:trPr>
        <w:tc>
          <w:tcPr>
            <w:tcW w:w="37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3"/>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35"/>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23 %</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576</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sales prices and unit shipments for the three and six months ended June 30, 2022, compared to the corresponding periods in 2021,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3240" w:type="dxa"/>
            <w:vAlign w:val="bottom"/>
            <w:gridSpan w:val="4"/>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3660" w:type="dxa"/>
            <w:vAlign w:val="bottom"/>
          </w:tcPr>
          <w:p>
            <w:pPr>
              <w:spacing w:after="0"/>
              <w:rPr>
                <w:sz w:val="18"/>
                <w:szCs w:val="18"/>
                <w:color w:val="auto"/>
              </w:rPr>
            </w:pPr>
          </w:p>
        </w:tc>
        <w:tc>
          <w:tcPr>
            <w:tcW w:w="3240" w:type="dxa"/>
            <w:vAlign w:val="bottom"/>
            <w:tcBorders>
              <w:bottom w:val="single" w:sz="8" w:color="auto"/>
            </w:tcBorders>
            <w:gridSpan w:val="4"/>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June 30, 2022 versus 2021</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2022 versus 2021</w:t>
            </w:r>
          </w:p>
        </w:tc>
      </w:tr>
      <w:tr>
        <w:trPr>
          <w:trHeight w:val="157"/>
        </w:trPr>
        <w:tc>
          <w:tcPr>
            <w:tcW w:w="3660" w:type="dxa"/>
            <w:vAlign w:val="bottom"/>
          </w:tcPr>
          <w:p>
            <w:pPr>
              <w:spacing w:after="0"/>
              <w:rPr>
                <w:sz w:val="13"/>
                <w:szCs w:val="13"/>
                <w:color w:val="auto"/>
              </w:rPr>
            </w:pPr>
          </w:p>
        </w:tc>
        <w:tc>
          <w:tcPr>
            <w:tcW w:w="1360" w:type="dxa"/>
            <w:vAlign w:val="bottom"/>
          </w:tcPr>
          <w:p>
            <w:pPr>
              <w:ind w:left="48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left="379"/>
              <w:spacing w:after="0" w:line="158" w:lineRule="exact"/>
              <w:rPr>
                <w:sz w:val="20"/>
                <w:szCs w:val="20"/>
                <w:color w:val="auto"/>
              </w:rPr>
            </w:pPr>
            <w:r>
              <w:rPr>
                <w:rFonts w:ascii="Times New Roman" w:cs="Times New Roman" w:eastAsia="Times New Roman" w:hAnsi="Times New Roman"/>
                <w:sz w:val="16"/>
                <w:szCs w:val="16"/>
                <w:color w:val="auto"/>
                <w:w w:val="98"/>
              </w:rPr>
              <w:t>Unit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Unit</w:t>
            </w:r>
          </w:p>
        </w:tc>
      </w:tr>
      <w:tr>
        <w:trPr>
          <w:trHeight w:val="213"/>
        </w:trPr>
        <w:tc>
          <w:tcPr>
            <w:tcW w:w="3660" w:type="dxa"/>
            <w:vAlign w:val="bottom"/>
          </w:tcPr>
          <w:p>
            <w:pPr>
              <w:spacing w:after="0"/>
              <w:rPr>
                <w:sz w:val="18"/>
                <w:szCs w:val="18"/>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Selling Price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Shipments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13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effects of list price increases and improving mix of innovative products drove year-over-year increases in the average net selling price for the three and six months ended June 30, 2022. Additionally, the production ramp-up of the Houlton facility was ahead of schedule and contributed almost half of the year-over-year sales volume increase during the three months ended June 30, 2022.</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increased for the three months ended June 30, 2022, reflecting price and volume growth largely offset by $29 million of raw material and freight inflation and $7 million of discretionary investments in support of future growth, including siding mill conversions and sales and marketing costs. The decrease in Adjusted EBITDA of $8 million for the six months ended June 30, 2022, reflects price and volume growth offset primarily by $55 million of raw material and freight inflation and $19 million of discretionary investments in support of future growth, including siding mill and sales and marketing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OSB</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OSB segment manufactures and distributes OSB structural panel products, including our value-added OSB portfolio known as LP Structural Solutions (which includes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Radiant Barrier, LP WeatherLogic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Air &amp; Water Barrier, LP Legacy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Premium Sub-Flooring,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FlameBlock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Fire-Rated Sheathing)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TopNotch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Sub-Flooring. OSB is manufactured using wood strands arranged in layers and bonded with resins.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Adjusted EBITDA, and Adjusted EBITDA Margin for this segment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gridSpan w:val="8"/>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40" w:type="dxa"/>
            <w:vAlign w:val="bottom"/>
            <w:gridSpan w:val="6"/>
          </w:tcPr>
          <w:p>
            <w:pPr>
              <w:ind w:left="7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920" w:type="dxa"/>
            <w:vAlign w:val="bottom"/>
          </w:tcPr>
          <w:p>
            <w:pPr>
              <w:spacing w:after="0"/>
              <w:rPr>
                <w:sz w:val="18"/>
                <w:szCs w:val="18"/>
                <w:color w:val="auto"/>
              </w:rPr>
            </w:pPr>
          </w:p>
        </w:tc>
      </w:tr>
      <w:tr>
        <w:trPr>
          <w:trHeight w:val="211"/>
        </w:trPr>
        <w:tc>
          <w:tcPr>
            <w:tcW w:w="3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6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8"/>
                <w:szCs w:val="18"/>
                <w:color w:val="auto"/>
              </w:rPr>
            </w:pPr>
          </w:p>
        </w:tc>
        <w:tc>
          <w:tcPr>
            <w:tcW w:w="2560" w:type="dxa"/>
            <w:vAlign w:val="bottom"/>
            <w:gridSpan w:val="6"/>
          </w:tcPr>
          <w:p>
            <w:pPr>
              <w:ind w:left="6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37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Borders>
              <w:top w:val="single" w:sz="8" w:color="auto"/>
              <w:bottom w:val="single" w:sz="8" w:color="auto"/>
            </w:tcBorders>
          </w:tcPr>
          <w:p>
            <w:pPr>
              <w:spacing w:after="0"/>
              <w:rPr>
                <w:sz w:val="18"/>
                <w:szCs w:val="18"/>
                <w:color w:val="auto"/>
              </w:rPr>
            </w:pP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778</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8 %</w:t>
            </w:r>
          </w:p>
        </w:tc>
      </w:tr>
      <w:tr>
        <w:trPr>
          <w:trHeight w:val="22"/>
        </w:trPr>
        <w:tc>
          <w:tcPr>
            <w:tcW w:w="3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sales prices and unit shipments for the three and six months ended June 30, 2022, compared to the corresponding periods in 2021,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32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2"/>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3640" w:type="dxa"/>
            <w:vAlign w:val="bottom"/>
          </w:tcPr>
          <w:p>
            <w:pPr>
              <w:spacing w:after="0"/>
              <w:rPr>
                <w:sz w:val="18"/>
                <w:szCs w:val="18"/>
                <w:color w:val="auto"/>
              </w:rPr>
            </w:pPr>
          </w:p>
        </w:tc>
        <w:tc>
          <w:tcPr>
            <w:tcW w:w="3260" w:type="dxa"/>
            <w:vAlign w:val="bottom"/>
            <w:tcBorders>
              <w:bottom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June 30, 2022 versus 2021</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auto"/>
            </w:tcBorders>
            <w:gridSpan w:val="2"/>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June 30, 2022 versus 2021</w:t>
            </w:r>
          </w:p>
        </w:tc>
      </w:tr>
      <w:tr>
        <w:trPr>
          <w:trHeight w:val="157"/>
        </w:trPr>
        <w:tc>
          <w:tcPr>
            <w:tcW w:w="3640" w:type="dxa"/>
            <w:vAlign w:val="bottom"/>
          </w:tcPr>
          <w:p>
            <w:pPr>
              <w:spacing w:after="0"/>
              <w:rPr>
                <w:sz w:val="13"/>
                <w:szCs w:val="13"/>
                <w:color w:val="auto"/>
              </w:rPr>
            </w:pPr>
          </w:p>
        </w:tc>
        <w:tc>
          <w:tcPr>
            <w:tcW w:w="134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92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jc w:val="right"/>
              <w:ind w:right="759"/>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600" w:type="dxa"/>
            <w:vAlign w:val="bottom"/>
          </w:tcPr>
          <w:p>
            <w:pPr>
              <w:jc w:val="right"/>
              <w:ind w:right="679"/>
              <w:spacing w:after="0" w:line="158" w:lineRule="exact"/>
              <w:rPr>
                <w:sz w:val="20"/>
                <w:szCs w:val="20"/>
                <w:color w:val="auto"/>
              </w:rPr>
            </w:pPr>
            <w:r>
              <w:rPr>
                <w:rFonts w:ascii="Times New Roman" w:cs="Times New Roman" w:eastAsia="Times New Roman" w:hAnsi="Times New Roman"/>
                <w:sz w:val="16"/>
                <w:szCs w:val="16"/>
                <w:color w:val="auto"/>
              </w:rPr>
              <w:t>Unit</w:t>
            </w:r>
          </w:p>
        </w:tc>
      </w:tr>
      <w:tr>
        <w:trPr>
          <w:trHeight w:val="213"/>
        </w:trPr>
        <w:tc>
          <w:tcPr>
            <w:tcW w:w="364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Shipments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Selling Price</w:t>
            </w:r>
          </w:p>
        </w:tc>
        <w:tc>
          <w:tcPr>
            <w:tcW w:w="16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Shipments</w:t>
            </w:r>
          </w:p>
        </w:tc>
      </w:tr>
      <w:tr>
        <w:trPr>
          <w:trHeight w:val="21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92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rPr>
              <w:t>(14)%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1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192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rPr>
              <w:t>(30)%</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1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OSB average net selling prices decreased year-over-year by 22% on 10% higher OSB sales volume for the three months ended June 30, 2022, resulting in a 14% decrease in net sales. OSB average net selling prices decreased year-over-year by 3% on 11% higher OSB sales volume for the six months ended June 30, 2022, resulting in an 8% increase in net sales.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Adjusted EBITDA of $162 million for the three months ended June 30, 2022, reflects $195 million from lower prices and $22 million of increased raw material inflation offset partially by $54 million from higher sales volume. The decrease in Adjusted EBITDA of $11 million for the six months ended June 30, 2022, reflects $65 million from lower prices and $45 million of increased raw material inflation offset partially by $96 million from higher sales volume.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America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South America segment manufactures and distributes OSB structural panel and siding products in South America and certain export markets. This segment has manufacturing operations in two countries, Chile and Brazil, and operates sales offices in Chile, Brazil, Peru, Colombia, Argentina, and Paraguay.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Adjusted EBITDA, and Adjusted EBITDA margin for this segment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40" w:type="dxa"/>
            <w:vAlign w:val="bottom"/>
            <w:gridSpan w:val="6"/>
          </w:tcPr>
          <w:p>
            <w:pPr>
              <w:ind w:left="7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920" w:type="dxa"/>
            <w:vAlign w:val="bottom"/>
          </w:tcPr>
          <w:p>
            <w:pPr>
              <w:spacing w:after="0"/>
              <w:rPr>
                <w:sz w:val="18"/>
                <w:szCs w:val="18"/>
                <w:color w:val="auto"/>
              </w:rPr>
            </w:pPr>
          </w:p>
        </w:tc>
      </w:tr>
      <w:tr>
        <w:trPr>
          <w:trHeight w:val="211"/>
        </w:trPr>
        <w:tc>
          <w:tcPr>
            <w:tcW w:w="35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6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46 %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6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40" w:type="dxa"/>
            <w:vAlign w:val="bottom"/>
          </w:tcPr>
          <w:p>
            <w:pPr>
              <w:spacing w:after="0"/>
              <w:rPr>
                <w:sz w:val="18"/>
                <w:szCs w:val="18"/>
                <w:color w:val="auto"/>
              </w:rPr>
            </w:pPr>
          </w:p>
        </w:tc>
        <w:tc>
          <w:tcPr>
            <w:tcW w:w="206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900" w:type="dxa"/>
            <w:vAlign w:val="bottom"/>
          </w:tcPr>
          <w:p>
            <w:pPr>
              <w:spacing w:after="0"/>
              <w:rPr>
                <w:sz w:val="18"/>
                <w:szCs w:val="18"/>
                <w:color w:val="auto"/>
              </w:rPr>
            </w:pPr>
          </w:p>
        </w:tc>
      </w:tr>
      <w:tr>
        <w:trPr>
          <w:trHeight w:val="211"/>
        </w:trPr>
        <w:tc>
          <w:tcPr>
            <w:tcW w:w="37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11"/>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08"/>
        </w:trPr>
        <w:tc>
          <w:tcPr>
            <w:tcW w:w="3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1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8 %</w:t>
            </w:r>
          </w:p>
        </w:tc>
      </w:tr>
      <w:tr>
        <w:trPr>
          <w:trHeight w:val="22"/>
        </w:trPr>
        <w:tc>
          <w:tcPr>
            <w:tcW w:w="3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sales prices and unit shipments for the three and six months ended June 30, 2022, compared to the corresponding periods in 2021,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3240" w:type="dxa"/>
            <w:vAlign w:val="bottom"/>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3"/>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3640" w:type="dxa"/>
            <w:vAlign w:val="bottom"/>
          </w:tcPr>
          <w:p>
            <w:pPr>
              <w:spacing w:after="0"/>
              <w:rPr>
                <w:sz w:val="18"/>
                <w:szCs w:val="18"/>
                <w:color w:val="auto"/>
              </w:rPr>
            </w:pPr>
          </w:p>
        </w:tc>
        <w:tc>
          <w:tcPr>
            <w:tcW w:w="3240" w:type="dxa"/>
            <w:vAlign w:val="bottom"/>
            <w:tcBorders>
              <w:bottom w:val="single" w:sz="8" w:color="auto"/>
            </w:tcBorders>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June 30, 2022 versus 2021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June 30, 2022 versus 2021</w:t>
            </w:r>
          </w:p>
        </w:tc>
      </w:tr>
      <w:tr>
        <w:trPr>
          <w:trHeight w:val="157"/>
        </w:trPr>
        <w:tc>
          <w:tcPr>
            <w:tcW w:w="3640" w:type="dxa"/>
            <w:vAlign w:val="bottom"/>
          </w:tcPr>
          <w:p>
            <w:pPr>
              <w:spacing w:after="0"/>
              <w:rPr>
                <w:sz w:val="13"/>
                <w:szCs w:val="13"/>
                <w:color w:val="auto"/>
              </w:rPr>
            </w:pPr>
          </w:p>
        </w:tc>
        <w:tc>
          <w:tcPr>
            <w:tcW w:w="134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left="41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800" w:type="dxa"/>
            <w:vAlign w:val="bottom"/>
          </w:tcPr>
          <w:p>
            <w:pPr>
              <w:jc w:val="right"/>
              <w:ind w:right="679"/>
              <w:spacing w:after="0" w:line="158" w:lineRule="exact"/>
              <w:rPr>
                <w:sz w:val="20"/>
                <w:szCs w:val="20"/>
                <w:color w:val="auto"/>
              </w:rPr>
            </w:pPr>
            <w:r>
              <w:rPr>
                <w:rFonts w:ascii="Times New Roman" w:cs="Times New Roman" w:eastAsia="Times New Roman" w:hAnsi="Times New Roman"/>
                <w:sz w:val="16"/>
                <w:szCs w:val="16"/>
                <w:color w:val="auto"/>
              </w:rPr>
              <w:t>Unit</w:t>
            </w:r>
          </w:p>
        </w:tc>
      </w:tr>
      <w:tr>
        <w:trPr>
          <w:trHeight w:val="213"/>
        </w:trPr>
        <w:tc>
          <w:tcPr>
            <w:tcW w:w="364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Shipments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18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bl>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 South America decreased year-over-year by 5% for the three months ended June 30, 2022, predominately due to 6% lower sales volume. Net sales increased year-over-year by 8% for the six months ended June 30, 2022, due in large part to higher OSB prices.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year-over-year decrease in Adjusted EBITDA of $8 million for the three months ended June 30, 2022, reflects lower sales volume and higher costs for raw material costs. The year-over-year decrease in Adjusted EBITDA of $3 million for the first six months of 2022 reflects the net effect of lower sales volume, higher raw materials costs, and higher OSB prices.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Products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Other products segment includes off-site framing operation Entekra Holdings LLC (Entekra), remaining timber and timberlands, and other minor products, services, and closed operations, which do not qualify as discontinued operations. Other net sales were $30 million and $55 million for the three and six months ended June 30, 2022, respectively, as compared to $26 million and $43 million for the corresponding periods in 2021. These increases are primarily due to increases in Entekra sales volumes.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was $(7) million and $(13) million for the three and six months ended June 30, 2022, respectively, as compared to $(4) million and $(8) million for the corresponding periods in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$67 million and $129 million for the three and six months ended June 30, 2022, respectively, compared to $53 million and $97 million for the corresponding periods in 2021. The increase in 2022 is due to increased travel, sales and marketing, and corporate overhead primarily driven by the reduction of restrictions related to the COVID-19 pandemic and costs associated with stock compensation and performance incentives.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an estimated tax provision from continuing operations of $116 million and $240 million for the three and six months ended June 30, 2022, respectively, compared to $144 million and $239 million for the corresponding periods of 2021. The total effective tax rate for continuing operations for the three and six months ended June 30, 2022, was 25% and 24% compared to the 23% for the comparable periods in 2021, respectively. Each quarter the income tax accrual is adjusted to the latest estimate, and the difference from the previously accrued year-to-date balance is recorded in the current quarter. For 2022 and 2021, the primary difference between the U.S. statutory rate of 21% and the effective rate relates to state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Environmental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legal and environmental matters involving us and the potential impact thereof on our financial position, results of operations, and cash flows, see Items 3, 7, and 8 in our 2021 Annual Report on Form 10-K and Note 11 of the Notes to the Condensed Consolidated Financial Statements included in Item 1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existing cash and investment balances, cash generated by our operations, and our ability to borrow under such credit facilities as we may have in effect from time to time. We may also, from time to time, issue and sell equity, debt, or hybrid securities or engage in other capital market transactions.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effecting any such repurchases may be changed, at any time, or from time to time, without prior notice.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fund our capital expenditures through cash on hand, cash generated from operations, and available borrowing under our Amended Credit Facility, as necessary.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and 2021, cash provided by operations was $908 million and $772 million, respectively. The improvement in cash provided by operations for the period ended June 30, 2022, was primarily related to changes in working capital and lower income payments.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and 2021, cash used in investing activities was $135 million and $63 million, respectively. During the six months ended June 30, 2022, we received $59 million in proceeds from the sale of our 50% equity interest in two joint ventures.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expenditures for the six months ended June 30, 2022 and 2021, were $196 million and $65 million, respectively, primarily related to siding conversion expenditures and growth and maintenance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cash used in financing activities was $626 million. On May 3, 2022, LP's Board of Directors authorized a share repurchase plan under which LP was authorized to repurchase shares of LP's common stock totaling up to $600 million (the 2022 Share Repurchase Program). During the six months ended June 30, 2022, we used $575 million to repurchase shares of LP common stock ($500 million from the Second 2021 Share Repurchase Program (defined below) and $75 million from the 2022 Share Repurchase Program (defined below)). Additionally, we paid cash dividends of $37 million and used $15 million to repurchase stock from employees in connection with income tax withholding requirements associated with our employee stock-based compensation plans.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2021, cash used in financing activities was $642 million. During the six months ended June 30, 2021, we used $300 million to repurchase shares of LP common stock under the share repurchase program authorized by LP's Board of Directors in 2020 and $288 million to repurchase shares of LP common stock under the repurchase program authorized by LP's Board of Directors in May 2021. Additionally, we paid cash dividends of $33 million and used $12 million to repurchase stock from employees in connection with income tax withholding requirements associated with our employee stock-based compensation plans. In March 2021, we issued $350 million in aggregate principal amount of the 2029 Senior Notes, and in February 2021, LP delivered to holders of the 2024 Senior Notes a conditional notice of redemption to redeem on March 27, 2021, all of the 2024 Senior Notes outstanding at a redemption price of 102.438% of the principal amount thereof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accrued and unpaid interest up to, but not including, the redemption date. The redemption notice became irrevocable on March 11, 2021, and the 2024 Senior Notes were fully redeemed on March 27, 2021. In connection with these aforementioned financing activities, we paid $13 million in redemption premiums and debt issuance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Letter of Credit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2021 and August 2021, we entered into the third and fourth amendments to our revolving credit facility, dated as of June 27, 2019 (Credit Facility), with American AgCredit, PCA, as administrative agent, and CoBank, ACB, as letter of credit issuer (as amended, the Amended Credit Facility). The Amended Credit Facility provides for a revolving credit facility in the principal amount of up to $550 million, with a $60 million sub-limit for letters of credit. The Amended Credit Facility, and all loans thereunder, become due on June 8, 2027. As of June 30, 2022, we had no amounts outstanding under the Amended Credit Facility.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Credit Facility contains various restrictive covenants and customary events of default, the occurrence of which could result in the acceleration of our obligation to repay the indebtedness outstanding thereunder. The Amended Credit Facility also contains financial covenants that require us and our consolidated subsidiaries to have, as of the end of each quarter, a capitalization ratio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funded debt less unrestricted cash to total capitalization) of no more than 57.5%. As of June 30, 2022, we were in compliance with all financial covenants under the Amended Credit Facility.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LP entered into the Letter of Credit Facility, which provides for the funding of letters of credit up to an aggregate outstanding amount of $20 million, which may be secured by certain cash collateral of LP. The Letter of Credit Facility includes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Amended Credit Facility, including the capitalization ratio covenant. As of June 30, 2022, we were in compliance with all financial covenants under the Letter of Credit Facility.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Arrangements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we had standby letters of credit of $13 million outstanding related to collateral for environmental impact on owned properties, a deposit for a forestry license, and insurance collateral, including workers' compensation.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Impairments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review our mill and investment assets for potential impairments at least annually and believe we have adequate support for the carrying value of our assets as of June 30, 2022.</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demand and pricing for our products are significantly below cycle average demand and pricing, should we decide to invest capital in alternative projects, should changes occur related to our wood supply for these locations, or should demand and pricing of our products fall as a result of the long-term effects of the COVID-19 pandemic, it is possible that future impairment charges will be required. As of June 30, 2022, there were no indications of impairment.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review from time to time possible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Canadian dollar, the Brazilian real, and the Chilean peso.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material currency rate hedges with respect to our exposure from operations, although we may do so in the future.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previously disclosed under the caption “Item 7A. Quantitative and Qualitative Disclosures about Market Risk” in our 2021 Annual Report on Form 10-K.</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on our variable rate long-term debt. As of June 30, 2022, we had no outstanding amounts borrowed under our Amended Credit Facility. We do not currently have any derivative or hedging arrangements, or other known exposures, to changes in interest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historically have not entered into material commodity futures and swaps, although we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spacing w:after="0" w:line="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June 30, 2022, LP’s disclosure controls and procedures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recently completed fiscal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description of certain legal and environmental matters involving LP set forth in Item 1 of this quarterly report on Form 10-Q under Note 11 of the Notes to the Condensed Consolidated Financial Statements contained herein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an investor should carefully consider the factors discussed in Part I, “Item 1A. Risk Factors” in the Company’s 2021 Annual Report on Form 10-K and Part II, "Item 1A. Risk Factors" in the Company's quarterly report on Form 10-Q for the quarter ended March 31, 2022. Except as set forth below, there were no material changes to the risk factors previously disclosed under the caption "Item 1A. Risk Factors" in Part I of our 2021 Annual Report on Form 10-K and in Part II of our quarterly report on Form 10-Q for the quarter ended March 31,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Rising inflation may adversely affect us by increasing costs of raw materials, labor, and other costs beyond what we can recover through price increases.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Inflation can adversely affect us by increasing the costs of raw materials, labor, and other costs required to operate and grow our business. Many of the markets in which we sell our products are experiencing high levels of inflation, which may depress consumer demand for our products and reduce our profitability if we are unable to raise prices enough to keep up with increases in our costs. Inflationary pressures have resulted in increases in the cost of certain raw materials, and other supplies necessary for the production of our products, and such increases may continue to impact us in the future and expose us to risks associated with significant levels of cost inflation. If we are unable to increase our prices to offset the effects of inflation, our business, operating results, and financial condition could be materially and adversely affected.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risks, as described in our 2021 Annual Report on Form 10-K and our quarterly report on Form 10-Q for the quarter ended March 31, 2022, as supplemented above, are not the only risks facing the Company. Additional risks and uncertainties not currently known to us or that we currently deem immaterial also may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spacing w:after="0" w:line="200" w:lineRule="exact"/>
        <w:rPr>
          <w:sz w:val="20"/>
          <w:szCs w:val="20"/>
          <w:color w:val="auto"/>
        </w:rPr>
      </w:pP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3, 2022, LP's Board of Directors authorized an additional share repurchase plan under which the Company may repurchase shares of its common stock totaling up to $600 million (the 2022 Share Repurchase Program). Repurchases of such shares may be effected, among other ways, in open market transactions, privately negotiated transactions, or through a series of forward purchase agreements, option contracts, or similar agreements and contracts, including a Rule 10b5-1 plan, in accordance with the rules and regulations of the SEC. The timing and amount of repurchase transactions are subject to the Company’s discretion and will depend on a variety of factors, including market and business conditions and other considerations.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of our common stock were repurchased under this authorization during the quarter ended June 30,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5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4"/>
                <w:szCs w:val="14"/>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21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162"/>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 Plans 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16"/>
        </w:trPr>
        <w:tc>
          <w:tcPr>
            <w:tcW w:w="3940" w:type="dxa"/>
            <w:vAlign w:val="bottom"/>
            <w:vMerge w:val="continue"/>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82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9"/>
              </w:rPr>
              <w:t>Programs</w:t>
            </w:r>
            <w:r>
              <w:rPr>
                <w:rFonts w:ascii="Times New Roman" w:cs="Times New Roman" w:eastAsia="Times New Roman" w:hAnsi="Times New Roman"/>
                <w:sz w:val="21"/>
                <w:szCs w:val="21"/>
                <w:b w:val="1"/>
                <w:bCs w:val="1"/>
                <w:color w:val="auto"/>
                <w:w w:val="99"/>
                <w:vertAlign w:val="superscript"/>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in millions</w:t>
            </w:r>
            <w:r>
              <w:rPr>
                <w:rFonts w:ascii="Times New Roman" w:cs="Times New Roman" w:eastAsia="Times New Roman" w:hAnsi="Times New Roman"/>
                <w:sz w:val="16"/>
                <w:szCs w:val="16"/>
                <w:b w:val="1"/>
                <w:bCs w:val="1"/>
                <w:color w:val="auto"/>
              </w:rPr>
              <w:t>) end</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2022 - April 30,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2,560,504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62.17</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2,560,504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2022 - May 31,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2,346,876</w:t>
            </w: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68.56</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2,346,876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2022 - June 30,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2,430,433</w:t>
            </w:r>
          </w:p>
        </w:tc>
        <w:tc>
          <w:tcPr>
            <w:tcW w:w="3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2,430,433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12"/>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for Second Quarter 2022</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7,337,813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7,337,813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3"/>
          <w:szCs w:val="13"/>
          <w:color w:val="auto"/>
        </w:rPr>
        <w:t>On November 2, 2021, LP's Board of Directors authorized a share repurchase plan under which LP may repurchase shares of its common stock totaling up to $500 million (the Second 2021 Share Repurchase Program). On May 3, 2022, LP's Board of Directors authorized the 2022 Share Repurchase Program under which LP may repurchase shares of its common stock totaling up to $600 million. As of June 30, 2022, LP had used $500 million under the Second 2021 Share Repurchase Program and $75 million under the 2022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10080" w:type="dxa"/>
            <w:vAlign w:val="bottom"/>
            <w:gridSpan w:val="17"/>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460" w:type="dxa"/>
            <w:vAlign w:val="bottom"/>
            <w:gridSpan w:val="2"/>
          </w:tcPr>
          <w:p>
            <w:pPr>
              <w:spacing w:after="0"/>
              <w:rPr>
                <w:sz w:val="24"/>
                <w:szCs w:val="24"/>
                <w:color w:val="auto"/>
              </w:rPr>
            </w:pPr>
          </w:p>
        </w:tc>
        <w:tc>
          <w:tcPr>
            <w:tcW w:w="200" w:type="dxa"/>
            <w:vAlign w:val="bottom"/>
          </w:tcPr>
          <w:p>
            <w:pPr>
              <w:jc w:val="center"/>
              <w:spacing w:after="0"/>
              <w:rPr>
                <w:rFonts w:ascii="Times New Roman" w:cs="Times New Roman" w:eastAsia="Times New Roman" w:hAnsi="Times New Roman"/>
                <w:sz w:val="18"/>
                <w:szCs w:val="18"/>
                <w:color w:val="0000FF"/>
                <w:w w:val="88"/>
              </w:rPr>
            </w:pPr>
            <w:hyperlink r:id="rId54">
              <w:r>
                <w:rPr>
                  <w:rFonts w:ascii="Times New Roman" w:cs="Times New Roman" w:eastAsia="Times New Roman" w:hAnsi="Times New Roman"/>
                  <w:sz w:val="18"/>
                  <w:szCs w:val="18"/>
                  <w:color w:val="0000FF"/>
                  <w:w w:val="88"/>
                </w:rPr>
                <w:t>2.</w:t>
              </w:r>
              <w:r>
                <w:rPr>
                  <w:rFonts w:ascii="Times New Roman" w:cs="Times New Roman" w:eastAsia="Times New Roman" w:hAnsi="Times New Roman"/>
                  <w:sz w:val="18"/>
                  <w:szCs w:val="18"/>
                  <w:u w:val="single" w:color="auto"/>
                  <w:color w:val="0000FF"/>
                  <w:w w:val="88"/>
                </w:rPr>
                <w:t>1</w:t>
              </w:r>
            </w:hyperlink>
          </w:p>
        </w:tc>
        <w:tc>
          <w:tcPr>
            <w:tcW w:w="4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Asset Purchase Agreement, dated as of June 21, 2022, by and among Louisiana-Pacific Corporation, Louisiana-Pacific Canada LTD,</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080" w:type="dxa"/>
            <w:vAlign w:val="bottom"/>
            <w:gridSpan w:val="17"/>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Pacific Woodtech Corporation and Pacific Woodtech Canada Holdings Limited. Incorporated herein by reference to Exhibit 2.1 to LP’s</w:t>
              </w:r>
            </w:hyperlink>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Current Report on Form 8-K filed on June 22, 2022.***</w:t>
              </w:r>
            </w:hyperlink>
          </w:p>
        </w:tc>
        <w:tc>
          <w:tcPr>
            <w:tcW w:w="57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250"/>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4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2022 Omnibus Stock Award Plan. Incorporated herein by reference to Annex A to LP’s Definitive Proxy Statement on Schedule 14A, filed</w:t>
              </w:r>
            </w:hyperlink>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55">
              <w:r>
                <w:rPr>
                  <w:rFonts w:ascii="Times New Roman" w:cs="Times New Roman" w:eastAsia="Times New Roman" w:hAnsi="Times New Roman"/>
                  <w:sz w:val="18"/>
                  <w:szCs w:val="18"/>
                  <w:color w:val="0000FF"/>
                  <w:w w:val="97"/>
                </w:rPr>
                <w:t>on March 18, 2022.</w:t>
              </w:r>
            </w:hyperlink>
          </w:p>
        </w:tc>
        <w:tc>
          <w:tcPr>
            <w:tcW w:w="8580" w:type="dxa"/>
            <w:vAlign w:val="bottom"/>
            <w:tcBorders>
              <w:top w:val="single" w:sz="8" w:color="0000FF"/>
            </w:tcBorders>
            <w:gridSpan w:val="14"/>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250"/>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4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of Restricted Stock Unit Award Agreement with retirement provisions under the 2022 Omnibus Stock Award Plan. Incorporated</w:t>
              </w:r>
            </w:hyperlink>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1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herein by reference to Exhibit 10.4 to LP's Quarterly Report on Form 10-Q for the quarter ended March 31, 2022.</w:t>
              </w:r>
            </w:hyperlink>
          </w:p>
        </w:tc>
        <w:tc>
          <w:tcPr>
            <w:tcW w:w="1480" w:type="dxa"/>
            <w:vAlign w:val="bottom"/>
            <w:tcBorders>
              <w:top w:val="single" w:sz="8" w:color="0000FF"/>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250"/>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4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Form of Restricted Stock Unit Award Agreement for directors under the 2022 Omnibus Stock Award Plan. Incorporated herein by reference</w:t>
              </w:r>
            </w:hyperlink>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to Exhibit 10.5 to LP's Quarterly Report on Form 10-Q for the quarter ended March 31,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gridSpan w:val="3"/>
          </w:tcPr>
          <w:p>
            <w:pPr>
              <w:jc w:val="center"/>
              <w:ind w:left="250"/>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4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Form of Performance Shares Award Agreement under the 2022 Omnibus Stock Award Plan. Incorporated herein by reference to Exhibit</w:t>
              </w:r>
            </w:hyperlink>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to LP's Quarterly Report on Form 10-Q for the quarter ended March 31, 2022.</w:t>
              </w:r>
            </w:hyperlink>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gridSpan w:val="3"/>
          </w:tcPr>
          <w:p>
            <w:pPr>
              <w:jc w:val="center"/>
              <w:ind w:left="250"/>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4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First Amendment to Louisiana-Pacific 2019 Employee Stock Purchase Plan. Incorporated herein by reference to Exhibit 10.7 to LP's</w:t>
              </w:r>
            </w:hyperlink>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Quarterly Report on Form 10-Q for the quarter ended March 31, 2022.</w:t>
              </w:r>
            </w:hyperlink>
          </w:p>
        </w:tc>
        <w:tc>
          <w:tcPr>
            <w:tcW w:w="180" w:type="dxa"/>
            <w:vAlign w:val="bottom"/>
            <w:gridSpan w:val="3"/>
          </w:tcPr>
          <w:p>
            <w:pPr>
              <w:spacing w:after="0"/>
              <w:rPr>
                <w:sz w:val="13"/>
                <w:szCs w:val="13"/>
                <w:color w:val="auto"/>
              </w:rPr>
            </w:pPr>
          </w:p>
        </w:tc>
        <w:tc>
          <w:tcPr>
            <w:tcW w:w="3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gridSpan w:val="3"/>
          </w:tcPr>
          <w:p>
            <w:pPr>
              <w:jc w:val="center"/>
              <w:ind w:left="250"/>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46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Amended and Restated Louisiana-Pacific Corporation Non-Employee Director Compensation Plan. Incorporated herein by reference to</w:t>
              </w:r>
            </w:hyperlink>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5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Exhibit 10.8 to LP's Quarterly Report on Form 10-Q for the quarter ended March 31, 2022.</w:t>
              </w:r>
            </w:hyperlink>
          </w:p>
        </w:tc>
        <w:tc>
          <w:tcPr>
            <w:tcW w:w="3200" w:type="dxa"/>
            <w:vAlign w:val="bottom"/>
            <w:tcBorders>
              <w:top w:val="single" w:sz="8" w:color="0000FF"/>
            </w:tcBorders>
            <w:gridSpan w:val="7"/>
          </w:tcPr>
          <w:p>
            <w:pPr>
              <w:spacing w:after="0"/>
              <w:rPr>
                <w:sz w:val="13"/>
                <w:szCs w:val="13"/>
                <w:color w:val="auto"/>
              </w:rPr>
            </w:pPr>
          </w:p>
        </w:tc>
        <w:tc>
          <w:tcPr>
            <w:tcW w:w="3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60" w:type="dxa"/>
            <w:vAlign w:val="bottom"/>
          </w:tcPr>
          <w:p>
            <w:pPr>
              <w:spacing w:after="0"/>
              <w:rPr>
                <w:sz w:val="24"/>
                <w:szCs w:val="24"/>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 xml:space="preserve">Certifications of Chief Executive Officer Pursuant to Rule 13a-14(a) under the Securities Exchange Act of 1934.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3"/>
            <w:shd w:val="clear" w:color="auto" w:fill="0000FF"/>
          </w:tcPr>
          <w:p>
            <w:pPr>
              <w:spacing w:after="0" w:line="20" w:lineRule="exact"/>
              <w:rPr>
                <w:sz w:val="1"/>
                <w:szCs w:val="1"/>
                <w:color w:val="auto"/>
              </w:rPr>
            </w:pPr>
          </w:p>
        </w:tc>
        <w:tc>
          <w:tcPr>
            <w:tcW w:w="3220" w:type="dxa"/>
            <w:vAlign w:val="bottom"/>
            <w:gridSpan w:val="5"/>
            <w:shd w:val="clear" w:color="auto" w:fill="0000FF"/>
          </w:tcPr>
          <w:p>
            <w:pPr>
              <w:spacing w:after="0" w:line="20" w:lineRule="exact"/>
              <w:rPr>
                <w:sz w:val="1"/>
                <w:szCs w:val="1"/>
                <w:color w:val="auto"/>
              </w:rPr>
            </w:pPr>
          </w:p>
        </w:tc>
        <w:tc>
          <w:tcPr>
            <w:tcW w:w="2000" w:type="dxa"/>
            <w:vAlign w:val="bottom"/>
            <w:tcBorders>
              <w:left w:val="single" w:sz="8" w:color="0000FF"/>
            </w:tcBorders>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60" w:type="dxa"/>
            <w:vAlign w:val="bottom"/>
          </w:tcPr>
          <w:p>
            <w:pPr>
              <w:spacing w:after="0"/>
              <w:rPr>
                <w:sz w:val="22"/>
                <w:szCs w:val="22"/>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 xml:space="preserve">Certifications of Chief Financial Officer Pursuant to Rule 13a-14(a) under the Securities Exchange Act of 1934.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3"/>
            <w:shd w:val="clear" w:color="auto" w:fill="0000FF"/>
          </w:tcPr>
          <w:p>
            <w:pPr>
              <w:spacing w:after="0" w:line="20" w:lineRule="exact"/>
              <w:rPr>
                <w:sz w:val="1"/>
                <w:szCs w:val="1"/>
                <w:color w:val="auto"/>
              </w:rPr>
            </w:pPr>
          </w:p>
        </w:tc>
        <w:tc>
          <w:tcPr>
            <w:tcW w:w="3220" w:type="dxa"/>
            <w:vAlign w:val="bottom"/>
            <w:gridSpan w:val="5"/>
            <w:shd w:val="clear" w:color="auto" w:fill="0000FF"/>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 w:type="dxa"/>
            <w:vAlign w:val="bottom"/>
          </w:tcPr>
          <w:p>
            <w:pPr>
              <w:spacing w:after="0"/>
              <w:rPr>
                <w:sz w:val="22"/>
                <w:szCs w:val="22"/>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460" w:type="dxa"/>
            <w:vAlign w:val="bottom"/>
          </w:tcPr>
          <w:p>
            <w:pPr>
              <w:spacing w:after="0"/>
              <w:rPr>
                <w:sz w:val="22"/>
                <w:szCs w:val="22"/>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 xml:space="preserve">Certifications pursuant to § 906 of the Sarbanes-Oxley Act of 2002.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3"/>
            <w:shd w:val="clear" w:color="auto" w:fill="0000FF"/>
          </w:tcPr>
          <w:p>
            <w:pPr>
              <w:spacing w:after="0" w:line="20" w:lineRule="exact"/>
              <w:rPr>
                <w:sz w:val="1"/>
                <w:szCs w:val="1"/>
                <w:color w:val="auto"/>
              </w:rPr>
            </w:pPr>
          </w:p>
        </w:tc>
        <w:tc>
          <w:tcPr>
            <w:tcW w:w="52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92"/>
        </w:trPr>
        <w:tc>
          <w:tcPr>
            <w:tcW w:w="11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101.SCH</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4"/>
        </w:trPr>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84"/>
        </w:trPr>
        <w:tc>
          <w:tcPr>
            <w:tcW w:w="11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66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460" w:type="dxa"/>
            <w:vAlign w:val="bottom"/>
          </w:tcPr>
          <w:p>
            <w:pPr>
              <w:spacing w:after="0"/>
              <w:rPr>
                <w:sz w:val="24"/>
                <w:szCs w:val="24"/>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 and contained in Exhibit 101)*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17" w:lineRule="exact"/>
        <w:rPr>
          <w:rFonts w:ascii="Times New Roman" w:cs="Times New Roman" w:eastAsia="Times New Roman" w:hAnsi="Times New Roman"/>
          <w:sz w:val="18"/>
          <w:szCs w:val="18"/>
          <w:color w:val="auto"/>
        </w:rPr>
      </w:pPr>
    </w:p>
    <w:p>
      <w:pPr>
        <w:jc w:val="both"/>
        <w:ind w:firstLine="8"/>
        <w:spacing w:after="0" w:line="266" w:lineRule="auto"/>
        <w:tabs>
          <w:tab w:leader="none" w:pos="3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schedules and certain exhibits have been omitted pursuant to Item 601(b)(2) of Regulation S-K. The Asset Purchase Agreement as filed identifies such schedules and exhibits, including the general nature of their contents. Louisiana-Pacific Corporation will furnish a copy of any omitted attachment to the Securities and Exchange Commission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17"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50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LOUISIANA-PACIFIC CORPORATION</w:t>
            </w:r>
          </w:p>
        </w:tc>
      </w:tr>
      <w:tr>
        <w:trPr>
          <w:trHeight w:val="51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August 9, 2022</w:t>
            </w:r>
          </w:p>
        </w:tc>
        <w:tc>
          <w:tcPr>
            <w:tcW w:w="22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 BRADLEY SOUTHERN</w:t>
            </w:r>
          </w:p>
        </w:tc>
      </w:tr>
      <w:tr>
        <w:trPr>
          <w:trHeight w:val="184"/>
        </w:trPr>
        <w:tc>
          <w:tcPr>
            <w:tcW w:w="6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 Bradley Southern</w:t>
            </w:r>
          </w:p>
        </w:tc>
      </w:tr>
      <w:tr>
        <w:trPr>
          <w:trHeight w:val="191"/>
        </w:trPr>
        <w:tc>
          <w:tcPr>
            <w:tcW w:w="6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53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August 9, 2022</w:t>
            </w:r>
          </w:p>
        </w:tc>
        <w:tc>
          <w:tcPr>
            <w:tcW w:w="22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J.M. HAUGHIE</w:t>
            </w:r>
          </w:p>
        </w:tc>
      </w:tr>
      <w:tr>
        <w:trPr>
          <w:trHeight w:val="184"/>
        </w:trPr>
        <w:tc>
          <w:tcPr>
            <w:tcW w:w="6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Alan J.M. Haughie</w:t>
            </w:r>
          </w:p>
        </w:tc>
      </w:tr>
      <w:tr>
        <w:trPr>
          <w:trHeight w:val="191"/>
        </w:trPr>
        <w:tc>
          <w:tcPr>
            <w:tcW w:w="6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tc>
      </w:tr>
      <w:tr>
        <w:trPr>
          <w:trHeight w:val="203"/>
        </w:trPr>
        <w:tc>
          <w:tcPr>
            <w:tcW w:w="6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ectPr>
          <w:pgSz w:w="11900" w:h="16838" w:orient="portrait"/>
          <w:cols w:equalWidth="0" w:num="1">
            <w:col w:w="11240"/>
          </w:cols>
          <w:pgMar w:left="320" w:top="14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Bradley Southern, certify that:</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 BRADLEY SOUTHERN</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 BRADLEY SOUTHERN</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Haughie,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J.M. HAUGHIE</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J.M. HAUGHIE</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240"/>
          </w:cols>
          <w:pgMar w:left="320" w:top="113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 18 U.S.C. § 1350 as Adopted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Pursuant to 18 U.S.C. § 1350, as adopted pursuant to § 906 of the Sarbanes-Oxley Act of 2002, in connection with the filing of the Quarterly Report on Form 10-Q of Louisiana-Pacific Corporation (the “Company”) for quarter ended June 30, 2022, as filed with the Securities and Exchange Commission on the date hereof (the “Report”), each of the undersigned officers of the Company certifies, that, to such officer’s knowledge:</w:t>
      </w:r>
    </w:p>
    <w:p>
      <w:pPr>
        <w:spacing w:after="0" w:line="14" w:lineRule="exact"/>
        <w:rPr>
          <w:sz w:val="20"/>
          <w:szCs w:val="20"/>
          <w:color w:val="auto"/>
        </w:rPr>
      </w:pPr>
    </w:p>
    <w:p>
      <w:pPr>
        <w:ind w:left="980" w:hanging="567"/>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63" w:lineRule="exact"/>
        <w:rPr>
          <w:rFonts w:ascii="Times New Roman" w:cs="Times New Roman" w:eastAsia="Times New Roman" w:hAnsi="Times New Roman"/>
          <w:sz w:val="18"/>
          <w:szCs w:val="18"/>
          <w:color w:val="auto"/>
        </w:rPr>
      </w:pPr>
    </w:p>
    <w:p>
      <w:pPr>
        <w:ind w:left="980" w:hanging="567"/>
        <w:spacing w:after="0" w:line="282" w:lineRule="auto"/>
        <w:tabs>
          <w:tab w:leader="none" w:pos="9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1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W. BRADLEY SOUTHERN</w:t>
      </w:r>
    </w:p>
    <w:p>
      <w:pPr>
        <w:ind w:left="58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Alan J.M. Haughie</w:t>
      </w:r>
    </w:p>
    <w:p>
      <w:pPr>
        <w:spacing w:after="0" w:line="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4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amp;"/>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decimal"/>
      <w:start w:val="5"/>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54" Type="http://schemas.openxmlformats.org/officeDocument/2006/relationships/hyperlink" Target="https://www.sec.gov/ix?doc=/Archives/edgar/data/60519/000162828022017792/lpx-20220621.htm" TargetMode="External"/><Relationship Id="rId55" Type="http://schemas.openxmlformats.org/officeDocument/2006/relationships/hyperlink" Target="https://www.sec.gov/Archives/edgar/data/60519/000130817922000083/llpx2022_def14a.htm" TargetMode="External"/><Relationship Id="rId56" Type="http://schemas.openxmlformats.org/officeDocument/2006/relationships/hyperlink" Target="https://www.sec.gov/Archives/edgar/data/60519/000162828022011948/lpx33122exhibit104.htm" TargetMode="External"/><Relationship Id="rId57" Type="http://schemas.openxmlformats.org/officeDocument/2006/relationships/hyperlink" Target="https://www.sec.gov/Archives/edgar/data/60519/000162828022011948/lpx33122exhibit105.htm" TargetMode="External"/><Relationship Id="rId58" Type="http://schemas.openxmlformats.org/officeDocument/2006/relationships/hyperlink" Target="https://www.sec.gov/Archives/edgar/data/60519/000162828022011948/lpx33122exhibit106.htm" TargetMode="External"/><Relationship Id="rId59" Type="http://schemas.openxmlformats.org/officeDocument/2006/relationships/hyperlink" Target="https://www.sec.gov/Archives/edgar/data/60519/000162828022011948/lpx33122exhibit107.htm" TargetMode="External"/><Relationship Id="rId60" Type="http://schemas.openxmlformats.org/officeDocument/2006/relationships/hyperlink" Target="https://www.sec.gov/Archives/edgar/data/60519/000162828022011948/lpx33122exhibit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2022-08-09T11:49:38Z</dcterms:created>
  <dcterms:modified xsi:type="dcterms:W3CDTF">2022-08-09T11:49:38Z</dcterms:modified>
</cp:coreProperties>
</file>