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81280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7" w:lineRule="exact"/>
        <w:rPr>
          <w:sz w:val="24"/>
          <w:szCs w:val="24"/>
          <w:color w:val="auto"/>
        </w:rPr>
      </w:pPr>
    </w:p>
    <w:p>
      <w:pPr>
        <w:jc w:val="center"/>
        <w:ind w:left="5400" w:right="160" w:hanging="5163"/>
        <w:spacing w:after="0" w:line="268" w:lineRule="auto"/>
        <w:tabs>
          <w:tab w:leader="none" w:pos="51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2025</w:t>
      </w:r>
    </w:p>
    <w:p>
      <w:pPr>
        <w:spacing w:after="0" w:line="98" w:lineRule="exact"/>
        <w:rPr>
          <w:sz w:val="24"/>
          <w:szCs w:val="24"/>
          <w:color w:val="auto"/>
        </w:rPr>
      </w:pPr>
    </w:p>
    <w:p>
      <w:pPr>
        <w:jc w:val="center"/>
        <w:ind w:left="5400" w:right="140" w:hanging="5200"/>
        <w:spacing w:after="0" w:line="275" w:lineRule="auto"/>
        <w:tabs>
          <w:tab w:leader="none" w:pos="532"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8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LOUISIANA-PACIFIC CORPORATION</w:t>
      </w:r>
    </w:p>
    <w:p>
      <w:pPr>
        <w:spacing w:after="0" w:line="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60960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96"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w w:val="98"/>
              </w:rPr>
              <w:t>93-0609074</w:t>
            </w:r>
          </w:p>
        </w:tc>
      </w:tr>
      <w:tr>
        <w:trPr>
          <w:trHeight w:val="148"/>
        </w:trPr>
        <w:tc>
          <w:tcPr>
            <w:tcW w:w="3960" w:type="dxa"/>
            <w:vAlign w:val="bottom"/>
          </w:tcPr>
          <w:p>
            <w:pPr>
              <w:jc w:val="center"/>
              <w:ind w:right="20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1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1610 West End Avenue, Suite 200, Nashville, TN 37203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55880</wp:posOffset>
            </wp:positionV>
            <wp:extent cx="228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90" w:type="dxa"/>
        <w:tblCellMar>
          <w:top w:w="0" w:type="dxa"/>
          <w:left w:w="0" w:type="dxa"/>
          <w:bottom w:w="0" w:type="dxa"/>
          <w:right w:w="0" w:type="dxa"/>
        </w:tblCellMar>
      </w:tblPr>
      <w:tr>
        <w:trPr>
          <w:trHeight w:val="243"/>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LPX</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9"/>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660"/>
              <w:spacing w:after="0" w:line="189" w:lineRule="exact"/>
              <w:rPr>
                <w:sz w:val="20"/>
                <w:szCs w:val="20"/>
                <w:color w:val="auto"/>
              </w:rPr>
            </w:pPr>
            <w:r>
              <w:rPr>
                <w:rFonts w:ascii="Wingdings" w:cs="Wingdings" w:eastAsia="Wingdings" w:hAnsi="Wingdings"/>
                <w:sz w:val="18"/>
                <w:szCs w:val="18"/>
                <w:b w:val="1"/>
                <w:bCs w:val="1"/>
                <w:color w:val="auto"/>
              </w:rPr>
              <w:t>x</w:t>
            </w:r>
          </w:p>
        </w:tc>
        <w:tc>
          <w:tcPr>
            <w:tcW w:w="4100" w:type="dxa"/>
            <w:vAlign w:val="bottom"/>
          </w:tcPr>
          <w:p>
            <w:pPr>
              <w:ind w:left="15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9" w:lineRule="exact"/>
              <w:rPr>
                <w:sz w:val="20"/>
                <w:szCs w:val="20"/>
                <w:color w:val="auto"/>
              </w:rPr>
            </w:pPr>
            <w:r>
              <w:rPr>
                <w:rFonts w:ascii="Wingdings" w:cs="Wingdings" w:eastAsia="Wingdings" w:hAnsi="Wingdings"/>
                <w:sz w:val="18"/>
                <w:szCs w:val="18"/>
                <w:b w:val="1"/>
                <w:bCs w:val="1"/>
                <w:color w:val="auto"/>
                <w:w w:val="86"/>
              </w:rPr>
              <w:t>o</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89"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69,589,135 shares of common stock, $1 par value per share, outstanding as of May 2, 2025.</w:t>
      </w:r>
    </w:p>
    <w:p>
      <w:pPr>
        <w:spacing w:after="0" w:line="1" w:lineRule="exact"/>
        <w:rPr>
          <w:sz w:val="24"/>
          <w:szCs w:val="24"/>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quarterly report on Form 10-Q contains, and other reports and documents we file with, or furnish to, the Securities and Exchange Commission (SEC) may contain, forward-looking statements. These statements are based upon the beliefs and assumptions of, and on information currently available to, our management.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statements are or may constitute forward-looking statements: statements preceded by, followed by or that include words like “may,” “will,” “could,” “should,” “believe,” “expect,” “anticipate,” “assume,” “intend,” “plan,” “estimate,” “project,” “target,” “potential,” “continue,” “likely,” or “future,” as well as similar expressions, or the negative or other variations thereof, and include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by the forward-looking statements include, but are not limited to, the following:</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fiscal and monetary policies, including higher or new tariffs and levels of employment;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and global economic conditions, including impacts from rising inflation, supply chain disruptions, new, ongoing, or escalated geopolitical or military conflicts or tensions including the conflict between Russia and Ukraine, the conflict in Israel and the surrounding areas, tensions between the United States and China and tensions between China and Taiwan, and global pandemics and/or health emergencies;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nature of a segment of our products and the prices for those products, which are determined in significant part by external factors such as total industry capacity and wider industry cycles affecting supply and demand trends;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financing for home mortgages;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home construction and repair and remodel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 and prices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supply of and demand for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conditions of third-party wholesale distributors and dealers of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the supply of and demand for raw materials, including wood fiber and resins, used in manufacturing our products;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energy, primarily natural gas, electricity, and diesel fuel;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transportation, including transportation services provided by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vendors and suppliers for certain goods and services critical to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financial impacts from manufacturing our products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development, launch or production ramp-up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executives, management and other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formulate and implement effective succession plans from time to time for key members of our management team;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global pandemics) on the economy, demand for our products or our operations, including the actions and recommendations of governmental authorities to contain such public health issues;</w:t>
      </w: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complete and integrate acquisitions, divestitures, joint ventures, capital investments and other corporate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regional climate conditions, the impacts of climate change, and potential government policies adopted in response to such conditions;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significant operating expenses;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values and exchange rates between the U.S. dollar and other currencies, particularly the Canadian dollar, Brazilian real, Chilean peso, and Argentine peso;</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giving rise to environmental liabilities or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 exceeding our warranty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or exploitation of our intellectual property or other proprietary information by our competitors or other third parties;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existing and future product-related litigation, environmental proceedings and remediation efforts, and other legal or environmental proceedings or matters;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covenants and events of default contained in our debt instruments;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repurchases of our common stock and the payment of dividends on our common stock, which will depend on market and business conditions and other considerations;</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events affecting our information technology systems or those of our third-party providers and the related costs and impact of any disruption on our business; and</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public authorities, war, political or civil unrest, natural disasters, fire, floods, earthquakes, inclement weather, and other matters beyond our control.</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804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040" w:type="dxa"/>
            <w:vAlign w:val="bottom"/>
            <w:gridSpan w:val="2"/>
          </w:tcPr>
          <w:p>
            <w:pPr>
              <w:jc w:val="right"/>
              <w:ind w:right="5619"/>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4"/>
        </w:trPr>
        <w:tc>
          <w:tcPr>
            <w:tcW w:w="1240" w:type="dxa"/>
            <w:vAlign w:val="bottom"/>
          </w:tcPr>
          <w:p>
            <w:pPr>
              <w:spacing w:after="0"/>
              <w:rPr>
                <w:sz w:val="24"/>
                <w:szCs w:val="24"/>
                <w:color w:val="auto"/>
              </w:rPr>
            </w:pPr>
          </w:p>
        </w:tc>
        <w:tc>
          <w:tcPr>
            <w:tcW w:w="804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804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Amounts in millions, except per share amounts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804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(Unaudited)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5"/>
        </w:trPr>
        <w:tc>
          <w:tcPr>
            <w:tcW w:w="12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88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124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7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r>
      <w:tr>
        <w:trPr>
          <w:trHeight w:val="213"/>
        </w:trPr>
        <w:tc>
          <w:tcPr>
            <w:tcW w:w="1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Cost of sales</w:t>
            </w:r>
          </w:p>
        </w:tc>
        <w:tc>
          <w:tcPr>
            <w:tcW w:w="7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2"/>
        </w:trPr>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7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3"/>
        </w:trPr>
        <w:tc>
          <w:tcPr>
            <w:tcW w:w="92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9"/>
        </w:trPr>
        <w:tc>
          <w:tcPr>
            <w:tcW w:w="92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r>
      <w:tr>
        <w:trPr>
          <w:trHeight w:val="218"/>
        </w:trPr>
        <w:tc>
          <w:tcPr>
            <w:tcW w:w="9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928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Investment income</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9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non-operating income (expense)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r>
      <w:tr>
        <w:trPr>
          <w:trHeight w:val="218"/>
        </w:trPr>
        <w:tc>
          <w:tcPr>
            <w:tcW w:w="92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92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Equity in unconsolidated affiliate</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1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7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r>
      <w:tr>
        <w:trPr>
          <w:trHeight w:val="20"/>
        </w:trPr>
        <w:tc>
          <w:tcPr>
            <w:tcW w:w="83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4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89"/>
        </w:trPr>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804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1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7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0"/>
        </w:trPr>
        <w:tc>
          <w:tcPr>
            <w:tcW w:w="83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124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9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of common stock used to compute net income per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7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2"/>
        </w:trPr>
        <w:tc>
          <w:tcPr>
            <w:tcW w:w="1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7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Borders>
              <w:bottom w:val="single" w:sz="8" w:color="auto"/>
            </w:tcBorders>
          </w:tcPr>
          <w:p>
            <w:pPr>
              <w:spacing w:after="0"/>
              <w:rPr>
                <w:sz w:val="18"/>
                <w:szCs w:val="18"/>
                <w:color w:val="auto"/>
              </w:rPr>
            </w:pPr>
          </w:p>
        </w:tc>
      </w:tr>
      <w:tr>
        <w:trPr>
          <w:trHeight w:val="211"/>
        </w:trPr>
        <w:tc>
          <w:tcPr>
            <w:tcW w:w="8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r>
      <w:tr>
        <w:trPr>
          <w:trHeight w:val="211"/>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108</w:t>
            </w:r>
          </w:p>
        </w:tc>
      </w:tr>
      <w:tr>
        <w:trPr>
          <w:trHeight w:val="213"/>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8"/>
        </w:trPr>
        <w:tc>
          <w:tcPr>
            <w:tcW w:w="8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r>
      <w:tr>
        <w:trPr>
          <w:trHeight w:val="22"/>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08"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$2 as of March 31, 2025 and $1 as of December 31, 2024</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855</w:t>
            </w:r>
          </w:p>
        </w:tc>
        <w:tc>
          <w:tcPr>
            <w:tcW w:w="0" w:type="dxa"/>
            <w:vAlign w:val="bottom"/>
          </w:tcPr>
          <w:p>
            <w:pPr>
              <w:spacing w:after="0"/>
              <w:rPr>
                <w:sz w:val="1"/>
                <w:szCs w:val="1"/>
                <w:color w:val="auto"/>
              </w:rPr>
            </w:pPr>
          </w:p>
        </w:tc>
      </w:tr>
      <w:tr>
        <w:trPr>
          <w:trHeight w:val="272"/>
        </w:trPr>
        <w:tc>
          <w:tcPr>
            <w:tcW w:w="7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Timber and timberlands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and advances to affiliates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w:t>
            </w:r>
          </w:p>
        </w:tc>
        <w:tc>
          <w:tcPr>
            <w:tcW w:w="0" w:type="dxa"/>
            <w:vAlign w:val="bottom"/>
          </w:tcPr>
          <w:p>
            <w:pPr>
              <w:spacing w:after="0"/>
              <w:rPr>
                <w:sz w:val="1"/>
                <w:szCs w:val="1"/>
                <w:color w:val="auto"/>
              </w:rPr>
            </w:pPr>
          </w:p>
        </w:tc>
      </w:tr>
      <w:tr>
        <w:trPr>
          <w:trHeight w:val="272"/>
        </w:trPr>
        <w:tc>
          <w:tcPr>
            <w:tcW w:w="7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Contingency reserves, excluding current portion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899</w:t>
            </w:r>
          </w:p>
        </w:tc>
        <w:tc>
          <w:tcPr>
            <w:tcW w:w="0" w:type="dxa"/>
            <w:vAlign w:val="bottom"/>
          </w:tcPr>
          <w:p>
            <w:pPr>
              <w:spacing w:after="0"/>
              <w:rPr>
                <w:sz w:val="1"/>
                <w:szCs w:val="1"/>
                <w:color w:val="auto"/>
              </w:rPr>
            </w:pPr>
          </w:p>
        </w:tc>
      </w:tr>
      <w:tr>
        <w:trPr>
          <w:trHeight w:val="252"/>
        </w:trPr>
        <w:tc>
          <w:tcPr>
            <w:tcW w:w="7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$1 par value per share, 200 shares authorized; 85 shares issued and 70 shares issued and</w:t>
            </w:r>
          </w:p>
        </w:tc>
        <w:tc>
          <w:tcPr>
            <w:tcW w:w="2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outstanding, respectively, as of March 31, 2025; and 86 shares issued and 70 shares issued and outstanding,</w:t>
            </w:r>
          </w:p>
        </w:tc>
        <w:tc>
          <w:tcPr>
            <w:tcW w:w="2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 as of December 31, 2024</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15 shares and 16 shares at cost as of March 31, 2025 and December 31, 2024, respectively</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1,671</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2,569</w:t>
            </w:r>
          </w:p>
        </w:tc>
        <w:tc>
          <w:tcPr>
            <w:tcW w:w="0" w:type="dxa"/>
            <w:vAlign w:val="bottom"/>
          </w:tcPr>
          <w:p>
            <w:pPr>
              <w:spacing w:after="0"/>
              <w:rPr>
                <w:sz w:val="1"/>
                <w:szCs w:val="1"/>
                <w:color w:val="auto"/>
              </w:rPr>
            </w:pPr>
          </w:p>
        </w:tc>
      </w:tr>
      <w:tr>
        <w:trPr>
          <w:trHeight w:val="22"/>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net income:</w:t>
            </w: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12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adjustments, net</w:t>
            </w: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Changes in assets and liabilities (net of acquisitions and divestitures):</w:t>
            </w: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Receivables</w:t>
            </w: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20" w:type="dxa"/>
            <w:vAlign w:val="bottom"/>
          </w:tcPr>
          <w:p>
            <w:pPr>
              <w:spacing w:after="0"/>
              <w:rPr>
                <w:sz w:val="18"/>
                <w:szCs w:val="18"/>
                <w:color w:val="auto"/>
              </w:rPr>
            </w:pPr>
          </w:p>
        </w:tc>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Income taxes payable, net of receivables</w:t>
            </w: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operating activities</w:t>
            </w:r>
          </w:p>
        </w:tc>
        <w:tc>
          <w:tcPr>
            <w:tcW w:w="1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r>
      <w:tr>
        <w:trPr>
          <w:trHeight w:val="194"/>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8"/>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additions</w:t>
            </w:r>
          </w:p>
        </w:tc>
        <w:tc>
          <w:tcPr>
            <w:tcW w:w="1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8"/>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w:t>
            </w: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r>
      <w:tr>
        <w:trPr>
          <w:trHeight w:val="198"/>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tc>
        <w:tc>
          <w:tcPr>
            <w:tcW w:w="1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r>
      <w:tr>
        <w:trPr>
          <w:trHeight w:val="207"/>
        </w:trPr>
        <w:tc>
          <w:tcPr>
            <w:tcW w:w="20" w:type="dxa"/>
            <w:vAlign w:val="bottom"/>
            <w:tcBorders>
              <w:bottom w:val="single" w:sz="8" w:color="CCEEFF"/>
            </w:tcBorders>
          </w:tcPr>
          <w:p>
            <w:pPr>
              <w:spacing w:after="0"/>
              <w:rPr>
                <w:sz w:val="17"/>
                <w:szCs w:val="17"/>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1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4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196"/>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4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 net</w:t>
            </w: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Unpaid capital expenditures</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2024</w:t>
      </w:r>
    </w:p>
    <w:p>
      <w:pPr>
        <w:spacing w:after="0" w:line="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160" w:right="180"/>
        <w:spacing w:after="0" w:line="281" w:lineRule="auto"/>
        <w:rPr>
          <w:sz w:val="20"/>
          <w:szCs w:val="20"/>
          <w:color w:val="auto"/>
        </w:rPr>
      </w:pPr>
      <w:r>
        <w:rPr>
          <w:rFonts w:ascii="Times New Roman" w:cs="Times New Roman" w:eastAsia="Times New Roman" w:hAnsi="Times New Roman"/>
          <w:sz w:val="16"/>
          <w:szCs w:val="16"/>
          <w:color w:val="auto"/>
        </w:rPr>
        <w:t>Dividends paid ($0.28 per share) Issuance of shares under stock plans</w:t>
      </w:r>
    </w:p>
    <w:p>
      <w:pPr>
        <w:spacing w:after="0" w:line="1" w:lineRule="exact"/>
        <w:rPr>
          <w:sz w:val="20"/>
          <w:szCs w:val="20"/>
          <w:color w:val="auto"/>
        </w:rPr>
      </w:pPr>
    </w:p>
    <w:p>
      <w:pPr>
        <w:ind w:left="14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6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 w:lineRule="exact"/>
        <w:rPr>
          <w:sz w:val="20"/>
          <w:szCs w:val="20"/>
          <w:color w:val="auto"/>
        </w:rPr>
      </w:pPr>
    </w:p>
    <w:p>
      <w:pPr>
        <w:ind w:left="40" w:right="220" w:firstLine="121"/>
        <w:spacing w:after="0" w:line="316" w:lineRule="auto"/>
        <w:rPr>
          <w:sz w:val="20"/>
          <w:szCs w:val="20"/>
          <w:color w:val="auto"/>
        </w:rPr>
      </w:pPr>
      <w:r>
        <w:rPr>
          <w:rFonts w:ascii="Times New Roman" w:cs="Times New Roman" w:eastAsia="Times New Roman" w:hAnsi="Times New Roman"/>
          <w:sz w:val="16"/>
          <w:szCs w:val="16"/>
          <w:color w:val="auto"/>
        </w:rPr>
        <w:t xml:space="preserve">Other comprehensive (loss) income </w:t>
      </w:r>
      <w:r>
        <w:rPr>
          <w:rFonts w:ascii="Times New Roman" w:cs="Times New Roman" w:eastAsia="Times New Roman" w:hAnsi="Times New Roman"/>
          <w:sz w:val="16"/>
          <w:szCs w:val="16"/>
          <w:b w:val="1"/>
          <w:bCs w:val="1"/>
          <w:color w:val="auto"/>
        </w:rPr>
        <w:t>Balance, March 31,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140" w:right="180"/>
        <w:spacing w:after="0" w:line="281" w:lineRule="auto"/>
        <w:rPr>
          <w:sz w:val="20"/>
          <w:szCs w:val="20"/>
          <w:color w:val="auto"/>
        </w:rPr>
      </w:pPr>
      <w:r>
        <w:rPr>
          <w:rFonts w:ascii="Times New Roman" w:cs="Times New Roman" w:eastAsia="Times New Roman" w:hAnsi="Times New Roman"/>
          <w:sz w:val="16"/>
          <w:szCs w:val="16"/>
          <w:color w:val="auto"/>
        </w:rPr>
        <w:t>Dividends paid ($0.26 per share) Issuance of shares under stock plans</w:t>
      </w:r>
    </w:p>
    <w:p>
      <w:pPr>
        <w:spacing w:after="0" w:line="1" w:lineRule="exact"/>
        <w:rPr>
          <w:sz w:val="20"/>
          <w:szCs w:val="20"/>
          <w:color w:val="auto"/>
        </w:rPr>
      </w:pPr>
    </w:p>
    <w:p>
      <w:pPr>
        <w:ind w:left="140" w:right="80"/>
        <w:spacing w:after="0" w:line="245" w:lineRule="auto"/>
        <w:rPr>
          <w:sz w:val="20"/>
          <w:szCs w:val="20"/>
          <w:color w:val="auto"/>
        </w:rPr>
      </w:pPr>
      <w:r>
        <w:rPr>
          <w:rFonts w:ascii="Times New Roman" w:cs="Times New Roman" w:eastAsia="Times New Roman" w:hAnsi="Times New Roman"/>
          <w:sz w:val="16"/>
          <w:szCs w:val="16"/>
          <w:color w:val="auto"/>
        </w:rPr>
        <w:t>Taxes paid related to net settlement of stock-based awards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Purchase of stock</w:t>
      </w:r>
    </w:p>
    <w:p>
      <w:pPr>
        <w:spacing w:after="0" w:line="32" w:lineRule="exact"/>
        <w:rPr>
          <w:sz w:val="20"/>
          <w:szCs w:val="20"/>
          <w:color w:val="auto"/>
        </w:rPr>
      </w:pPr>
    </w:p>
    <w:p>
      <w:pPr>
        <w:ind w:left="140"/>
        <w:spacing w:after="0" w:line="245" w:lineRule="auto"/>
        <w:rPr>
          <w:sz w:val="20"/>
          <w:szCs w:val="20"/>
          <w:color w:val="auto"/>
        </w:rPr>
      </w:pPr>
      <w:r>
        <w:rPr>
          <w:rFonts w:ascii="Times New Roman" w:cs="Times New Roman" w:eastAsia="Times New Roman" w:hAnsi="Times New Roman"/>
          <w:sz w:val="16"/>
          <w:szCs w:val="16"/>
          <w:color w:val="auto"/>
        </w:rPr>
        <w:t>Compensation expense associated with stock-based compensation</w:t>
      </w:r>
    </w:p>
    <w:p>
      <w:pPr>
        <w:spacing w:after="0" w:line="20" w:lineRule="exact"/>
        <w:rPr>
          <w:sz w:val="20"/>
          <w:szCs w:val="20"/>
          <w:color w:val="auto"/>
        </w:rPr>
      </w:pPr>
      <w:r>
        <w:rPr>
          <w:sz w:val="20"/>
          <w:szCs w:val="20"/>
          <w:color w:val="auto"/>
        </w:rPr>
        <w:br w:type="column"/>
      </w:r>
    </w:p>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0" w:lineRule="exact"/>
        <w:rPr>
          <w:sz w:val="20"/>
          <w:szCs w:val="20"/>
          <w:color w:val="auto"/>
        </w:rPr>
      </w:pPr>
    </w:p>
    <w:p>
      <w:pPr>
        <w:jc w:val="center"/>
        <w:ind w:right="2740"/>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gridSpan w:val="3"/>
            <w:vMerge w:val="restart"/>
          </w:tcPr>
          <w:p>
            <w:pPr>
              <w:jc w:val="center"/>
              <w:ind w:right="26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vMerge w:val="restart"/>
          </w:tcPr>
          <w:p>
            <w:pPr>
              <w:jc w:val="center"/>
              <w:ind w:right="79"/>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83"/>
        </w:trPr>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86</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1,615</w:t>
            </w:r>
          </w:p>
        </w:tc>
        <w:tc>
          <w:tcPr>
            <w:tcW w:w="10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1,671</w:t>
            </w:r>
          </w:p>
        </w:tc>
        <w:tc>
          <w:tcPr>
            <w:tcW w:w="0" w:type="dxa"/>
            <w:vAlign w:val="bottom"/>
          </w:tcPr>
          <w:p>
            <w:pPr>
              <w:spacing w:after="0"/>
              <w:rPr>
                <w:sz w:val="1"/>
                <w:szCs w:val="1"/>
                <w:color w:val="auto"/>
              </w:rPr>
            </w:pPr>
          </w:p>
        </w:tc>
      </w:tr>
      <w:tr>
        <w:trPr>
          <w:trHeight w:val="214"/>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97"/>
        </w:trPr>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00"/>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1"/>
        </w:trPr>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1,692</w:t>
            </w:r>
          </w:p>
        </w:tc>
        <w:tc>
          <w:tcPr>
            <w:tcW w:w="0" w:type="dxa"/>
            <w:vAlign w:val="bottom"/>
          </w:tcPr>
          <w:p>
            <w:pPr>
              <w:spacing w:after="0"/>
              <w:rPr>
                <w:sz w:val="1"/>
                <w:szCs w:val="1"/>
                <w:color w:val="auto"/>
              </w:rPr>
            </w:pPr>
          </w:p>
        </w:tc>
      </w:tr>
      <w:tr>
        <w:trPr>
          <w:trHeight w:val="400"/>
        </w:trPr>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24"/>
                <w:szCs w:val="24"/>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gridSpan w:val="3"/>
            <w:vMerge w:val="restart"/>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vMerge w:val="restart"/>
          </w:tcPr>
          <w:p>
            <w:pPr>
              <w:jc w:val="center"/>
              <w:ind w:right="39"/>
              <w:spacing w:after="0" w:line="13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83"/>
        </w:trPr>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88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tcBorders>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w w:val="97"/>
              </w:rPr>
              <w:t>(89)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1,557</w:t>
            </w:r>
          </w:p>
        </w:tc>
        <w:tc>
          <w:tcPr>
            <w:tcW w:w="0" w:type="dxa"/>
            <w:vAlign w:val="bottom"/>
          </w:tcPr>
          <w:p>
            <w:pPr>
              <w:spacing w:after="0"/>
              <w:rPr>
                <w:sz w:val="1"/>
                <w:szCs w:val="1"/>
                <w:color w:val="auto"/>
              </w:rPr>
            </w:pPr>
          </w:p>
        </w:tc>
      </w:tr>
      <w:tr>
        <w:trPr>
          <w:trHeight w:val="214"/>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97"/>
        </w:trPr>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-1729740</wp:posOffset>
            </wp:positionH>
            <wp:positionV relativeFrom="paragraph">
              <wp:posOffset>-3064510</wp:posOffset>
            </wp:positionV>
            <wp:extent cx="70980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-2781300</wp:posOffset>
            </wp:positionV>
            <wp:extent cx="70980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-2506980</wp:posOffset>
            </wp:positionV>
            <wp:extent cx="709803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-2129790</wp:posOffset>
            </wp:positionV>
            <wp:extent cx="709803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-1752600</wp:posOffset>
            </wp:positionV>
            <wp:extent cx="709803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-1118870</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-835660</wp:posOffset>
            </wp:positionV>
            <wp:extent cx="71151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-561340</wp:posOffset>
            </wp:positionV>
            <wp:extent cx="7115175"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-184150</wp:posOffset>
            </wp:positionV>
            <wp:extent cx="711517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2680" w:space="60"/>
            <w:col w:w="8460"/>
          </w:cols>
          <w:pgMar w:left="340" w:top="887" w:right="359" w:bottom="1440" w:gutter="0" w:footer="0" w:header="0"/>
        </w:sectPr>
      </w:pPr>
    </w:p>
    <w:tbl>
      <w:tblPr>
        <w:tblLayout w:type="fixed"/>
        <w:tblInd w:w="0" w:type="dxa"/>
        <w:tblCellMar>
          <w:top w:w="0" w:type="dxa"/>
          <w:left w:w="0" w:type="dxa"/>
          <w:bottom w:w="0" w:type="dxa"/>
          <w:right w:w="0" w:type="dxa"/>
        </w:tblCellMar>
      </w:tblPr>
      <w:tr>
        <w:trPr>
          <w:trHeight w:val="215"/>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1"/>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88</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1,555</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1,617</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type w:val="continuous"/>
        </w:sectPr>
      </w:pPr>
    </w:p>
    <w:bookmarkStart w:id="8" w:name="page9"/>
    <w:bookmarkEnd w:id="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and we make limited sales to customers in Asia, Australia, and Europe. The Company operates 22 plants across the U.S., Canada, Chile, and Brazil, in certain cases through foreign subsidiaries. References to "LP," the "Company," "we," "our," and "us" refer to Louisiana-Pacific Corporation and its consolidated subsidiaries as a whole.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Selected Segment Data" below for further information regarding our products and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here have been prepared in accordance with accounting principles generally accepted in the United States of America (U.S. GAAP) for interim financial reporting. As such, they do not include all the information and footnotes required by U.S. GAAP for complete consolidated financial statements. Management believes that all necessary adjustments for a fair presentation have been included and are of a normal and recurring nature. These Condensed Consolidated Financial Statements and the accompanying Notes should be reviewed in conjunction with our annual report on Form 10-K for the fiscal year ended December 31, 2024, filed with the SEC on February 19, 2025 (2024 Annual Report on Form 10-K). The results of operations for interim periods are not necessarily indicative of the results that may be expected for the full fiscal year.</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LP and our controlled subsidiaries. All intercompany transactions, profits,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in the segment reporting information in “Note 15. Selected Segment Data” below, our reportable segments are Siding, Oriented Strand Board (OSB), and LP South America (LPSA). The following tables present our reportable segment revenues, disaggregated by revenue source (dollar amounts in millions):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4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6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9"/>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07"/>
        </w:trPr>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158"/>
        </w:trPr>
        <w:tc>
          <w:tcPr>
            <w:tcW w:w="424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53"/>
        </w:trPr>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5"/>
        </w:trPr>
        <w:tc>
          <w:tcPr>
            <w:tcW w:w="42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3"/>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4"/>
        </w:trPr>
        <w:tc>
          <w:tcPr>
            <w:tcW w:w="42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OSB</w:t>
            </w:r>
          </w:p>
        </w:tc>
        <w:tc>
          <w:tcPr>
            <w:tcW w:w="26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LPSA</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7"/>
        </w:trPr>
        <w:tc>
          <w:tcPr>
            <w:tcW w:w="424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6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9"/>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7"/>
        </w:trPr>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158"/>
        </w:trPr>
        <w:tc>
          <w:tcPr>
            <w:tcW w:w="424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1"/>
        </w:trPr>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4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53"/>
        </w:trPr>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5"/>
        </w:trPr>
        <w:tc>
          <w:tcPr>
            <w:tcW w:w="42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4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3"/>
        </w:trPr>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obligations under the terms of contracts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businesses routinely incur customer program costs to obtain favorable product placement, promote sales of products, and maintain competitive pricing. Customer program costs and incentives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(i) the time of sale or (ii) the implementation of the program based on management’s best estimates. Estimates are based on historical and projected experience for each type of program or customer. Volume allowances are accrued based on our estimates of customer volume achievement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incorporated into customer agreements, such as new product purchases, store sell-through, merchandising support, and customer training. Management adjusts accruals when circumstances indicate (typically as a result of a change in volume expectations).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restricted stock units, and performance stock units) be excluded from the calculation of diluted earnings per share for the periods in which losses are reported because the effect is anti-dilutive.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(dollar and share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70"/>
        </w:trPr>
        <w:tc>
          <w:tcPr>
            <w:tcW w:w="8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Dilutive effect of employee stock plans</w:t>
            </w:r>
          </w:p>
        </w:tc>
        <w:tc>
          <w:tcPr>
            <w:tcW w:w="9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for diluted earnings per share</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26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w:t>
            </w:r>
          </w:p>
        </w:tc>
        <w:tc>
          <w:tcPr>
            <w:tcW w:w="0" w:type="dxa"/>
            <w:vAlign w:val="bottom"/>
          </w:tcPr>
          <w:p>
            <w:pPr>
              <w:spacing w:after="0"/>
              <w:rPr>
                <w:sz w:val="1"/>
                <w:szCs w:val="1"/>
                <w:color w:val="auto"/>
              </w:rPr>
            </w:pPr>
          </w:p>
        </w:tc>
      </w:tr>
      <w:tr>
        <w:trPr>
          <w:trHeight w:val="20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1.48</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three levels of inputs that may be used to measure fair value:</w:t>
      </w:r>
    </w:p>
    <w:p>
      <w:pPr>
        <w:spacing w:after="0" w:line="11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that are accessible at the measurement date for identical, unrestricted assets or liabilities.</w:t>
      </w:r>
    </w:p>
    <w:p>
      <w:pPr>
        <w:spacing w:after="0" w:line="117" w:lineRule="exact"/>
        <w:rPr>
          <w:sz w:val="20"/>
          <w:szCs w:val="20"/>
          <w:color w:val="auto"/>
        </w:rPr>
      </w:pPr>
    </w:p>
    <w:p>
      <w:pPr>
        <w:jc w:val="both"/>
        <w:ind w:left="780" w:hanging="971"/>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Level 2</w:t>
        <w:tab/>
        <w:t>Quoted prices for similar assets or liabilities in active markets; quoted prices for identical or similar assets or liabilities in inactive markets; or valuations based on models where the significant inputs are observable or can be corroborated by observable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ind w:left="760" w:hanging="97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Level 3</w:t>
        <w:tab/>
        <w:t>Valuations based on models where significant inputs are not observable. Unobservable inputs are used when little or no market data is available and reflect the Company’s own assumptions about the assumptions market participants would use.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short-term receivables, trade payables, debt instruments, and trading securities. Carrying amounts reported on the balance sheet for cash and cash equivalents, receivables, and accounts payable approximate fair value due to the short-term maturity of these instruments.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carrying value of the 3.625% Senior Notes due in 2029 (2029 Senior Notes) was $348 million as of March 31, 2025 and December 31, 2024. Based on market quotations, the fair value of the 2029 Senior Notes was estimated to be $328 million and $323 million as of March 31, 2025 and December 31, 2024, respectively. The 2029 Senior Notes and other long-term debt are categorized as Level 1 in the U.S. GAAP fair value hierarchy. Fair values are based on trading activity among the Company’s lenders and the average bid and ask price is determined using published rates.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2025, LP entered into that certain First Amendment to Second Amended and Restated Credit Agreement (the First Amendment) with American AgCredit, PCA, as administrative agent, CoBank, ACB, as letter of credit issuer, and the lenders and voting participants party thereto, which amends that certain Second Amended and Restated Credit Agreement (the Credit Agreement) that was entered into in November 2022. The First Amendment amends the Credit Agreement to (1) increase the aggregate principal amount for the credit facility from $550 million to $750 million, (2) increase the sub-limit for letters of credit from $60 million to $75 million, (3) change the interest rate for revolving borrowing, (4) change the capitalization ratio limit, and (5) extend the maturity date to March 26, 2032. As of March 31, 2025, there were no outstanding borrowings pursuant to the credit facility as amended by the First Amendment (the Amended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RECEIVABLES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consisted of the following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680" w:type="dxa"/>
            <w:vAlign w:val="bottom"/>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Receivables</w:t>
            </w:r>
          </w:p>
        </w:tc>
        <w:tc>
          <w:tcPr>
            <w:tcW w:w="1680" w:type="dxa"/>
            <w:vAlign w:val="bottom"/>
            <w:tcBorders>
              <w:bottom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receivables are primarily generated by sales of our products to our wholesale and retail customers. Other receivables as of March 31, 2025, and December 31, 2024, primarily consist of sales tax receivables, vendor rebates, and other miscellaneous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Inventory cost includes materials, labor, and operating overhead. The first-in, first-out or average cost methods are used to value our inventories as of March 31, 2025. Inventory consisted of the following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Logs</w:t>
            </w:r>
          </w:p>
        </w:tc>
        <w:tc>
          <w:tcPr>
            <w:tcW w:w="1660" w:type="dxa"/>
            <w:vAlign w:val="bottom"/>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raw materials</w:t>
            </w:r>
          </w:p>
        </w:tc>
        <w:tc>
          <w:tcPr>
            <w:tcW w:w="1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Semi-finished inventories</w:t>
            </w:r>
          </w:p>
        </w:tc>
        <w:tc>
          <w:tcPr>
            <w:tcW w:w="16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660" w:type="dxa"/>
            <w:vAlign w:val="bottom"/>
            <w:tcBorders>
              <w:bottom w:val="single" w:sz="8" w:color="auto"/>
            </w:tcBorders>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OTHER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goodwill and other intangible assets for the three months ended March 31, 2025 are provided in the following table (dollar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Timber Licenses</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00" w:type="dxa"/>
            <w:vAlign w:val="bottom"/>
          </w:tcPr>
          <w:p>
            <w:pPr>
              <w:spacing w:after="0"/>
              <w:rPr>
                <w:sz w:val="21"/>
                <w:szCs w:val="21"/>
                <w:color w:val="auto"/>
              </w:rPr>
            </w:pP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Developed Technology</w:t>
            </w:r>
          </w:p>
        </w:tc>
      </w:tr>
      <w:tr>
        <w:trPr>
          <w:trHeight w:val="20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2024</w:t>
            </w:r>
          </w:p>
        </w:tc>
        <w:tc>
          <w:tcPr>
            <w:tcW w:w="1520" w:type="dxa"/>
            <w:vAlign w:val="bottom"/>
            <w:tcBorders>
              <w:top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52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March 31, 2025</w:t>
            </w:r>
          </w:p>
        </w:tc>
        <w:tc>
          <w:tcPr>
            <w:tcW w:w="1520" w:type="dxa"/>
            <w:vAlign w:val="bottom"/>
            <w:tcBorders>
              <w:top w:val="single" w:sz="8" w:color="auto"/>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Timber licenses are included in timber and timberlands on the Condensed Consolidated Balance Sheets.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ACCOUNTS PAYABLE AND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were as follows (dollars amounts in millions):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8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payable</w:t>
            </w:r>
          </w:p>
        </w:tc>
        <w:tc>
          <w:tcPr>
            <w:tcW w:w="1680" w:type="dxa"/>
            <w:vAlign w:val="bottom"/>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wages payable</w:t>
            </w:r>
          </w:p>
        </w:tc>
        <w:tc>
          <w:tcPr>
            <w:tcW w:w="1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customer incentives</w:t>
            </w:r>
          </w:p>
        </w:tc>
        <w:tc>
          <w:tcPr>
            <w:tcW w:w="1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6"/>
        </w:trPr>
        <w:tc>
          <w:tcPr>
            <w:tcW w:w="6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Accounts payable and accrued liabilities</w:t>
            </w:r>
          </w:p>
        </w:tc>
        <w:tc>
          <w:tcPr>
            <w:tcW w:w="1680" w:type="dxa"/>
            <w:vAlign w:val="bottom"/>
            <w:tcBorders>
              <w:bottom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accrued liabilities at March 31, 2025 and December 31, 2024, primarily consisted of accrued interest, worker compensation liabilities, warranty reserves, and other items. Additionally, trade accounts payable included $12 million and $32 million related to capital expenditures that had not yet been paid as of March 31, 2025 and December 31,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in the current quarter. Changes in profitability estimates in various jurisdictions will impact our quarterly effective income tax rates.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three months ended March 31, 2025, and 2024, reflected an estimated annual effective tax rate of 24% and 25%, respectively, excluding discrete items discussed below. The total tax provision for the three months ended March 31, 2025, was $26 million, compared to $41 million for the comparable period in 2024. The total effective tax rate for the three months ended March 31, 2025, was 22%, compared to 28% for the comparable period in 2024. The decrease in the total effective tax rate primarily resulted from the discrete tax benefits and expenses discussed below.</w:t>
      </w:r>
    </w:p>
    <w:p>
      <w:pPr>
        <w:spacing w:after="0" w:line="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three months ended March 31, 2025, we recognized a $3 million net discrete tax benefit, and during the three months ended March 31, 2024, we recognized a net discrete tax expense of $4 million. The current year net tax benefit related primarily to inflationary and foreign currency exchange-related effects and stock-based compensation while the net discrete tax expense in the prior year primarily related to inflationary and foreign currency exchange-related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(OECD) announced an Inclusive Framework on Base Erosion and Profit Shifting including Pillar Two Model Rules (Pillar Two) applicable to large multinational corporations which would establish a global per-country minimum tax of 15%. While the United States has not enacted legislation to adopt the Pillar Two framework and it is uncertain if it will do so in the future, certain countries in which we operate have enacted such legislation. Specifically, the Canadian government enacted legislation in 2024 implementing aspects of the OECD’s minimum tax rules under the Pillar Two framework effective in the 2024 fiscal year and released draft legislation proposed to implement further aspects of the framework effective for the 2025 fiscal year. In addition, in 2024, the Brazilian Congress approved legislation implementing a tax measure that took effect in 2025, that is largely aligned with certain aspects of the OECD’s minimum tax rules under the Pillar Two framework. To date, no other jurisdictions in which LP operates have enacted Pillar Two legislation. At this time, we do not expect Pillar Two legislation to have a material impact on our effective tax rate or our consolidated results of operations, financial position or cash flows. The Company will continue to monitor future developments related to Pillar Two legislation to determine any potential impact in the countries in which we operate.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OPERATING AND NON-OPERATING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credits and charges,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credits and charges, net,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Borders>
              <w:bottom w:val="single" w:sz="8" w:color="auto"/>
            </w:tcBorders>
          </w:tcPr>
          <w:p>
            <w:pPr>
              <w:spacing w:after="0"/>
              <w:rPr>
                <w:sz w:val="18"/>
                <w:szCs w:val="18"/>
                <w:color w:val="auto"/>
              </w:rPr>
            </w:pPr>
          </w:p>
        </w:tc>
      </w:tr>
      <w:tr>
        <w:trPr>
          <w:trHeight w:val="211"/>
        </w:trPr>
        <w:tc>
          <w:tcPr>
            <w:tcW w:w="8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charges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Legal settlement</w:t>
            </w:r>
          </w:p>
        </w:tc>
        <w:tc>
          <w:tcPr>
            <w:tcW w:w="1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asset disposal</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credits and charges, net</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2"/>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non-operating items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Borders>
              <w:bottom w:val="single" w:sz="8" w:color="auto"/>
            </w:tcBorders>
          </w:tcPr>
          <w:p>
            <w:pPr>
              <w:spacing w:after="0"/>
              <w:rPr>
                <w:sz w:val="18"/>
                <w:szCs w:val="18"/>
                <w:color w:val="auto"/>
              </w:rPr>
            </w:pPr>
          </w:p>
        </w:tc>
      </w:tr>
      <w:tr>
        <w:trPr>
          <w:trHeight w:val="211"/>
        </w:trPr>
        <w:tc>
          <w:tcPr>
            <w:tcW w:w="8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w:t>
            </w:r>
          </w:p>
        </w:tc>
        <w:tc>
          <w:tcPr>
            <w:tcW w:w="1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non-operating items</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2"/>
        </w:trPr>
        <w:tc>
          <w:tcPr>
            <w:tcW w:w="8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IMPAIRMENT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the carrying values of our long-lived assets for potential impairments and believe we have adequate support for the carrying value of each of these assets based upon the anticipated cash flows that result from our estimates of future demand, pricing, and production costs, assuming certain levels of planned capital expenditures. However,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No impairment was recognized as of March 31,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we may be required to record impairment charges in connection with decisions to dispose of such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reserves for various contingent liabilities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reserves</w:t>
            </w:r>
          </w:p>
        </w:tc>
        <w:tc>
          <w:tcPr>
            <w:tcW w:w="1840" w:type="dxa"/>
            <w:vAlign w:val="bottom"/>
            <w:tcBorders>
              <w:bottom w:val="single" w:sz="8" w:color="auto"/>
            </w:tcBorders>
            <w:shd w:val="clear" w:color="auto" w:fill="CCEEFF"/>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28</w:t>
            </w: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contingencies</w:t>
            </w:r>
          </w:p>
        </w:tc>
        <w:tc>
          <w:tcPr>
            <w:tcW w:w="184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(included in Accounts payable and accrued liabilities)</w:t>
            </w:r>
          </w:p>
        </w:tc>
        <w:tc>
          <w:tcPr>
            <w:tcW w:w="1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portion</w:t>
            </w:r>
          </w:p>
        </w:tc>
        <w:tc>
          <w:tcPr>
            <w:tcW w:w="1840" w:type="dxa"/>
            <w:vAlign w:val="bottom"/>
            <w:tcBorders>
              <w:bottom w:val="single" w:sz="8" w:color="auto"/>
            </w:tcBorders>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6"/>
                <w:szCs w:val="16"/>
                <w:color w:val="auto"/>
              </w:rPr>
              <w:t>27</w:t>
            </w:r>
          </w:p>
        </w:tc>
      </w:tr>
      <w:tr>
        <w:trPr>
          <w:trHeight w:val="23"/>
        </w:trPr>
        <w:tc>
          <w:tcPr>
            <w:tcW w:w="66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based on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Proceedings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and our subsidiaries are parties to certain legal proceedings arising in our ordinary course of business. Based on the information currently available, management does not believe that the resolution of such proceedings could reasonably be expected to have a material adverse effect on our financial position, results of operations, cash flows,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months ended March 31, 2025 and 2024, is summarized in the following table (dollar amounts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Borders>
              <w:bottom w:val="single" w:sz="8" w:color="auto"/>
            </w:tcBorders>
          </w:tcPr>
          <w:p>
            <w:pPr>
              <w:spacing w:after="0"/>
              <w:rPr>
                <w:sz w:val="18"/>
                <w:szCs w:val="18"/>
                <w:color w:val="auto"/>
              </w:rPr>
            </w:pPr>
          </w:p>
        </w:tc>
      </w:tr>
      <w:tr>
        <w:trPr>
          <w:trHeight w:val="211"/>
        </w:trPr>
        <w:tc>
          <w:tcPr>
            <w:tcW w:w="8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8</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warranty provision</w:t>
            </w:r>
          </w:p>
        </w:tc>
        <w:tc>
          <w:tcPr>
            <w:tcW w:w="1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3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1</w:t>
            </w:r>
          </w:p>
        </w:tc>
      </w:tr>
      <w:tr>
        <w:trPr>
          <w:trHeight w:val="212"/>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reserves</w:t>
            </w: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8</w:t>
            </w:r>
          </w:p>
        </w:tc>
      </w:tr>
      <w:tr>
        <w:trPr>
          <w:trHeight w:val="213"/>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portion of warranty reserves (included in accounts payable and accrued liabilities)</w:t>
            </w: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(2)</w:t>
            </w:r>
          </w:p>
        </w:tc>
      </w:tr>
      <w:tr>
        <w:trPr>
          <w:trHeight w:val="235"/>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portion of warranty reserves (included in other long-term liabilities)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monitor warranty and other claims associated with our products and believe, as of March 31, 2025, that the warranty reserve balances associated with these matters are adequate to cover future warranty payments. However, it is possible that additional changes may be required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comprehensive loss is provided in the following table for the three months ended March 31, 2025 and 2024 (dollar amounts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8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80"/>
              <w:spacing w:after="0" w:line="138"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20" w:type="dxa"/>
            <w:vAlign w:val="bottom"/>
          </w:tcPr>
          <w:p>
            <w:pPr>
              <w:spacing w:after="0"/>
              <w:rPr>
                <w:sz w:val="11"/>
                <w:szCs w:val="11"/>
                <w:color w:val="auto"/>
              </w:rPr>
            </w:pPr>
          </w:p>
        </w:tc>
        <w:tc>
          <w:tcPr>
            <w:tcW w:w="10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SELECTED SEGMENT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three segments: Siding, OSB, and LPSA. Our business units have been aggregated into these three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68" w:lineRule="exact"/>
        <w:rPr>
          <w:sz w:val="20"/>
          <w:szCs w:val="20"/>
          <w:color w:val="auto"/>
        </w:rPr>
      </w:pPr>
    </w:p>
    <w:p>
      <w:pPr>
        <w:jc w:val="both"/>
        <w:ind w:left="660" w:hanging="328"/>
        <w:spacing w:after="0" w:line="20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Siding segment serves diverse end markets with a broad product portfolio of engineered wood siding, trim, soffit, and fascia, including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ExpertFinish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 BuilderSeries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Lap Siding,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Outdoor Building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(collectively referred to as Siding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ind w:left="660" w:hanging="328"/>
        <w:spacing w:after="0" w:line="22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Structural Solutions (which includes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LP NovaCore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Thermal Insulated Sheathing,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350 Durable Sub-Flooring).</w:t>
      </w:r>
    </w:p>
    <w:p>
      <w:pPr>
        <w:spacing w:after="0" w:line="9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LPSA segment manufactures and distributes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the performance of our business segments based on net sales and segment Adjusted EBITDA. Accordingly, our chief operating decision maker, the chief executive officer, evaluates performance and allocates resources based primarily on net sales and segment Adjusted EBITDA for our business segments. Segment Adjusted EBITDA is defined as income attributed to LP excluding interest expense, provision for income taxes, depreciation and amortization, stock-based compensation expense, loss on impairment attributed to LP, business exit credits and charges, product-line discontinuance charges, other operating credits and charges, net, loss on early debt extinguishment, investment income, pension settlement charges, other non-operating items, income from discontinued operations, net of income taxes, and net income attributed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Information about our business segments is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3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OSB</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LPSA</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 Total</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402</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(276)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Adjusted EBITDA:</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6"/>
        </w:trPr>
        <w:tc>
          <w:tcPr>
            <w:tcW w:w="31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charges</w:t>
            </w:r>
            <w:r>
              <w:rPr>
                <w:rFonts w:ascii="Times New Roman" w:cs="Times New Roman" w:eastAsia="Times New Roman" w:hAnsi="Times New Roman"/>
                <w:sz w:val="21"/>
                <w:szCs w:val="21"/>
                <w:color w:val="auto"/>
                <w:vertAlign w:val="superscript"/>
              </w:rPr>
              <w:t>1</w:t>
            </w: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gridSpan w:val="6"/>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88"/>
        </w:trPr>
        <w:tc>
          <w:tcPr>
            <w:tcW w:w="3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09"/>
        </w:trPr>
        <w:tc>
          <w:tcPr>
            <w:tcW w:w="3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OSB</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LPSA</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 Total</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r>
      <w:tr>
        <w:trPr>
          <w:trHeight w:val="213"/>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(254)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Adjusted EBITDA:</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31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charges</w:t>
            </w:r>
            <w:r>
              <w:rPr>
                <w:rFonts w:ascii="Times New Roman" w:cs="Times New Roman" w:eastAsia="Times New Roman" w:hAnsi="Times New Roman"/>
                <w:sz w:val="21"/>
                <w:szCs w:val="21"/>
                <w:color w:val="auto"/>
                <w:vertAlign w:val="superscript"/>
              </w:rPr>
              <w:t>1</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4"/>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charges includes stock compensation and income from equity in unconsolidated affiliates.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8"/>
                <w:szCs w:val="18"/>
                <w:color w:val="auto"/>
              </w:rPr>
            </w:pPr>
          </w:p>
        </w:tc>
      </w:tr>
      <w:tr>
        <w:trPr>
          <w:trHeight w:val="209"/>
        </w:trPr>
        <w:tc>
          <w:tcPr>
            <w:tcW w:w="810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r>
      <w:tr>
        <w:trPr>
          <w:trHeight w:val="19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TO ADJUSTED EBITDA RECONCILIATION</w:t>
            </w: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exit credits</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income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identifiable assets by segment is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Identifiable Assets</w:t>
            </w:r>
          </w:p>
        </w:tc>
        <w:tc>
          <w:tcPr>
            <w:tcW w:w="1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Siding</w:t>
            </w:r>
          </w:p>
        </w:tc>
        <w:tc>
          <w:tcPr>
            <w:tcW w:w="1740" w:type="dxa"/>
            <w:vAlign w:val="bottom"/>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OSB</w:t>
            </w:r>
          </w:p>
        </w:tc>
        <w:tc>
          <w:tcPr>
            <w:tcW w:w="17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LPSA</w:t>
            </w:r>
          </w:p>
        </w:tc>
        <w:tc>
          <w:tcPr>
            <w:tcW w:w="1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08"/>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740" w:type="dxa"/>
            <w:vAlign w:val="bottom"/>
            <w:tcBorders>
              <w:bottom w:val="single" w:sz="8" w:color="auto"/>
            </w:tcBorders>
          </w:tcPr>
          <w:p>
            <w:pPr>
              <w:jc w:val="right"/>
              <w:ind w:right="1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2,570</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2,569</w:t>
            </w:r>
          </w:p>
        </w:tc>
      </w:tr>
      <w:tr>
        <w:trPr>
          <w:trHeight w:val="22"/>
        </w:trPr>
        <w:tc>
          <w:tcPr>
            <w:tcW w:w="6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related assets include cash and cash equivalents, short-term and long-term investments, corporate assets,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included in our 2024 Annual Report on Form 10-K and in this quarterly report on Form 10-Q. These risks and uncertainties could cause actual results to differ materially from those projected in the forward-looking statements contained in this quarterly report on Form 10-Q or implied by past results and trends. Our historical results are not necessarily indicative of the results that may be expected for any period in the future, and our interim results are not necessarily indicative of the results we expect for the full fiscal year or any other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 To serve these markets, we operate in three segments: Siding, OSB, and LPSA.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for Building Products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our products correlates positively with new home construction and repair and remodeling activity in North America, which historically has been characterized by significant cyclicality. The U.S. Census Bureau reported on April 17, 2025, that actual single-family housing starts were 6% lower for the three months ended March 31, 2025, as compared to the same period in 2024. Actual multi-family housing starts for the three months ended March 31, 2025, were 11% higher, as compared to the same period in 2024. Repair and remodeling activity is difficult to reasonably measure, but many indicators suggest that it has increased slightly year-over-year.</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economic conditions in the United States and the demand for homes are uncertain due to various macroeconomic factors, including interest rates, employment levels, changing trade policy in various jurisdictions (including the imposition of new tariffs and the modification of existing tariffs), consumer confidence, and financial markets, among other things. Additionally, we have experienced increases in material prices, supply disruptions, and labor challenges, which we continue to address as we work to meet the demands of builders, remodelers, and homeowners worldwide.</w:t>
      </w:r>
    </w:p>
    <w:p>
      <w:pPr>
        <w:spacing w:after="0" w:line="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international trade landscape currently is extremely volatile. The United States government has recently announced significant changes to U.S. trade policy, including the implementation or planned implementation of new or increased tariffs on a broad range of goods imported from international markets, including Canada and China, as well as the potential modification or termination of existing trade agreements between the United States and certain other countries. These actions, and potential retaliatory tariffs imposed by other countries on U.S. export products, could negatively affect our sales and our competitive position in markets outside the United States. Further, changing trade policy in the United States and other countries, particularly Canada and China, could increase the cost of certain raw materials or components that are critical to our manufacturing process, which could have a material negative impact on our manufacturing costs and our overall financial performance. While we are actively exploring opportunities to mitigate these increased costs, there can be no guarantee that we will be able to achieve successful mitigation strategies or meaningfully offset the financial impact of new or increased tariffs, or other adverse changes to trade policy, in the United States or other countries. In the three months ended March 31, 2025, our cost of sales in the Siding segment was impacted by $2 million related to new or increased tariffs. Based on a preliminary analysis of the potential effects of the tariffs that are currently in force, in the U.S. as well as in other markets in which we operate, we estimate incremental costs of approximately $12 million in 2025, most of which will be incurred by the Siding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impact of these factors on our future operational and financial performance is uncertain. As a result, our past performance may not be indicative of future results.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Siding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Siding Solutions products are specialty building materials and are subject to competition from various siding technologies, including vinyl, stucco, wood, fiber cement, brick, and others. We believe we are the largest manufacturer of engineered wood siding in North America and South America. We have consistently grown our Siding segment above the underlying market growth rates. Our Siding segment is generally less sensitive to new housing market cyclicality since a majority of its demand comes from other markets, including off-site structure producers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OSB</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We cannot predict whether the prices of our OSB products will remain at current levels or fluctuate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1 of the Notes to the Consolidated Financial Statements included in our 2024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application of principles, methods, and assumptions used to determine our significant estimates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and Other Key Performance Indicators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net income excluding interest expense, provision for income taxes, depreciation and amortization, stock-based compensation expense, loss on impairment attributed to LP, business exit credits and charges, product-line discontinuance charges, other operating credits and charges, net, loss on early debt extinguishment, investment income, pension settlement charges, other non-operating items, income from discontinued operations, net of income taxes, and net income attributed to noncontrolling interest,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net income excluding loss on impairment attributed to LP, business exit credits and charges, product-line discontinuance charges, interest expense outside of normal operations, other operating credits and charges, net, loss on early debt extinguishment, gain (loss) on acquisition, pension settlement charges, income from discontinued operations, net of income taxes, and net income attributed to noncontrolling interest, and adjusting for a normalized tax rate, as Adjusted Income (Adjusted Income), which is a non-GAAP financial measure. We also disclose Adjusted Diluted EPS, which is calculated as Adjusted Income divided by diluted shares outstanding (Adjusted Diluted EPS). We believe that Adjusted Diluted EPS and Adjusted Income are useful measures for evaluating our ability to generate earnings and that providing these measures should allow interested persons to more readily compare the earnings for past and future periods. Reconciliations of Adjusted EBITDA, Adjusted Income, and Adjusted Diluted EPS to their most directly comparable U.S. GAAP financial measures, net income and net income per share of common stock - diluted, respectively, are presented below.</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Adjusted Income, and Adjusted Diluted EPS are not substitutes for the U.S. GAAP measures of net income, and net income per share of common stock - diluted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(dollar amounts in millions):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r>
      <w:tr>
        <w:trPr>
          <w:trHeight w:val="213"/>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Business exit credits</w:t>
            </w:r>
          </w:p>
        </w:tc>
        <w:tc>
          <w:tcPr>
            <w:tcW w:w="10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income</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80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BY SEGMENT</w:t>
            </w: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13"/>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Siding</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LPSA</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8"/>
        </w:trPr>
        <w:tc>
          <w:tcPr>
            <w:tcW w:w="80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r>
      <w:tr>
        <w:trPr>
          <w:trHeight w:val="22"/>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of net income to Adjusted Income (dollar amounts in millions, except per share amounts):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per share of common stock - diluted</w:t>
            </w:r>
          </w:p>
        </w:tc>
        <w:tc>
          <w:tcPr>
            <w:tcW w:w="10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0" w:type="dxa"/>
            <w:vAlign w:val="bottom"/>
          </w:tcPr>
          <w:p>
            <w:pPr>
              <w:spacing w:after="0"/>
              <w:rPr>
                <w:sz w:val="1"/>
                <w:szCs w:val="1"/>
                <w:color w:val="auto"/>
              </w:rPr>
            </w:pP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 exit credits</w:t>
            </w: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Reported tax provision</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income before tax</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Normalized tax provision at 25%</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Income</w:t>
            </w:r>
          </w:p>
        </w:tc>
        <w:tc>
          <w:tcPr>
            <w:tcW w:w="102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102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management monitors certain key performance indicators to evaluate our business performance, which include our Overall Equipment Effectiveness (OEE) and our sales volume relative to housing starts, as provided by reports from the U.S. Census Bureau.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 w:name="page24"/>
    <w:bookmarkEnd w:id="23"/>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summary data relating to: (i) housing starts within the United States, (ii) our sales volumes, and (iii) our OEE performance. We consider these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U.S. GAAP. These measures may not be comparable to similarly titled performance indicators used by other companies.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performance indicators reported by other companies.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housing starts for the three months ended March 31, 2025 and 2024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Housing starts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Single-Family</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0"/>
        </w:trPr>
        <w:tc>
          <w:tcPr>
            <w:tcW w:w="80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3"/>
        </w:trPr>
        <w:tc>
          <w:tcPr>
            <w:tcW w:w="80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50"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Actual U.S. housing starts data, in thousands, reported by the U.S. Census Bureau as published through April 17, 2025.</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sales volumes for our products in our Siding, OSB, and LPSA segments, which we define as the amount of our products sold within the applicable period measured in million square feet (MMSF) on a standard 3/8" thickness basis.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sales volumes for the three months ended March 31, 2025 and 2024:</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326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660" w:type="dxa"/>
            <w:vAlign w:val="bottom"/>
            <w:tcBorders>
              <w:bottom w:val="single" w:sz="8" w:color="auto"/>
            </w:tcBorders>
          </w:tcPr>
          <w:p>
            <w:pPr>
              <w:spacing w:after="0"/>
              <w:rPr>
                <w:sz w:val="18"/>
                <w:szCs w:val="18"/>
                <w:color w:val="auto"/>
              </w:rPr>
            </w:pPr>
          </w:p>
        </w:tc>
      </w:tr>
      <w:tr>
        <w:trPr>
          <w:trHeight w:val="214"/>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Sales Volume</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OSB</w:t>
            </w: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LPSA</w:t>
            </w: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OSB</w:t>
            </w: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LPSA</w:t>
            </w: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1"/>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Siding Solutions (MMSF)</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99"/>
              </w:rPr>
              <w:t>434</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1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OSB - Structural Solutions (MMSF)</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1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OSB - commodity (MMSF)</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OEE for the three months ended March 31, 2025, and 2024, for each of our segments is listed below:</w:t>
      </w:r>
    </w:p>
    <w:p>
      <w:pPr>
        <w:spacing w:after="0" w:line="16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73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LPSA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for each of our segments are discussed below, as are the results of operations for the “Other” category, which comprises other products that are not individually significant. See "Note 15. Selected Segment Data" of the Notes to the Condensed Consolidated Financial Statements included in "Item 1. Financial Statements" of this quarterly report on Form 10-Q for further information regarding our segments.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Siding</w:t>
      </w:r>
    </w:p>
    <w:p>
      <w:pPr>
        <w:sectPr>
          <w:pgSz w:w="11900" w:h="16838" w:orient="portrait"/>
          <w:cols w:equalWidth="0" w:num="1">
            <w:col w:w="11240"/>
          </w:cols>
          <w:pgMar w:left="320" w:top="1440" w:right="339" w:bottom="1440" w:gutter="0" w:footer="0" w:header="0"/>
        </w:sectPr>
      </w:pPr>
    </w:p>
    <w:p>
      <w:pPr>
        <w:spacing w:after="0" w:line="11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Siding segment serves diverse end markets with a broad product portfolio of engineered wood siding,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ExpertFinish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 BuilderSeries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Lap Siding, (collectively referred to as Siding Solutions).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firstLine="12"/>
        <w:spacing w:after="0" w:line="237" w:lineRule="auto"/>
        <w:rPr>
          <w:sz w:val="20"/>
          <w:szCs w:val="20"/>
          <w:color w:val="auto"/>
        </w:rPr>
      </w:pPr>
      <w:r>
        <w:rPr>
          <w:rFonts w:ascii="Times New Roman" w:cs="Times New Roman" w:eastAsia="Times New Roman" w:hAnsi="Times New Roman"/>
          <w:sz w:val="18"/>
          <w:szCs w:val="18"/>
          <w:color w:val="auto"/>
        </w:rPr>
        <w:t>trim, soffit, and fascia, including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Outdoor Building Solutions</w:t>
      </w:r>
      <w:r>
        <w:rPr>
          <w:rFonts w:ascii="Times New Roman" w:cs="Times New Roman" w:eastAsia="Times New Roman" w:hAnsi="Times New Roman"/>
          <w:sz w:val="23"/>
          <w:szCs w:val="23"/>
          <w:color w:val="auto"/>
          <w:vertAlign w:val="superscript"/>
        </w:rPr>
        <w:t>®</w:t>
      </w:r>
    </w:p>
    <w:p>
      <w:pPr>
        <w:spacing w:after="0" w:line="603" w:lineRule="exact"/>
        <w:rPr>
          <w:sz w:val="20"/>
          <w:szCs w:val="20"/>
          <w:color w:val="auto"/>
        </w:rPr>
      </w:pPr>
    </w:p>
    <w:p>
      <w:pPr>
        <w:sectPr>
          <w:pgSz w:w="11900" w:h="16838" w:orient="portrait"/>
          <w:cols w:equalWidth="0" w:num="2">
            <w:col w:w="8260" w:space="60"/>
            <w:col w:w="29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4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Borders>
              <w:bottom w:val="single" w:sz="8" w:color="auto"/>
            </w:tcBorders>
          </w:tcPr>
          <w:p>
            <w:pPr>
              <w:spacing w:after="0"/>
              <w:rPr>
                <w:sz w:val="18"/>
                <w:szCs w:val="18"/>
                <w:color w:val="auto"/>
              </w:rPr>
            </w:pPr>
          </w:p>
        </w:tc>
      </w:tr>
      <w:tr>
        <w:trPr>
          <w:trHeight w:val="211"/>
        </w:trPr>
        <w:tc>
          <w:tcPr>
            <w:tcW w:w="74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Borders>
              <w:bottom w:val="single" w:sz="8" w:color="auto"/>
            </w:tcBorders>
          </w:tcPr>
          <w:p>
            <w:pPr>
              <w:spacing w:after="0"/>
              <w:rPr>
                <w:sz w:val="18"/>
                <w:szCs w:val="18"/>
                <w:color w:val="auto"/>
              </w:rPr>
            </w:pP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11 %</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prices and unit shipments for the three months ended March 31, 2025, compared to the corresponding period in 2024,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3380" w:type="dxa"/>
            <w:vAlign w:val="bottom"/>
            <w:gridSpan w:val="4"/>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6"/>
                <w:szCs w:val="16"/>
                <w:color w:val="auto"/>
              </w:rPr>
            </w:pPr>
          </w:p>
        </w:tc>
      </w:tr>
      <w:tr>
        <w:trPr>
          <w:trHeight w:val="214"/>
        </w:trPr>
        <w:tc>
          <w:tcPr>
            <w:tcW w:w="7420" w:type="dxa"/>
            <w:vAlign w:val="bottom"/>
          </w:tcPr>
          <w:p>
            <w:pPr>
              <w:spacing w:after="0"/>
              <w:rPr>
                <w:sz w:val="18"/>
                <w:szCs w:val="18"/>
                <w:color w:val="auto"/>
              </w:rPr>
            </w:pPr>
          </w:p>
        </w:tc>
        <w:tc>
          <w:tcPr>
            <w:tcW w:w="3380" w:type="dxa"/>
            <w:vAlign w:val="bottom"/>
            <w:tcBorders>
              <w:bottom w:val="single" w:sz="8" w:color="auto"/>
            </w:tcBorders>
            <w:gridSpan w:val="4"/>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March 31, 2025 versus 2024</w:t>
            </w:r>
          </w:p>
        </w:tc>
        <w:tc>
          <w:tcPr>
            <w:tcW w:w="440" w:type="dxa"/>
            <w:vAlign w:val="bottom"/>
            <w:tcBorders>
              <w:bottom w:val="single" w:sz="8" w:color="auto"/>
            </w:tcBorders>
          </w:tcPr>
          <w:p>
            <w:pPr>
              <w:spacing w:after="0"/>
              <w:rPr>
                <w:sz w:val="18"/>
                <w:szCs w:val="18"/>
                <w:color w:val="auto"/>
              </w:rPr>
            </w:pPr>
          </w:p>
        </w:tc>
      </w:tr>
      <w:tr>
        <w:trPr>
          <w:trHeight w:val="157"/>
        </w:trPr>
        <w:tc>
          <w:tcPr>
            <w:tcW w:w="7420" w:type="dxa"/>
            <w:vAlign w:val="bottom"/>
          </w:tcPr>
          <w:p>
            <w:pPr>
              <w:spacing w:after="0"/>
              <w:rPr>
                <w:sz w:val="13"/>
                <w:szCs w:val="13"/>
                <w:color w:val="auto"/>
              </w:rPr>
            </w:pPr>
          </w:p>
        </w:tc>
        <w:tc>
          <w:tcPr>
            <w:tcW w:w="1440" w:type="dxa"/>
            <w:vAlign w:val="bottom"/>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ind w:left="35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40" w:type="dxa"/>
            <w:vAlign w:val="bottom"/>
          </w:tcPr>
          <w:p>
            <w:pPr>
              <w:spacing w:after="0"/>
              <w:rPr>
                <w:sz w:val="13"/>
                <w:szCs w:val="13"/>
                <w:color w:val="auto"/>
              </w:rPr>
            </w:pPr>
          </w:p>
        </w:tc>
      </w:tr>
      <w:tr>
        <w:trPr>
          <w:trHeight w:val="213"/>
        </w:trPr>
        <w:tc>
          <w:tcPr>
            <w:tcW w:w="74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rPr>
              <w:t>Shipments</w:t>
            </w:r>
          </w:p>
        </w:tc>
        <w:tc>
          <w:tcPr>
            <w:tcW w:w="440" w:type="dxa"/>
            <w:vAlign w:val="bottom"/>
            <w:tcBorders>
              <w:bottom w:val="single" w:sz="8" w:color="auto"/>
            </w:tcBorders>
          </w:tcPr>
          <w:p>
            <w:pPr>
              <w:spacing w:after="0"/>
              <w:rPr>
                <w:sz w:val="18"/>
                <w:szCs w:val="18"/>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1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 order files and price realization resulted in higher net sales versus prior year. ExpertFinish products accounted for 10% of volume and 15% of net sales in the three months ended March 31, 2025, contributing to this favorable mix. The increase in Adjusted EBITDA of $16 million reflects the impacts of the net sales increase offset by investments in sales and marketing and $2 million of tariff impact.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OSB</w:t>
      </w:r>
    </w:p>
    <w:p>
      <w:pPr>
        <w:spacing w:after="0" w:line="11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Structural Solutions (which includes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LP NovaCore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Thermal Insulated Sheathing,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350 Durable Sub-Flooring).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3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4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8"/>
        </w:trPr>
        <w:tc>
          <w:tcPr>
            <w:tcW w:w="7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r>
      <w:tr>
        <w:trPr>
          <w:trHeight w:val="22"/>
        </w:trPr>
        <w:tc>
          <w:tcPr>
            <w:tcW w:w="7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prices and unit shipments for the three months ended March 31, 2025, compared to the corresponding period in 2024,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330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r>
      <w:tr>
        <w:trPr>
          <w:trHeight w:val="214"/>
        </w:trPr>
        <w:tc>
          <w:tcPr>
            <w:tcW w:w="7440" w:type="dxa"/>
            <w:vAlign w:val="bottom"/>
          </w:tcPr>
          <w:p>
            <w:pPr>
              <w:spacing w:after="0"/>
              <w:rPr>
                <w:sz w:val="18"/>
                <w:szCs w:val="18"/>
                <w:color w:val="auto"/>
              </w:rPr>
            </w:pPr>
          </w:p>
        </w:tc>
        <w:tc>
          <w:tcPr>
            <w:tcW w:w="3300" w:type="dxa"/>
            <w:vAlign w:val="bottom"/>
            <w:tcBorders>
              <w:bottom w:val="single" w:sz="8" w:color="auto"/>
            </w:tcBorders>
            <w:gridSpan w:val="4"/>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March 31, 2025 versus 2024</w:t>
            </w:r>
          </w:p>
        </w:tc>
        <w:tc>
          <w:tcPr>
            <w:tcW w:w="500" w:type="dxa"/>
            <w:vAlign w:val="bottom"/>
            <w:tcBorders>
              <w:bottom w:val="single" w:sz="8" w:color="auto"/>
            </w:tcBorders>
          </w:tcPr>
          <w:p>
            <w:pPr>
              <w:spacing w:after="0"/>
              <w:rPr>
                <w:sz w:val="18"/>
                <w:szCs w:val="18"/>
                <w:color w:val="auto"/>
              </w:rPr>
            </w:pPr>
          </w:p>
        </w:tc>
      </w:tr>
      <w:tr>
        <w:trPr>
          <w:trHeight w:val="157"/>
        </w:trPr>
        <w:tc>
          <w:tcPr>
            <w:tcW w:w="7440" w:type="dxa"/>
            <w:vAlign w:val="bottom"/>
          </w:tcPr>
          <w:p>
            <w:pPr>
              <w:spacing w:after="0"/>
              <w:rPr>
                <w:sz w:val="13"/>
                <w:szCs w:val="13"/>
                <w:color w:val="auto"/>
              </w:rPr>
            </w:pPr>
          </w:p>
        </w:tc>
        <w:tc>
          <w:tcPr>
            <w:tcW w:w="1380" w:type="dxa"/>
            <w:vAlign w:val="bottom"/>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left="419"/>
              <w:spacing w:after="0" w:line="158" w:lineRule="exact"/>
              <w:rPr>
                <w:sz w:val="20"/>
                <w:szCs w:val="20"/>
                <w:color w:val="auto"/>
              </w:rPr>
            </w:pPr>
            <w:r>
              <w:rPr>
                <w:rFonts w:ascii="Times New Roman" w:cs="Times New Roman" w:eastAsia="Times New Roman" w:hAnsi="Times New Roman"/>
                <w:sz w:val="16"/>
                <w:szCs w:val="16"/>
                <w:color w:val="auto"/>
                <w:w w:val="98"/>
              </w:rPr>
              <w:t>Unit</w:t>
            </w:r>
          </w:p>
        </w:tc>
        <w:tc>
          <w:tcPr>
            <w:tcW w:w="500" w:type="dxa"/>
            <w:vAlign w:val="bottom"/>
          </w:tcPr>
          <w:p>
            <w:pPr>
              <w:spacing w:after="0"/>
              <w:rPr>
                <w:sz w:val="13"/>
                <w:szCs w:val="13"/>
                <w:color w:val="auto"/>
              </w:rPr>
            </w:pPr>
          </w:p>
        </w:tc>
      </w:tr>
      <w:tr>
        <w:trPr>
          <w:trHeight w:val="213"/>
        </w:trPr>
        <w:tc>
          <w:tcPr>
            <w:tcW w:w="74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Shipments</w:t>
            </w:r>
          </w:p>
        </w:tc>
        <w:tc>
          <w:tcPr>
            <w:tcW w:w="500" w:type="dxa"/>
            <w:vAlign w:val="bottom"/>
            <w:tcBorders>
              <w:bottom w:val="single" w:sz="8" w:color="auto"/>
            </w:tcBorders>
          </w:tcPr>
          <w:p>
            <w:pPr>
              <w:spacing w:after="0"/>
              <w:rPr>
                <w:sz w:val="18"/>
                <w:szCs w:val="18"/>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bl>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quarter 2025 net sales for the OSB segment decreased year-over-year by $46 million (or 15%), reflecting a $32 million decrease from lower OSB selling prices and a $13 million decrease in sales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for the three months ended March 31, 2025 decreased year-over-year by $36 million, primarily reflecting the impact of lower OSB prices and volumes.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LPSA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LPSA segment manufactures and distributes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and Adjusted EBITDA for this segment were as follows (dollar amounts in millions):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4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this segment by product were as follows (dollar amounts in millions):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Borders>
              <w:bottom w:val="single" w:sz="8" w:color="auto"/>
            </w:tcBorders>
          </w:tcPr>
          <w:p>
            <w:pPr>
              <w:spacing w:after="0"/>
              <w:rPr>
                <w:sz w:val="18"/>
                <w:szCs w:val="18"/>
                <w:color w:val="auto"/>
              </w:rPr>
            </w:pPr>
          </w:p>
        </w:tc>
      </w:tr>
      <w:tr>
        <w:trPr>
          <w:trHeight w:val="211"/>
        </w:trPr>
        <w:tc>
          <w:tcPr>
            <w:tcW w:w="74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tcBorders>
              <w:bottom w:val="single" w:sz="8" w:color="auto"/>
            </w:tcBorders>
          </w:tcPr>
          <w:p>
            <w:pPr>
              <w:spacing w:after="0"/>
              <w:rPr>
                <w:sz w:val="18"/>
                <w:szCs w:val="18"/>
                <w:color w:val="auto"/>
              </w:rPr>
            </w:pP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08"/>
        </w:trPr>
        <w:tc>
          <w:tcPr>
            <w:tcW w:w="7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11 %</w:t>
            </w:r>
          </w:p>
        </w:tc>
      </w:tr>
      <w:tr>
        <w:trPr>
          <w:trHeight w:val="22"/>
        </w:trPr>
        <w:tc>
          <w:tcPr>
            <w:tcW w:w="7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 and unit shipments for the three months ended March 31, 2025, compared to the corresponding period in 2024,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3360" w:type="dxa"/>
            <w:vAlign w:val="bottom"/>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r>
      <w:tr>
        <w:trPr>
          <w:trHeight w:val="214"/>
        </w:trPr>
        <w:tc>
          <w:tcPr>
            <w:tcW w:w="7400" w:type="dxa"/>
            <w:vAlign w:val="bottom"/>
          </w:tcPr>
          <w:p>
            <w:pPr>
              <w:spacing w:after="0"/>
              <w:rPr>
                <w:sz w:val="18"/>
                <w:szCs w:val="18"/>
                <w:color w:val="auto"/>
              </w:rPr>
            </w:pPr>
          </w:p>
        </w:tc>
        <w:tc>
          <w:tcPr>
            <w:tcW w:w="336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March 31, 2025 versus 2024</w:t>
            </w:r>
          </w:p>
        </w:tc>
        <w:tc>
          <w:tcPr>
            <w:tcW w:w="480" w:type="dxa"/>
            <w:vAlign w:val="bottom"/>
            <w:tcBorders>
              <w:bottom w:val="single" w:sz="8" w:color="auto"/>
            </w:tcBorders>
          </w:tcPr>
          <w:p>
            <w:pPr>
              <w:spacing w:after="0"/>
              <w:rPr>
                <w:sz w:val="18"/>
                <w:szCs w:val="18"/>
                <w:color w:val="auto"/>
              </w:rPr>
            </w:pPr>
          </w:p>
        </w:tc>
      </w:tr>
      <w:tr>
        <w:trPr>
          <w:trHeight w:val="157"/>
        </w:trPr>
        <w:tc>
          <w:tcPr>
            <w:tcW w:w="7400" w:type="dxa"/>
            <w:vAlign w:val="bottom"/>
          </w:tcPr>
          <w:p>
            <w:pPr>
              <w:spacing w:after="0"/>
              <w:rPr>
                <w:sz w:val="13"/>
                <w:szCs w:val="13"/>
                <w:color w:val="auto"/>
              </w:rPr>
            </w:pPr>
          </w:p>
        </w:tc>
        <w:tc>
          <w:tcPr>
            <w:tcW w:w="1420" w:type="dxa"/>
            <w:vAlign w:val="bottom"/>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left="39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80" w:type="dxa"/>
            <w:vAlign w:val="bottom"/>
          </w:tcPr>
          <w:p>
            <w:pPr>
              <w:spacing w:after="0"/>
              <w:rPr>
                <w:sz w:val="13"/>
                <w:szCs w:val="13"/>
                <w:color w:val="auto"/>
              </w:rPr>
            </w:pPr>
          </w:p>
        </w:tc>
      </w:tr>
      <w:tr>
        <w:trPr>
          <w:trHeight w:val="213"/>
        </w:trPr>
        <w:tc>
          <w:tcPr>
            <w:tcW w:w="74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color w:val="auto"/>
              </w:rPr>
              <w:t>Shipments</w:t>
            </w:r>
          </w:p>
        </w:tc>
        <w:tc>
          <w:tcPr>
            <w:tcW w:w="480" w:type="dxa"/>
            <w:vAlign w:val="bottom"/>
            <w:tcBorders>
              <w:bottom w:val="single" w:sz="8" w:color="auto"/>
            </w:tcBorders>
          </w:tcPr>
          <w:p>
            <w:pPr>
              <w:spacing w:after="0"/>
              <w:rPr>
                <w:sz w:val="18"/>
                <w:szCs w:val="18"/>
                <w:color w:val="auto"/>
              </w:rPr>
            </w:pPr>
          </w:p>
        </w:tc>
      </w:tr>
      <w:tr>
        <w:trPr>
          <w:trHeight w:val="21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bl>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year-over-year net sales and Adjusted EBITDA increases for the three months ended March 31, 2025 reflect higher sales volumes offset by unfavorable currency fluctuations.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other products segment includes other minor products, services, and closed operations, which do not qualify as discontinued operations. Additionally, this segment includes corporate expenses that are not allocated, such as general administrative costs and stock-based compensation. During 2024, the equity method investment held by Entekra Holdings LLC, our off-site framing operation, sold substantially all of its net assets. Other net sales were $2 million for the three months ended March 31, 2025, as compared to $3 million for the corresponding period in 2024. Adjusted EBITDA was $(10) million for the three months ended March 31, 2025, as compared to $(8) million for the corresponding period in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$75 million for the three months ended March 31, 2025, compared to $69 million for the corresponding period in 2024. The year-over-year increase in selling, general, and administrative expenses was driven by higher employee compensation and marketing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an estimated tax provision of $26 million in the three months ended March 31, 2025, as compared to $41 million for the corresponding period in 2024. Each quarter the income tax accrual is adjusted to the latest estimate and the difference from the previously accrued year-to-date balance is recorded in the current quarter. For the three months ended March 31, 2025, and 2024, the primary differences between the U.S. statutory rate of 21% and the total effective tax rates of 22% and 28%, respectively, relate to state income tax and inflationary and foreign currency exchange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Environmental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legal and environmental matters involving us and the potential impact thereof on our financial position, results of operations, and cash flows, see Items 3, 7, and 8 in our 2024 Annual Report on Form 10-K and "Note 12. Commitments and Contingencies" of the Notes to the Condensed Consolidated Financial Statements included in "Item 1. Financial Statements"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expect to rely on our credit facilities in effect from time to time for any long-term funding not provided by operating cash flows. We may also, from time to time, issue and sell equity, debt, or hybrid securities or engage in other capital market transactions.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share repurchases may be commenced, suspended, discontinued, or resumed, and the method or methods of effecting any such repurchases may be changed, at any time, or from time to time, without prior notice.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fund our capital expenditures over at least the next 12 months through cash on hand, cash generated from operations, and available borrowing under our Amended Credit Facility, as necessary.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cash provided by operations was $64 million and $105 million, respectively. The decrease in cash provided by operations was primarily related to lower net income and changes in working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cash used in investing activities was $64 million and $41 million, respectively, relating to capital expenditures. The year-over-year increase in capital expenditures was primarily related to higher spend on growth and sustaining maintenance projects in the current year.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in 2025 are expected to be approximately $410 million. We expect to fund our short-term and long-term capital expenditures in 2025 through cash on hand, cash generated from operations, and available borrowing under our Amended Credit Facility, as necessary.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cash used in financing activities was $87 million, which includes $61 million to repurchase shares of LP common stock under the 2024 Share Repurchase Program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paid cash dividends of $20 million and used $5 million to repurchase stock from employees in connection with income tax withholding requirements associated with our employee stock-based compensation plans. In connection with other financing activities, we paid $2 million of debt issuance costs related to the amendment of our credit facility.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cash used in financing activities was $39 million, which includes $19 million of dividend payments and $6 million of stock repurchases from employees in connection with income tax withholding requirements associated with our employee stock-based compensation plans. Additionally, during this period we used $13 million to repurchase shares of LP common stock under the share repurchase program authorized by LP's Board of Directors in May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Letter of Credit Facility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2022, LP entered into the Credit Agreement with American AgCredit, PCA, as administrative agent, CoBank, ACB, as letter of credit issuer, and the lenders and the guarantors from time to time party thereto relating to its revolving credit facility. On March 26, 2025, LP entered into the First Amendment with American AgCredit, PCA, as administrative agent, CoBank, ACB, as letter of credit issuer, and the lenders and voting participants party thereto, which amends the Credit Agreement. The First Amendment amended the Credit Agreement (the Amended Credit Agreement) to (1) increase the aggregate principal amount for the credit facility from $550 million to $750 million, (2) increase the sub-limit for letters of credit from $60 million to $75 million, (3) change the interest rate for revolving borrowing, (4) change the capitalization ratio limit, and (5) extend the maturity date to March 26, 2032. As of March 31, 2025, there were no outstanding borrowings pursuant to the Amended Credit Facility.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various restrictive covenants and customary events of default. The breach of restrictive covenants or the occurrence of any other event of default under the Amended Credit Agreement could result in the acceleration of our obligation to repay the indebtedness outstanding thereunder. The Amended Credit Agreement also contains financial covenants that require us and our consolidated subsidiaries to have, as of the end of each quarter, a capitalization ratio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funded debt less unrestricted cash to total capitalization) of no more than 65%. As of March 31, 2025, we were in compliance with all financial covenants under the Amended Credit Agreement.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LP entered into a new letter of credit facility agreement, replacing the letter of credit facility agreement dated May 2020. This agreement provides for the funding of letters of credit up to an aggregate outstanding amount of $20 million, which may be secured by certain cash collateral of LP (the Letter of Credit Facility). The Letter of Credit Facility provides for a letter of credit fee, due quarterly, ranging from 1.000% to 1.875% of the daily available amount to be drawn on each letter of credit issued under the Letter of Credit Facility. The Letter of Credit Facility is subject to similar affirmative, negative, and financial covenants as those set forth in the Amended Credit Agreement, including the capitalization ratio covenant. All amounts outstanding under the Letter of Credit Facility become due on April 15, 2029. As of March 31, 2025, we were in compliance with all covenants under the Letter of Credit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we had standby letters of credit of $14 million outstanding related to collateral for environmental impact on owned properties, a deposit for a forestry license, and insurance collateral, including workers'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Impairments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the carrying values of our long-lived assets for potential impairments and believe we have adequate support for the carrying value of each of these assets based upon the anticipated cash flows that result from our estimates of future demand, pricing, and production costs, assuming certain levels of planned capital expenditures. However,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No impairment was recognized during the three-months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commodity prices and interest rates which could impact our results of operations and financial condition.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provided we may do so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for OSB previously disclosed under the caption “Item 7A. Quantitative and Qualitative Disclosures about Market Risk” in our 2024 Annual Report on Form 10-K. We historically have not entered into material commodity futures and swaps, although we may do so in the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could be exposed to market risk associated with changes in interest rates on our variable rate credit facility. As of March 31, 2025, there were no outstanding borrowings under our Amended Credit Facility. We do not currently have any derivative or hedging arrangements, or other known exposures, to changes in interest rates. There have been no material changes to the interest rate sensitivity analysis previously disclosed under the caption “Item 7A. Quantitative and Qualitative Disclosures about Market Risk” in our 2024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March 31, 2025, LP’s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certain legal and environmental matters involving LP set forth in "Item 1. Financial Statements" of this quarterly report on Form 10-Q under "Note 12. Commitments and Contingencies" of the Notes to the Condensed Consolidated Financial Statements contained herein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an investor should carefully consider the factors discussed in Part I, “Item 1A. Risk Factors” of the Company’s 2024 Annual Report on Form 10-K. There have been no material changes to the risk factors previously disclosed under the caption "Item 1A. Risk Factors" in Part I of our 2024 Annual Report on Form 10-K.</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risks described in our 2024 Annual Report on Form 10-K are not the only risks facing the Company. Additional risks and uncertainties not currently known to us or that we currently deem immaterial may also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200" w:lineRule="exact"/>
        <w:rPr>
          <w:sz w:val="20"/>
          <w:szCs w:val="20"/>
          <w:color w:val="auto"/>
        </w:rPr>
      </w:pP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our Board of Directors authorized a share repurchase program under which LP was authorized to repurchase up to $250 million (the 2024 Share Repurchase Program) of its outstanding common stock. During the quarter ended March 31, 2025, we repurchased 563,158 shares of our common stock at an average price of $108.55 per share through market purchases pursuant to the 2024 Share Repurchase Program. At March 31, 2025, we had an aggregate of $177 million of repurchase authorization remaining under the 2024 Share Repurchase Program. LP may initiate, discontinue, or resume purchases of its common stock under the 2024 Share Repurchase Program in the open market, in block, and in privately negotiated transactions, including under Rule 10b5-1 plans, at times and in such amounts as management deems appropriate without prior notice, subject to market and business conditions, regulatory requirements, and other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 of our common stock was repurchased under this authorization during the quarter ended March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20" w:type="dxa"/>
            <w:vAlign w:val="bottom"/>
          </w:tcPr>
          <w:p>
            <w:pPr>
              <w:spacing w:after="0"/>
              <w:rPr>
                <w:sz w:val="16"/>
                <w:szCs w:val="16"/>
                <w:color w:val="auto"/>
              </w:rPr>
            </w:pPr>
          </w:p>
        </w:tc>
        <w:tc>
          <w:tcPr>
            <w:tcW w:w="16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9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Available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00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220" w:type="dxa"/>
            <w:vAlign w:val="bottom"/>
          </w:tcPr>
          <w:p>
            <w:pPr>
              <w:spacing w:after="0"/>
              <w:rPr>
                <w:sz w:val="14"/>
                <w:szCs w:val="14"/>
                <w:color w:val="auto"/>
              </w:rPr>
            </w:pPr>
          </w:p>
        </w:tc>
        <w:tc>
          <w:tcPr>
            <w:tcW w:w="16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for Repurchase Under</w:t>
            </w:r>
          </w:p>
        </w:tc>
        <w:tc>
          <w:tcPr>
            <w:tcW w:w="0" w:type="dxa"/>
            <w:vAlign w:val="bottom"/>
          </w:tcPr>
          <w:p>
            <w:pPr>
              <w:spacing w:after="0"/>
              <w:rPr>
                <w:sz w:val="1"/>
                <w:szCs w:val="1"/>
                <w:color w:val="auto"/>
              </w:rPr>
            </w:pPr>
          </w:p>
        </w:tc>
      </w:tr>
      <w:tr>
        <w:trPr>
          <w:trHeight w:val="162"/>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8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 Plans or</w:t>
            </w:r>
          </w:p>
        </w:tc>
        <w:tc>
          <w:tcPr>
            <w:tcW w:w="220" w:type="dxa"/>
            <w:vAlign w:val="bottom"/>
          </w:tcPr>
          <w:p>
            <w:pPr>
              <w:spacing w:after="0"/>
              <w:rPr>
                <w:sz w:val="14"/>
                <w:szCs w:val="14"/>
                <w:color w:val="auto"/>
              </w:rPr>
            </w:pPr>
          </w:p>
        </w:tc>
        <w:tc>
          <w:tcPr>
            <w:tcW w:w="16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the Plans of Programs</w:t>
            </w: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17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500" w:type="dxa"/>
            <w:vAlign w:val="bottom"/>
          </w:tcPr>
          <w:p>
            <w:pPr>
              <w:spacing w:after="0"/>
              <w:rPr>
                <w:sz w:val="18"/>
                <w:szCs w:val="18"/>
                <w:color w:val="auto"/>
              </w:rPr>
            </w:pPr>
          </w:p>
        </w:tc>
        <w:tc>
          <w:tcPr>
            <w:tcW w:w="150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7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9"/>
              </w:rPr>
              <w:t>Programs</w:t>
            </w:r>
            <w:r>
              <w:rPr>
                <w:rFonts w:ascii="Times New Roman" w:cs="Times New Roman" w:eastAsia="Times New Roman" w:hAnsi="Times New Roman"/>
                <w:sz w:val="21"/>
                <w:szCs w:val="21"/>
                <w:b w:val="1"/>
                <w:bCs w:val="1"/>
                <w:color w:val="auto"/>
                <w:w w:val="99"/>
                <w:vertAlign w:val="superscript"/>
              </w:rPr>
              <w:t>1</w:t>
            </w:r>
          </w:p>
        </w:tc>
        <w:tc>
          <w:tcPr>
            <w:tcW w:w="220" w:type="dxa"/>
            <w:vAlign w:val="bottom"/>
          </w:tcPr>
          <w:p>
            <w:pPr>
              <w:spacing w:after="0"/>
              <w:rPr>
                <w:sz w:val="18"/>
                <w:szCs w:val="18"/>
                <w:color w:val="auto"/>
              </w:rPr>
            </w:pPr>
          </w:p>
        </w:tc>
        <w:tc>
          <w:tcPr>
            <w:tcW w:w="1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 January 31, 2025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305,923</w:t>
            </w:r>
          </w:p>
        </w:tc>
        <w:tc>
          <w:tcPr>
            <w:tcW w:w="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111.43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305,923</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 February 28, 2025</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147,401</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115.60</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147,401</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 March 31,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109,834</w:t>
            </w:r>
          </w:p>
        </w:tc>
        <w:tc>
          <w:tcPr>
            <w:tcW w:w="5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91.05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109,834</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2"/>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for First Quarter 2025</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563,158</w:t>
            </w: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108.55</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563,158</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8"/>
        <w:spacing w:after="0" w:line="225" w:lineRule="auto"/>
        <w:tabs>
          <w:tab w:leader="none" w:pos="79"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7, 2024, LP’s Board of Directors authorized the 2024 Share Repurchase Program under which LP may repurchase shares of its common stock totaling up to $250 million. As of March 31, 2025, LP had an aggregate of $177 million of repurchase authorization remaining under the 2024 Share Repurchase Program.</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a non-Rule 10b5-1 trading arrangement during the quarter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1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720" w:type="dxa"/>
            <w:vAlign w:val="bottom"/>
            <w:gridSpan w:val="6"/>
            <w:vMerge w:val="restart"/>
          </w:tcPr>
          <w:p>
            <w:pPr>
              <w:jc w:val="center"/>
              <w:ind w:left="290"/>
              <w:spacing w:after="0"/>
              <w:rPr>
                <w:rFonts w:ascii="Times New Roman" w:cs="Times New Roman" w:eastAsia="Times New Roman" w:hAnsi="Times New Roman"/>
                <w:sz w:val="18"/>
                <w:szCs w:val="18"/>
                <w:color w:val="0000FF"/>
                <w:w w:val="97"/>
              </w:rPr>
            </w:pPr>
            <w:hyperlink r:id="rId6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0" w:type="dxa"/>
            <w:vAlign w:val="bottom"/>
          </w:tcPr>
          <w:p>
            <w:pPr>
              <w:spacing w:after="0"/>
              <w:rPr>
                <w:sz w:val="24"/>
                <w:szCs w:val="24"/>
                <w:color w:val="auto"/>
              </w:rPr>
            </w:pPr>
          </w:p>
        </w:tc>
        <w:tc>
          <w:tcPr>
            <w:tcW w:w="10060" w:type="dxa"/>
            <w:vAlign w:val="bottom"/>
            <w:gridSpan w:val="7"/>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Second Amended and Restated Bylaws of Louisiana-Pacific Corporation. Incorporated herein by reference to Exhibit 3.1 to LP's Current</w:t>
              </w:r>
            </w:hyperlink>
          </w:p>
        </w:tc>
        <w:tc>
          <w:tcPr>
            <w:tcW w:w="0" w:type="dxa"/>
            <w:vAlign w:val="bottom"/>
          </w:tcPr>
          <w:p>
            <w:pPr>
              <w:spacing w:after="0"/>
              <w:rPr>
                <w:sz w:val="1"/>
                <w:szCs w:val="1"/>
                <w:color w:val="auto"/>
              </w:rPr>
            </w:pPr>
          </w:p>
        </w:tc>
      </w:tr>
      <w:tr>
        <w:trPr>
          <w:trHeight w:val="75"/>
        </w:trPr>
        <w:tc>
          <w:tcPr>
            <w:tcW w:w="720" w:type="dxa"/>
            <w:vAlign w:val="bottom"/>
            <w:gridSpan w:val="6"/>
            <w:vMerge w:val="continue"/>
          </w:tcPr>
          <w:p>
            <w:pPr>
              <w:spacing w:after="0"/>
              <w:rPr>
                <w:sz w:val="6"/>
                <w:szCs w:val="6"/>
                <w:color w:val="auto"/>
              </w:rPr>
            </w:pPr>
          </w:p>
        </w:tc>
        <w:tc>
          <w:tcPr>
            <w:tcW w:w="400" w:type="dxa"/>
            <w:vAlign w:val="bottom"/>
          </w:tcPr>
          <w:p>
            <w:pPr>
              <w:spacing w:after="0"/>
              <w:rPr>
                <w:sz w:val="6"/>
                <w:szCs w:val="6"/>
                <w:color w:val="auto"/>
              </w:rPr>
            </w:pPr>
          </w:p>
        </w:tc>
        <w:tc>
          <w:tcPr>
            <w:tcW w:w="3540" w:type="dxa"/>
            <w:vAlign w:val="bottom"/>
            <w:tcBorders>
              <w:top w:val="single" w:sz="8" w:color="0000FF"/>
            </w:tcBorders>
            <w:vMerge w:val="restart"/>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Report on Form 8-K, filed on February 14, 2025.</w:t>
              </w:r>
            </w:hyperlink>
          </w:p>
        </w:tc>
        <w:tc>
          <w:tcPr>
            <w:tcW w:w="6320" w:type="dxa"/>
            <w:vAlign w:val="bottom"/>
            <w:tcBorders>
              <w:top w:val="single" w:sz="8" w:color="0000FF"/>
            </w:tcBorders>
            <w:gridSpan w:val="5"/>
            <w:vMerge w:val="restart"/>
          </w:tcPr>
          <w:p>
            <w:pPr>
              <w:spacing w:after="0"/>
              <w:rPr>
                <w:sz w:val="6"/>
                <w:szCs w:val="6"/>
                <w:color w:val="auto"/>
              </w:rPr>
            </w:pPr>
          </w:p>
        </w:tc>
        <w:tc>
          <w:tcPr>
            <w:tcW w:w="20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540" w:type="dxa"/>
            <w:vAlign w:val="bottom"/>
            <w:tcBorders>
              <w:top w:val="single" w:sz="8" w:color="0000FF"/>
              <w:bottom w:val="single" w:sz="8" w:color="0000FF"/>
            </w:tcBorders>
            <w:vMerge w:val="continue"/>
          </w:tcPr>
          <w:p>
            <w:pPr>
              <w:spacing w:after="0"/>
              <w:rPr>
                <w:sz w:val="5"/>
                <w:szCs w:val="5"/>
                <w:color w:val="auto"/>
              </w:rPr>
            </w:pPr>
          </w:p>
        </w:tc>
        <w:tc>
          <w:tcPr>
            <w:tcW w:w="6320" w:type="dxa"/>
            <w:vAlign w:val="bottom"/>
            <w:tcBorders>
              <w:top w:val="single" w:sz="8" w:color="0000FF"/>
            </w:tcBorders>
            <w:gridSpan w:val="5"/>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20" w:type="dxa"/>
            <w:vAlign w:val="bottom"/>
            <w:gridSpan w:val="6"/>
            <w:vMerge w:val="restart"/>
          </w:tcPr>
          <w:p>
            <w:pPr>
              <w:jc w:val="center"/>
              <w:ind w:left="31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400" w:type="dxa"/>
            <w:vAlign w:val="bottom"/>
          </w:tcPr>
          <w:p>
            <w:pPr>
              <w:spacing w:after="0"/>
              <w:rPr>
                <w:sz w:val="24"/>
                <w:szCs w:val="24"/>
                <w:color w:val="auto"/>
              </w:rPr>
            </w:pPr>
          </w:p>
        </w:tc>
        <w:tc>
          <w:tcPr>
            <w:tcW w:w="100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First Amendment to Second Amended and Restated Credit Agreement, dated March 26, 2025, among the Company, as borrower, American</w:t>
              </w:r>
            </w:hyperlink>
          </w:p>
        </w:tc>
        <w:tc>
          <w:tcPr>
            <w:tcW w:w="0" w:type="dxa"/>
            <w:vAlign w:val="bottom"/>
          </w:tcPr>
          <w:p>
            <w:pPr>
              <w:spacing w:after="0"/>
              <w:rPr>
                <w:sz w:val="1"/>
                <w:szCs w:val="1"/>
                <w:color w:val="auto"/>
              </w:rPr>
            </w:pPr>
          </w:p>
        </w:tc>
      </w:tr>
      <w:tr>
        <w:trPr>
          <w:trHeight w:val="156"/>
        </w:trPr>
        <w:tc>
          <w:tcPr>
            <w:tcW w:w="720" w:type="dxa"/>
            <w:vAlign w:val="bottom"/>
            <w:gridSpan w:val="6"/>
            <w:vMerge w:val="continue"/>
          </w:tcPr>
          <w:p>
            <w:pPr>
              <w:spacing w:after="0"/>
              <w:rPr>
                <w:sz w:val="13"/>
                <w:szCs w:val="13"/>
                <w:color w:val="auto"/>
              </w:rPr>
            </w:pPr>
          </w:p>
        </w:tc>
        <w:tc>
          <w:tcPr>
            <w:tcW w:w="400" w:type="dxa"/>
            <w:vAlign w:val="bottom"/>
          </w:tcPr>
          <w:p>
            <w:pPr>
              <w:spacing w:after="0"/>
              <w:rPr>
                <w:sz w:val="13"/>
                <w:szCs w:val="13"/>
                <w:color w:val="auto"/>
              </w:rPr>
            </w:pPr>
          </w:p>
        </w:tc>
        <w:tc>
          <w:tcPr>
            <w:tcW w:w="10060" w:type="dxa"/>
            <w:vAlign w:val="bottom"/>
            <w:gridSpan w:val="7"/>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AgCredit PCA, as administrative agent, CoBank, ACB, as letter of credit issuer and the lenders and voting participants party thereto.</w:t>
              </w:r>
            </w:hyperlink>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956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Incorporated herein by reference to Exhibit 10.1 to LP’s Current Report on Form 8-K, filed on March 28, 2025.</w:t>
              </w:r>
            </w:hyperlink>
          </w:p>
        </w:tc>
        <w:tc>
          <w:tcPr>
            <w:tcW w:w="5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80" w:type="dxa"/>
            <w:vAlign w:val="bottom"/>
            <w:gridSpan w:val="2"/>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gridSpan w:val="6"/>
          </w:tcPr>
          <w:p>
            <w:pPr>
              <w:jc w:val="center"/>
              <w:ind w:left="3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Certifications of Chief Executive Officer Pursuant to Rule 13a-14(a) under the Securities Exchange Act of 1934.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80" w:type="dxa"/>
            <w:vAlign w:val="bottom"/>
            <w:gridSpan w:val="2"/>
            <w:shd w:val="clear" w:color="auto" w:fill="0000FF"/>
          </w:tcPr>
          <w:p>
            <w:pPr>
              <w:spacing w:after="0" w:line="20" w:lineRule="exact"/>
              <w:rPr>
                <w:sz w:val="1"/>
                <w:szCs w:val="1"/>
                <w:color w:val="auto"/>
              </w:rPr>
            </w:pPr>
          </w:p>
        </w:tc>
        <w:tc>
          <w:tcPr>
            <w:tcW w:w="324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6"/>
          </w:tcPr>
          <w:p>
            <w:pPr>
              <w:jc w:val="center"/>
              <w:ind w:left="3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Certifications of Chief Financial Officer Pursuant to Rule 13a-14(a) under the Securities Exchange Act of 1934.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63"/>
        </w:trPr>
        <w:tc>
          <w:tcPr>
            <w:tcW w:w="460" w:type="dxa"/>
            <w:vAlign w:val="bottom"/>
            <w:gridSpan w:val="3"/>
          </w:tcPr>
          <w:p>
            <w:pPr>
              <w:spacing w:after="0"/>
              <w:rPr>
                <w:sz w:val="22"/>
                <w:szCs w:val="22"/>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0" w:type="dxa"/>
            <w:vAlign w:val="bottom"/>
          </w:tcPr>
          <w:p>
            <w:pPr>
              <w:spacing w:after="0"/>
              <w:rPr>
                <w:sz w:val="22"/>
                <w:szCs w:val="22"/>
                <w:color w:val="auto"/>
              </w:rPr>
            </w:pPr>
          </w:p>
        </w:tc>
        <w:tc>
          <w:tcPr>
            <w:tcW w:w="81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 xml:space="preserve">Certifications pursuant to § 906 of the Sarbanes-Oxley Act of 2002. </w:t>
            </w:r>
            <w:r>
              <w:rPr>
                <w:rFonts w:ascii="Times New Roman" w:cs="Times New Roman" w:eastAsia="Times New Roman" w:hAnsi="Times New Roman"/>
                <w:sz w:val="18"/>
                <w:szCs w:val="18"/>
                <w:color w:val="000000"/>
              </w:rPr>
              <w:t>**</w:t>
            </w:r>
          </w:p>
        </w:tc>
        <w:tc>
          <w:tcPr>
            <w:tcW w:w="19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80" w:type="dxa"/>
            <w:vAlign w:val="bottom"/>
            <w:gridSpan w:val="2"/>
            <w:shd w:val="clear" w:color="auto" w:fill="0000FF"/>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148"/>
        </w:trPr>
        <w:tc>
          <w:tcPr>
            <w:tcW w:w="1120" w:type="dxa"/>
            <w:vAlign w:val="bottom"/>
            <w:gridSpan w:val="7"/>
            <w:vMerge w:val="continue"/>
          </w:tcPr>
          <w:p>
            <w:pPr>
              <w:spacing w:after="0"/>
              <w:rPr>
                <w:sz w:val="12"/>
                <w:szCs w:val="12"/>
                <w:color w:val="auto"/>
              </w:rPr>
            </w:pPr>
          </w:p>
        </w:tc>
        <w:tc>
          <w:tcPr>
            <w:tcW w:w="100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86"/>
        </w:trPr>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1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101.SCH</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1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1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1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720" w:type="dxa"/>
            <w:vAlign w:val="bottom"/>
            <w:gridSpan w:val="6"/>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w:t>
            </w:r>
          </w:p>
        </w:tc>
        <w:tc>
          <w:tcPr>
            <w:tcW w:w="40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 and contained in Exhibit 101)*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6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LOUISIANA-PACIFIC CORPORATION</w:t>
            </w:r>
          </w:p>
        </w:tc>
      </w:tr>
      <w:tr>
        <w:trPr>
          <w:trHeight w:val="5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6, 2025</w:t>
            </w:r>
          </w:p>
        </w:tc>
        <w:tc>
          <w:tcPr>
            <w:tcW w:w="2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 Bradley Southern</w:t>
            </w:r>
          </w:p>
        </w:tc>
      </w:tr>
      <w:tr>
        <w:trPr>
          <w:trHeight w:val="184"/>
        </w:trPr>
        <w:tc>
          <w:tcPr>
            <w:tcW w:w="6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 Bradley Southern</w:t>
            </w:r>
          </w:p>
        </w:tc>
      </w:tr>
      <w:tr>
        <w:trPr>
          <w:trHeight w:val="191"/>
        </w:trPr>
        <w:tc>
          <w:tcPr>
            <w:tcW w:w="6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53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6, 2025</w:t>
            </w:r>
          </w:p>
        </w:tc>
        <w:tc>
          <w:tcPr>
            <w:tcW w:w="2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J.M. Haughie</w:t>
            </w:r>
          </w:p>
        </w:tc>
      </w:tr>
      <w:tr>
        <w:trPr>
          <w:trHeight w:val="184"/>
        </w:trPr>
        <w:tc>
          <w:tcPr>
            <w:tcW w:w="6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Alan J.M. Haughie</w:t>
            </w:r>
          </w:p>
        </w:tc>
      </w:tr>
      <w:tr>
        <w:trPr>
          <w:trHeight w:val="191"/>
        </w:trPr>
        <w:tc>
          <w:tcPr>
            <w:tcW w:w="6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tc>
      </w:tr>
      <w:tr>
        <w:trPr>
          <w:trHeight w:val="203"/>
        </w:trPr>
        <w:tc>
          <w:tcPr>
            <w:tcW w:w="6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ectPr>
          <w:pgSz w:w="11900" w:h="16838" w:orient="portrait"/>
          <w:cols w:equalWidth="0" w:num="1">
            <w:col w:w="11240"/>
          </w:cols>
          <w:pgMar w:left="320" w:top="141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Bradley Southern,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 Bradley Southern</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 Bradley Southern</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J.M. Haughie,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J.M. Haughie</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J.M. Haughie</w:t>
            </w:r>
          </w:p>
        </w:tc>
      </w:tr>
      <w:tr>
        <w:trPr>
          <w:trHeight w:val="230"/>
        </w:trPr>
        <w:tc>
          <w:tcPr>
            <w:tcW w:w="57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 18 U.S.C. § 1350 as Adopted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in connection with the Quarterly Report on Form 10-Q of Louisiana-Pacific Corporation (the “Company”) for quarter ended March 31, 2025, as filed with the Securities and Exchange Commission on the date hereof (the “Report”), each of the undersigned officers of the Company certifies, that, to such officer’s knowledge:</w:t>
      </w:r>
    </w:p>
    <w:p>
      <w:pPr>
        <w:spacing w:after="0" w:line="14" w:lineRule="exact"/>
        <w:rPr>
          <w:sz w:val="20"/>
          <w:szCs w:val="20"/>
          <w:color w:val="auto"/>
        </w:rPr>
      </w:pPr>
    </w:p>
    <w:p>
      <w:pPr>
        <w:ind w:left="980" w:hanging="567"/>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980" w:hanging="567"/>
        <w:spacing w:after="0" w:line="282" w:lineRule="auto"/>
        <w:tabs>
          <w:tab w:leader="none" w:pos="9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1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W. Bradley Southern</w:t>
      </w:r>
    </w:p>
    <w:p>
      <w:pPr>
        <w:ind w:left="58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Alan J.M. Haughie</w:t>
      </w:r>
    </w:p>
    <w:p>
      <w:pPr>
        <w:spacing w:after="0" w:line="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0" Type="http://schemas.openxmlformats.org/officeDocument/2006/relationships/hyperlink" Target="https://www.sec.gov/Archives/edgar/data/60519/000006051925000002/secondarbylawsoflouisian.htm" TargetMode="External"/><Relationship Id="rId61" Type="http://schemas.openxmlformats.org/officeDocument/2006/relationships/hyperlink" Target="https://www.sec.gov/Archives/edgar/data/60519/000006051925000008/executedfirstamendment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2025-05-06T12:56:48Z</dcterms:created>
  <dcterms:modified xsi:type="dcterms:W3CDTF">2025-05-06T12:56:48Z</dcterms:modified>
</cp:coreProperties>
</file>