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6287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62871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Southern William Bradley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80"/>
        <w:spacing w:after="0" w:line="336" w:lineRule="auto"/>
        <w:rPr>
          <w:sz w:val="20"/>
          <w:szCs w:val="20"/>
          <w:color w:val="auto"/>
        </w:rPr>
      </w:pPr>
      <w:r>
        <w:rPr>
          <w:rFonts w:ascii="Times New Roman" w:cs="Times New Roman" w:eastAsia="Times New Roman" w:hAnsi="Times New Roman"/>
          <w:sz w:val="17"/>
          <w:szCs w:val="17"/>
          <w:color w:val="0000FF"/>
        </w:rPr>
        <w:t>1610 WEST END AVENUE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LOUISIANA-PACIFIC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LPX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02/17/2026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00" w:space="720"/>
            <w:col w:w="3260" w:space="555"/>
            <w:col w:w="3345"/>
          </w:cols>
          <w:pgMar w:left="460" w:top="219" w:right="359" w:bottom="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left="8"/>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line="320" w:lineRule="exact"/>
              <w:rPr>
                <w:sz w:val="20"/>
                <w:szCs w:val="20"/>
                <w:color w:val="auto"/>
              </w:rPr>
            </w:pPr>
            <w:r>
              <w:rPr>
                <w:rFonts w:ascii="Times New Roman" w:cs="Times New Roman" w:eastAsia="Times New Roman" w:hAnsi="Times New Roman"/>
                <w:sz w:val="34"/>
                <w:szCs w:val="34"/>
                <w:color w:val="0000FF"/>
                <w:w w:val="85"/>
                <w:vertAlign w:val="subscript"/>
              </w:rPr>
              <w:t>293</w:t>
            </w:r>
            <w:r>
              <w:rPr>
                <w:rFonts w:ascii="Times New Roman" w:cs="Times New Roman" w:eastAsia="Times New Roman" w:hAnsi="Times New Roman"/>
                <w:sz w:val="11"/>
                <w:szCs w:val="11"/>
                <w:color w:val="008000"/>
                <w:w w:val="85"/>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87.02</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475,592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3,230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88.61</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472,362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9,323</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89.48</w:t>
            </w:r>
            <w:r>
              <w:rPr>
                <w:rFonts w:ascii="Times New Roman" w:cs="Times New Roman" w:eastAsia="Times New Roman" w:hAnsi="Times New Roman"/>
                <w:sz w:val="22"/>
                <w:szCs w:val="22"/>
                <w:color w:val="008000"/>
                <w:vertAlign w:val="superscript"/>
              </w:rPr>
              <w:t>(4)</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463,039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02/17/2026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1,320</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90.12</w:t>
            </w:r>
            <w:r>
              <w:rPr>
                <w:rFonts w:ascii="Times New Roman" w:cs="Times New Roman" w:eastAsia="Times New Roman" w:hAnsi="Times New Roman"/>
                <w:sz w:val="22"/>
                <w:szCs w:val="22"/>
                <w:color w:val="008000"/>
                <w:vertAlign w:val="superscript"/>
              </w:rPr>
              <w:t>(5)</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461,719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5,581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86.87</w:t>
            </w:r>
            <w:r>
              <w:rPr>
                <w:rFonts w:ascii="Times New Roman" w:cs="Times New Roman" w:eastAsia="Times New Roman" w:hAnsi="Times New Roman"/>
                <w:sz w:val="22"/>
                <w:szCs w:val="22"/>
                <w:color w:val="008000"/>
                <w:vertAlign w:val="superscript"/>
              </w:rPr>
              <w:t>(6)</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456,138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4,592</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88.05</w:t>
            </w:r>
            <w:r>
              <w:rPr>
                <w:rFonts w:ascii="Times New Roman" w:cs="Times New Roman" w:eastAsia="Times New Roman" w:hAnsi="Times New Roman"/>
                <w:sz w:val="22"/>
                <w:szCs w:val="22"/>
                <w:color w:val="008000"/>
                <w:vertAlign w:val="superscript"/>
              </w:rPr>
              <w:t>(7)</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451,546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3,286</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88.84</w:t>
            </w:r>
            <w:r>
              <w:rPr>
                <w:rFonts w:ascii="Times New Roman" w:cs="Times New Roman" w:eastAsia="Times New Roman" w:hAnsi="Times New Roman"/>
                <w:sz w:val="22"/>
                <w:szCs w:val="22"/>
                <w:color w:val="008000"/>
                <w:vertAlign w:val="superscript"/>
              </w:rPr>
              <w:t>(8)</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448,260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5"/>
              <w:spacing w:after="0"/>
              <w:rPr>
                <w:sz w:val="20"/>
                <w:szCs w:val="20"/>
                <w:color w:val="auto"/>
              </w:rPr>
            </w:pPr>
            <w:r>
              <w:rPr>
                <w:rFonts w:ascii="Times New Roman" w:cs="Times New Roman" w:eastAsia="Times New Roman" w:hAnsi="Times New Roman"/>
                <w:sz w:val="17"/>
                <w:szCs w:val="17"/>
                <w:color w:val="0000FF"/>
              </w:rPr>
              <w:t>02/18/2026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7"/>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707</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jc w:val="center"/>
              <w:ind w:left="28"/>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89.61</w:t>
            </w:r>
            <w:r>
              <w:rPr>
                <w:rFonts w:ascii="Times New Roman" w:cs="Times New Roman" w:eastAsia="Times New Roman" w:hAnsi="Times New Roman"/>
                <w:sz w:val="22"/>
                <w:szCs w:val="22"/>
                <w:color w:val="008000"/>
                <w:vertAlign w:val="superscript"/>
              </w:rPr>
              <w:t>(9)</w:t>
            </w:r>
          </w:p>
        </w:tc>
        <w:tc>
          <w:tcPr>
            <w:tcW w:w="1200" w:type="dxa"/>
            <w:vAlign w:val="bottom"/>
            <w:tcBorders>
              <w:bottom w:val="single" w:sz="8" w:color="2C2C2C"/>
            </w:tcBorders>
            <w:gridSpan w:val="2"/>
          </w:tcPr>
          <w:p>
            <w:pPr>
              <w:jc w:val="right"/>
              <w:ind w:right="280"/>
              <w:spacing w:after="0"/>
              <w:rPr>
                <w:sz w:val="20"/>
                <w:szCs w:val="20"/>
                <w:color w:val="auto"/>
              </w:rPr>
            </w:pPr>
            <w:r>
              <w:rPr>
                <w:rFonts w:ascii="Times New Roman" w:cs="Times New Roman" w:eastAsia="Times New Roman" w:hAnsi="Times New Roman"/>
                <w:sz w:val="17"/>
                <w:szCs w:val="17"/>
                <w:color w:val="0000FF"/>
              </w:rPr>
              <w:t>447,553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5"/>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7"/>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sale of shares occurred automatically pursuant to a Rule 10b5-1 trading plan adopted by the reporting person on August 27, 2025.</w:t>
      </w:r>
    </w:p>
    <w:p>
      <w:pPr>
        <w:spacing w:after="0" w:line="50" w:lineRule="exact"/>
        <w:rPr>
          <w:rFonts w:ascii="Times New Roman" w:cs="Times New Roman" w:eastAsia="Times New Roman" w:hAnsi="Times New Roman"/>
          <w:sz w:val="13"/>
          <w:szCs w:val="13"/>
          <w:color w:val="008000"/>
        </w:rPr>
      </w:pPr>
    </w:p>
    <w:p>
      <w:pPr>
        <w:jc w:val="both"/>
        <w:ind w:left="40" w:right="5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$86.65 to $87.55, inclusive. The reporting person undertakes to provide to Louisiana-Pacific Corporation, any security holder of Louisiana-Pacific Corporation, or the staff of the Securities and Exchange Commission, upon request, full information regarding the number of shares sold at each separate price within the ranges set forth in footnotes (2), (3), (4), (5), (6), (7), (8) and (9)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$87.965 to $88.965,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$88.99 to $89.98,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$89.995 to $90.35,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$86.45 to $87.43,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$87.465 to $88.465,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$88.47 to $89.47,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$89.48 to $90.01, inclusive.</w:t>
      </w:r>
    </w:p>
    <w:p>
      <w:pPr>
        <w:spacing w:after="0" w:line="68"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40" w:type="dxa"/>
            <w:vAlign w:val="bottom"/>
          </w:tcPr>
          <w:p>
            <w:pPr>
              <w:spacing w:after="0"/>
              <w:rPr>
                <w:sz w:val="16"/>
                <w:szCs w:val="16"/>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/s/Nicole Daniel, Attorney in</w:t>
            </w:r>
          </w:p>
        </w:tc>
        <w:tc>
          <w:tcPr>
            <w:tcW w:w="80" w:type="dxa"/>
            <w:vAlign w:val="bottom"/>
          </w:tcPr>
          <w:p>
            <w:pPr>
              <w:spacing w:after="0"/>
              <w:rPr>
                <w:sz w:val="16"/>
                <w:szCs w:val="16"/>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02/18/2026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6540" w:type="dxa"/>
            <w:vAlign w:val="bottom"/>
          </w:tcPr>
          <w:p>
            <w:pPr>
              <w:spacing w:after="0"/>
              <w:rPr>
                <w:sz w:val="7"/>
                <w:szCs w:val="7"/>
                <w:color w:val="auto"/>
              </w:rPr>
            </w:pPr>
          </w:p>
        </w:tc>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 Bradley Southern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6540" w:type="dxa"/>
            <w:vAlign w:val="bottom"/>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0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20"/>
                <w:szCs w:val="20"/>
                <w:color w:val="auto"/>
              </w:rPr>
            </w:pP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6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49626" TargetMode="External"/><Relationship Id="rId14" Type="http://schemas.openxmlformats.org/officeDocument/2006/relationships/hyperlink" Target="http://www.sec.gov/cgi-bin/browse-edgar?action=getcompany&amp;CIK=00000605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2026-02-18T17:26:35Z</dcterms:created>
  <dcterms:modified xsi:type="dcterms:W3CDTF">2026-02-18T17:26:35Z</dcterms:modified>
</cp:coreProperties>
</file>