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81915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62230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3200" w:right="40" w:hanging="3155"/>
        <w:spacing w:after="0" w:line="313" w:lineRule="auto"/>
        <w:tabs>
          <w:tab w:leader="none" w:pos="218"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ind w:left="340" w:right="40"/>
        <w:spacing w:after="0" w:line="347" w:lineRule="auto"/>
        <w:rPr>
          <w:sz w:val="20"/>
          <w:szCs w:val="20"/>
          <w:color w:val="auto"/>
        </w:rPr>
      </w:pPr>
      <w:r>
        <w:rPr>
          <w:rFonts w:ascii="Arial" w:cs="Arial" w:eastAsia="Arial" w:hAnsi="Arial"/>
          <w:sz w:val="18"/>
          <w:szCs w:val="18"/>
          <w:color w:val="auto"/>
        </w:rPr>
        <w:t xml:space="preserve">o </w:t>
      </w:r>
      <w:r>
        <w:rPr>
          <w:rFonts w:ascii="Arial" w:cs="Arial" w:eastAsia="Arial" w:hAnsi="Arial"/>
          <w:sz w:val="21"/>
          <w:szCs w:val="21"/>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21"/>
          <w:szCs w:val="21"/>
          <w:b w:val="1"/>
          <w:bCs w:val="1"/>
          <w:color w:val="auto"/>
        </w:rPr>
        <w:t xml:space="preserve">Commission File Number </w:t>
      </w:r>
      <w:r>
        <w:rPr>
          <w:rFonts w:ascii="Arial" w:cs="Arial" w:eastAsia="Arial" w:hAnsi="Arial"/>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-22225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69"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LOUISIANA-PACIFIC CORPORATION</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62865</wp:posOffset>
            </wp:positionV>
            <wp:extent cx="228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4"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3960" w:type="dxa"/>
            <w:vAlign w:val="bottom"/>
          </w:tcPr>
          <w:p>
            <w:pPr>
              <w:jc w:val="center"/>
              <w:ind w:right="2002"/>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93-0609074</w:t>
            </w:r>
          </w:p>
        </w:tc>
      </w:tr>
      <w:tr>
        <w:trPr>
          <w:trHeight w:val="144"/>
        </w:trPr>
        <w:tc>
          <w:tcPr>
            <w:tcW w:w="3960" w:type="dxa"/>
            <w:vAlign w:val="bottom"/>
          </w:tcPr>
          <w:p>
            <w:pPr>
              <w:jc w:val="center"/>
              <w:ind w:right="200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82"/>
              <w:spacing w:after="0" w:line="145"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1610 West End Avenue, Suite 200, Nashville, TN 37203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2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3"/>
        </w:trPr>
        <w:tc>
          <w:tcPr>
            <w:tcW w:w="2640" w:type="dxa"/>
            <w:vAlign w:val="bottom"/>
          </w:tcPr>
          <w:p>
            <w:pPr>
              <w:spacing w:after="0" w:line="193" w:lineRule="exact"/>
              <w:rPr>
                <w:sz w:val="20"/>
                <w:szCs w:val="20"/>
                <w:color w:val="auto"/>
              </w:rPr>
            </w:pPr>
            <w:r>
              <w:rPr>
                <w:rFonts w:ascii="Arial" w:cs="Arial" w:eastAsia="Arial" w:hAnsi="Arial"/>
                <w:sz w:val="18"/>
                <w:szCs w:val="18"/>
                <w:color w:val="auto"/>
              </w:rPr>
              <w:t>Large accelerated filer</w:t>
            </w:r>
          </w:p>
        </w:tc>
        <w:tc>
          <w:tcPr>
            <w:tcW w:w="2340" w:type="dxa"/>
            <w:vAlign w:val="bottom"/>
          </w:tcPr>
          <w:p>
            <w:pPr>
              <w:ind w:left="660"/>
              <w:spacing w:after="0" w:line="193" w:lineRule="exact"/>
              <w:rPr>
                <w:sz w:val="20"/>
                <w:szCs w:val="20"/>
                <w:color w:val="auto"/>
              </w:rPr>
            </w:pPr>
            <w:r>
              <w:rPr>
                <w:rFonts w:ascii="Arial" w:cs="Arial" w:eastAsia="Arial" w:hAnsi="Arial"/>
                <w:sz w:val="18"/>
                <w:szCs w:val="18"/>
                <w:color w:val="auto"/>
              </w:rPr>
              <w:t>x</w:t>
            </w:r>
          </w:p>
        </w:tc>
        <w:tc>
          <w:tcPr>
            <w:tcW w:w="4120" w:type="dxa"/>
            <w:vAlign w:val="bottom"/>
          </w:tcPr>
          <w:p>
            <w:pPr>
              <w:ind w:left="1540"/>
              <w:spacing w:after="0" w:line="193" w:lineRule="exact"/>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93" w:lineRule="exact"/>
              <w:rPr>
                <w:sz w:val="20"/>
                <w:szCs w:val="20"/>
                <w:color w:val="auto"/>
              </w:rPr>
            </w:pPr>
            <w:r>
              <w:rPr>
                <w:rFonts w:ascii="Arial" w:cs="Arial" w:eastAsia="Arial" w:hAnsi="Arial"/>
                <w:sz w:val="18"/>
                <w:szCs w:val="18"/>
                <w:color w:val="auto"/>
              </w:rPr>
              <w:t>o</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660"/>
              <w:spacing w:after="0"/>
              <w:rPr>
                <w:sz w:val="20"/>
                <w:szCs w:val="20"/>
                <w:color w:val="auto"/>
              </w:rPr>
            </w:pPr>
            <w:r>
              <w:rPr>
                <w:rFonts w:ascii="Arial" w:cs="Arial" w:eastAsia="Arial" w:hAnsi="Arial"/>
                <w:sz w:val="18"/>
                <w:szCs w:val="18"/>
                <w:color w:val="auto"/>
              </w:rPr>
              <w:t>o</w:t>
            </w:r>
          </w:p>
        </w:tc>
        <w:tc>
          <w:tcPr>
            <w:tcW w:w="412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6" w:lineRule="exact"/>
        <w:rPr>
          <w:sz w:val="24"/>
          <w:szCs w:val="24"/>
          <w:color w:val="auto"/>
        </w:rPr>
      </w:pPr>
    </w:p>
    <w:p>
      <w:pPr>
        <w:ind w:right="160"/>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72,114,703 shares of common stock, $1 par value, outstanding as of October 30, 2023.</w:t>
      </w:r>
    </w:p>
    <w:p>
      <w:pPr>
        <w:spacing w:after="0" w:line="8"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governmental fiscal and monetary policies, including tariffs and levels of employment;</w:t>
      </w:r>
    </w:p>
    <w:p>
      <w:pPr>
        <w:spacing w:after="0" w:line="11" w:lineRule="exact"/>
        <w:rPr>
          <w:rFonts w:ascii="Arial" w:cs="Arial" w:eastAsia="Arial" w:hAnsi="Arial"/>
          <w:sz w:val="18"/>
          <w:szCs w:val="18"/>
          <w:color w:val="auto"/>
        </w:rPr>
      </w:pPr>
    </w:p>
    <w:p>
      <w:pPr>
        <w:ind w:left="660" w:right="480" w:hanging="328"/>
        <w:spacing w:after="0" w:line="25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general and global economic conditions, including impacts from global pandemics, rising inflation, supply chain disruptions, and ongoing military conflicts including the conflict between Russia and Ukraine and the conflict in Israel and the surrounding areas;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level of home construction and repair and remodel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competitive conditions and prices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relationship between supply of and demand for building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financial or business conditions of third-party wholesale distributors and dealers;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energy, primarily natural gas, electricity, and diesel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manufacturing our products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the launch or production ramp-up of newly introduced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other significant operating expenses;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currency values and exchange rates between the U.S. dollar and other currencies, particularly the Canadian dollar, Brazilian real, and Chilean peso;</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circumstances giving rise to environmental liabilities or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warranty costs exceeding our warranty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to or exploitation of our intellectual property or other proprietary information by others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existing and future product-related litigation, environmental proceedings and remediation efforts, and other legal or environmental proceedings or matters;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covenants and events of default contained in our debt instruments;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public authorities, war, political or civil unrest, natural disasters, fire, floods, earthquakes, inclement weather, and other matters beyond our control.</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and any risks and uncertainties specifically identified in the text surrounding forward-looking statements, any statements in the reports and other documents filed or furnished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were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THIRD-PARTY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80" w:type="dxa"/>
            <w:vAlign w:val="bottom"/>
            <w:gridSpan w:val="5"/>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220" w:type="dxa"/>
            <w:vAlign w:val="bottom"/>
            <w:gridSpan w:val="8"/>
          </w:tcPr>
          <w:p>
            <w:pPr>
              <w:jc w:val="center"/>
              <w:ind w:left="1470"/>
              <w:spacing w:after="0"/>
              <w:rPr>
                <w:sz w:val="20"/>
                <w:szCs w:val="20"/>
                <w:color w:val="auto"/>
              </w:rPr>
            </w:pPr>
            <w:r>
              <w:rPr>
                <w:rFonts w:ascii="Arial" w:cs="Arial" w:eastAsia="Arial" w:hAnsi="Arial"/>
                <w:sz w:val="18"/>
                <w:szCs w:val="18"/>
                <w:color w:val="auto"/>
                <w:w w:val="90"/>
              </w:rPr>
              <w:t>Dollar and share amounts in millions, except per share amounts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40" w:type="dxa"/>
            <w:vAlign w:val="bottom"/>
            <w:gridSpan w:val="4"/>
          </w:tcPr>
          <w:p>
            <w:pPr>
              <w:jc w:val="center"/>
              <w:ind w:left="315"/>
              <w:spacing w:after="0"/>
              <w:rPr>
                <w:sz w:val="20"/>
                <w:szCs w:val="20"/>
                <w:color w:val="auto"/>
              </w:rPr>
            </w:pPr>
            <w:r>
              <w:rPr>
                <w:rFonts w:ascii="Arial" w:cs="Arial" w:eastAsia="Arial" w:hAnsi="Arial"/>
                <w:sz w:val="18"/>
                <w:szCs w:val="18"/>
                <w:color w:val="auto"/>
                <w:w w:val="93"/>
              </w:rPr>
              <w:t>(Unaudited)</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5"/>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24"/>
                <w:szCs w:val="24"/>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124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3,149</w:t>
            </w:r>
          </w:p>
        </w:tc>
      </w:tr>
      <w:tr>
        <w:trPr>
          <w:trHeight w:val="213"/>
        </w:trPr>
        <w:tc>
          <w:tcPr>
            <w:tcW w:w="1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w w:val="92"/>
              </w:rPr>
              <w:t>Cost of sales</w:t>
            </w: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w:t>
            </w:r>
          </w:p>
        </w:tc>
      </w:tr>
      <w:tr>
        <w:trPr>
          <w:trHeight w:val="226"/>
        </w:trPr>
        <w:tc>
          <w:tcPr>
            <w:tcW w:w="1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5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r>
      <w:tr>
        <w:trPr>
          <w:trHeight w:val="213"/>
        </w:trPr>
        <w:tc>
          <w:tcPr>
            <w:tcW w:w="380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 expenses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9"/>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Impairment of long-lived assets, net</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operating credits and charges, net</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1,191</w:t>
            </w:r>
          </w:p>
        </w:tc>
      </w:tr>
      <w:tr>
        <w:trPr>
          <w:trHeight w:val="213"/>
        </w:trPr>
        <w:tc>
          <w:tcPr>
            <w:tcW w:w="380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 income</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3800" w:type="dxa"/>
            <w:vAlign w:val="bottom"/>
            <w:gridSpan w:val="2"/>
          </w:tcPr>
          <w:p>
            <w:pPr>
              <w:ind w:left="340"/>
              <w:spacing w:after="0"/>
              <w:rPr>
                <w:sz w:val="20"/>
                <w:szCs w:val="20"/>
                <w:color w:val="auto"/>
              </w:rPr>
            </w:pPr>
            <w:r>
              <w:rPr>
                <w:rFonts w:ascii="Arial" w:cs="Arial" w:eastAsia="Arial" w:hAnsi="Arial"/>
                <w:sz w:val="16"/>
                <w:szCs w:val="16"/>
                <w:color w:val="auto"/>
              </w:rPr>
              <w:t>Other non-operating items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1,178</w:t>
            </w:r>
          </w:p>
        </w:tc>
      </w:tr>
      <w:tr>
        <w:trPr>
          <w:trHeight w:val="213"/>
        </w:trPr>
        <w:tc>
          <w:tcPr>
            <w:tcW w:w="3800" w:type="dxa"/>
            <w:vAlign w:val="bottom"/>
            <w:gridSpan w:val="2"/>
          </w:tcPr>
          <w:p>
            <w:pPr>
              <w:ind w:left="360"/>
              <w:spacing w:after="0"/>
              <w:rPr>
                <w:sz w:val="20"/>
                <w:szCs w:val="20"/>
                <w:color w:val="auto"/>
              </w:rPr>
            </w:pPr>
            <w:r>
              <w:rPr>
                <w:rFonts w:ascii="Arial" w:cs="Arial" w:eastAsia="Arial" w:hAnsi="Arial"/>
                <w:sz w:val="16"/>
                <w:szCs w:val="16"/>
                <w:color w:val="auto"/>
              </w:rPr>
              <w:t>Provision for income taxes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9"/>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Equity in unconsolidated affiliate</w:t>
            </w:r>
          </w:p>
        </w:tc>
        <w:tc>
          <w:tcPr>
            <w:tcW w:w="18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380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from continuing operations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898</w:t>
            </w: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1"/>
              </w:rPr>
              <w:t>Income from discontinued operations, net of income taxes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07"/>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38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Net loss attributed to non-controlling interest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38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attributed to LP</w:t>
            </w:r>
          </w:p>
        </w:tc>
        <w:tc>
          <w:tcPr>
            <w:tcW w:w="18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1,094</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3"/>
        </w:trPr>
        <w:tc>
          <w:tcPr>
            <w:tcW w:w="5720" w:type="dxa"/>
            <w:vAlign w:val="bottom"/>
            <w:gridSpan w:val="4"/>
          </w:tcPr>
          <w:p>
            <w:pPr>
              <w:ind w:left="20"/>
              <w:spacing w:after="0"/>
              <w:rPr>
                <w:sz w:val="20"/>
                <w:szCs w:val="20"/>
                <w:color w:val="auto"/>
              </w:rPr>
            </w:pPr>
            <w:r>
              <w:rPr>
                <w:rFonts w:ascii="Arial" w:cs="Arial" w:eastAsia="Arial" w:hAnsi="Arial"/>
                <w:sz w:val="16"/>
                <w:szCs w:val="16"/>
                <w:b w:val="1"/>
                <w:bCs w:val="1"/>
                <w:color w:val="auto"/>
              </w:rPr>
              <w:t>Net income attributed to LP per share of common stock:</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per share continuing operations - basic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r>
      <w:tr>
        <w:trPr>
          <w:trHeight w:val="213"/>
        </w:trPr>
        <w:tc>
          <w:tcPr>
            <w:tcW w:w="3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Income per share discontinued operations - basic</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29"/>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attributed to LP per share - basic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per share continuing operations - diluted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13"/>
        </w:trPr>
        <w:tc>
          <w:tcPr>
            <w:tcW w:w="3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Income per share discontinued operations - diluted</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3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attributed to LP per share - diluted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r>
      <w:tr>
        <w:trPr>
          <w:trHeight w:val="20"/>
        </w:trPr>
        <w:tc>
          <w:tcPr>
            <w:tcW w:w="56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572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Average shares of common stock used to compute Net income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240" w:type="dxa"/>
            <w:vAlign w:val="bottom"/>
          </w:tcPr>
          <w:p>
            <w:pPr>
              <w:ind w:left="220"/>
              <w:spacing w:after="0"/>
              <w:rPr>
                <w:sz w:val="20"/>
                <w:szCs w:val="20"/>
                <w:color w:val="auto"/>
              </w:rPr>
            </w:pPr>
            <w:r>
              <w:rPr>
                <w:rFonts w:ascii="Arial" w:cs="Arial" w:eastAsia="Arial" w:hAnsi="Arial"/>
                <w:sz w:val="16"/>
                <w:szCs w:val="16"/>
                <w:color w:val="auto"/>
              </w:rPr>
              <w:t>Basic</w:t>
            </w: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2"/>
        </w:trPr>
        <w:tc>
          <w:tcPr>
            <w:tcW w:w="1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5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84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5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1,093</w:t>
            </w:r>
          </w:p>
        </w:tc>
      </w:tr>
      <w:tr>
        <w:trPr>
          <w:trHeight w:val="213"/>
        </w:trPr>
        <w:tc>
          <w:tcPr>
            <w:tcW w:w="5520" w:type="dxa"/>
            <w:vAlign w:val="bottom"/>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5520" w:type="dxa"/>
            <w:vAlign w:val="bottom"/>
          </w:tcPr>
          <w:p>
            <w:pPr>
              <w:ind w:left="340"/>
              <w:spacing w:after="0"/>
              <w:rPr>
                <w:sz w:val="20"/>
                <w:szCs w:val="20"/>
                <w:color w:val="auto"/>
              </w:rPr>
            </w:pPr>
            <w:r>
              <w:rPr>
                <w:rFonts w:ascii="Arial" w:cs="Arial" w:eastAsia="Arial" w:hAnsi="Arial"/>
                <w:sz w:val="16"/>
                <w:szCs w:val="16"/>
                <w:color w:val="auto"/>
              </w:rPr>
              <w:t>Changes in defined benefit pension plans</w:t>
            </w:r>
          </w:p>
        </w:tc>
        <w:tc>
          <w:tcPr>
            <w:tcW w:w="9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2"/>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1,077</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associated with non-controlling interest</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attributed to LP</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1,078</w:t>
            </w:r>
          </w:p>
        </w:tc>
      </w:tr>
      <w:tr>
        <w:trPr>
          <w:trHeight w:val="23"/>
        </w:trPr>
        <w:tc>
          <w:tcPr>
            <w:tcW w:w="55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12"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Receivables, net of allowance for doubtful accounts of $3 million and $1 million as of September 30, 2023, and</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2022, respectively</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854</w:t>
            </w:r>
          </w:p>
        </w:tc>
        <w:tc>
          <w:tcPr>
            <w:tcW w:w="0" w:type="dxa"/>
            <w:vAlign w:val="bottom"/>
          </w:tcPr>
          <w:p>
            <w:pPr>
              <w:spacing w:after="0"/>
              <w:rPr>
                <w:sz w:val="1"/>
                <w:szCs w:val="1"/>
                <w:color w:val="auto"/>
              </w:rPr>
            </w:pPr>
          </w:p>
        </w:tc>
      </w:tr>
      <w:tr>
        <w:trPr>
          <w:trHeight w:val="77"/>
        </w:trPr>
        <w:tc>
          <w:tcPr>
            <w:tcW w:w="7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Timber and timberlands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Operating lease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other intangible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Investments in and advances to affiliates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7580" w:type="dxa"/>
            <w:vAlign w:val="bottom"/>
          </w:tcPr>
          <w:p>
            <w:pPr>
              <w:ind w:left="3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2,350</w:t>
            </w:r>
          </w:p>
        </w:tc>
        <w:tc>
          <w:tcPr>
            <w:tcW w:w="0" w:type="dxa"/>
            <w:vAlign w:val="bottom"/>
          </w:tcPr>
          <w:p>
            <w:pPr>
              <w:spacing w:after="0"/>
              <w:rPr>
                <w:sz w:val="1"/>
                <w:szCs w:val="1"/>
                <w:color w:val="auto"/>
              </w:rPr>
            </w:pPr>
          </w:p>
        </w:tc>
      </w:tr>
      <w:tr>
        <w:trPr>
          <w:trHeight w:val="49"/>
        </w:trPr>
        <w:tc>
          <w:tcPr>
            <w:tcW w:w="75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5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taxes payable</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0" w:type="dxa"/>
            <w:vAlign w:val="bottom"/>
          </w:tcPr>
          <w:p>
            <w:pPr>
              <w:spacing w:after="0"/>
              <w:rPr>
                <w:sz w:val="1"/>
                <w:szCs w:val="1"/>
                <w:color w:val="auto"/>
              </w:rPr>
            </w:pPr>
          </w:p>
        </w:tc>
      </w:tr>
      <w:tr>
        <w:trPr>
          <w:trHeight w:val="77"/>
        </w:trPr>
        <w:tc>
          <w:tcPr>
            <w:tcW w:w="7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Contingency reserves, excluding current portion</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916</w:t>
            </w:r>
          </w:p>
        </w:tc>
        <w:tc>
          <w:tcPr>
            <w:tcW w:w="0" w:type="dxa"/>
            <w:vAlign w:val="bottom"/>
          </w:tcPr>
          <w:p>
            <w:pPr>
              <w:spacing w:after="0"/>
              <w:rPr>
                <w:sz w:val="1"/>
                <w:szCs w:val="1"/>
                <w:color w:val="auto"/>
              </w:rPr>
            </w:pPr>
          </w:p>
        </w:tc>
      </w:tr>
      <w:tr>
        <w:trPr>
          <w:trHeight w:val="77"/>
        </w:trPr>
        <w:tc>
          <w:tcPr>
            <w:tcW w:w="7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7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58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6"/>
              </w:rPr>
              <w:t>Common stock, $1 par value, 200,000,000 shares authorized; 87,986,865 and 72,114,051 shares issued and</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outstanding, respectively, as of September 30, 2023; and 87,986,865 and 71,748,200 shares issued and</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respectively, as of December 31, 2022</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166"/>
        </w:trPr>
        <w:tc>
          <w:tcPr>
            <w:tcW w:w="7580" w:type="dxa"/>
            <w:vAlign w:val="bottom"/>
          </w:tcPr>
          <w:p>
            <w:pPr>
              <w:ind w:left="140"/>
              <w:spacing w:after="0" w:line="166" w:lineRule="exact"/>
              <w:rPr>
                <w:sz w:val="20"/>
                <w:szCs w:val="20"/>
                <w:color w:val="auto"/>
              </w:rPr>
            </w:pPr>
            <w:r>
              <w:rPr>
                <w:rFonts w:ascii="Arial" w:cs="Arial" w:eastAsia="Arial" w:hAnsi="Arial"/>
                <w:sz w:val="16"/>
                <w:szCs w:val="16"/>
                <w:color w:val="auto"/>
                <w:w w:val="92"/>
              </w:rPr>
              <w:t>Treasury stock, 15,872,814 shares and 16,238,665 shares, at cost as of September 30, 2023, and December 31,</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2022, respectively</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Nine Months Ended September 30,</w:t>
            </w:r>
          </w:p>
        </w:tc>
        <w:tc>
          <w:tcPr>
            <w:tcW w:w="54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Impairment of goodwill and long-lived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Gain on sale of assets, net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Pension loss due to settlement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Deferred taxes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adjustments, net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Receivables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payable, net of receivables</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1,103</w:t>
            </w:r>
          </w:p>
        </w:tc>
      </w:tr>
      <w:tr>
        <w:trPr>
          <w:trHeight w:val="199"/>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 additions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of facility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Proceeds from sales of assets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divestiture of business</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investing activities, net</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cash used in investing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r>
      <w:tr>
        <w:trPr>
          <w:trHeight w:val="193"/>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Borrowing of long-term debt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Repayment of long-term debt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 of cash dividends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Purchase of stock</w:t>
            </w:r>
          </w:p>
        </w:tc>
        <w:tc>
          <w:tcPr>
            <w:tcW w:w="1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Net cash used in financing activities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(968)</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75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Supplemental cash flow information:</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income taxes, net</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Cash paid for interest, net</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Unpaid capital expenditures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5"/>
                <w:szCs w:val="5"/>
                <w:color w:val="auto"/>
              </w:rPr>
            </w:pPr>
          </w:p>
        </w:tc>
        <w:tc>
          <w:tcPr>
            <w:tcW w:w="98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5"/>
                <w:szCs w:val="5"/>
                <w:color w:val="auto"/>
              </w:rPr>
            </w:pPr>
          </w:p>
        </w:tc>
        <w:tc>
          <w:tcPr>
            <w:tcW w:w="1060" w:type="dxa"/>
            <w:vAlign w:val="bottom"/>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52"/>
        </w:trPr>
        <w:tc>
          <w:tcPr>
            <w:tcW w:w="270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1,433</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($0.24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1,450</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6"/>
                <w:szCs w:val="16"/>
                <w:color w:val="auto"/>
              </w:rPr>
              <w:t>Net loss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($0.24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1,419</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($0.24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5"/>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5"/>
                <w:szCs w:val="5"/>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1100" w:type="dxa"/>
            <w:vAlign w:val="bottom"/>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6"/>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1,235</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ind w:left="4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Purchase of stock</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1,613</w:t>
            </w:r>
          </w:p>
        </w:tc>
        <w:tc>
          <w:tcPr>
            <w:tcW w:w="0" w:type="dxa"/>
            <w:vAlign w:val="bottom"/>
          </w:tcPr>
          <w:p>
            <w:pPr>
              <w:spacing w:after="0"/>
              <w:rPr>
                <w:sz w:val="1"/>
                <w:szCs w:val="1"/>
                <w:color w:val="auto"/>
              </w:rPr>
            </w:pPr>
          </w:p>
        </w:tc>
      </w:tr>
      <w:tr>
        <w:trPr>
          <w:trHeight w:val="223"/>
        </w:trPr>
        <w:tc>
          <w:tcPr>
            <w:tcW w:w="2680" w:type="dxa"/>
            <w:vAlign w:val="bottom"/>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Purchase of stock</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1,484</w:t>
            </w:r>
          </w:p>
        </w:tc>
        <w:tc>
          <w:tcPr>
            <w:tcW w:w="0" w:type="dxa"/>
            <w:vAlign w:val="bottom"/>
          </w:tcPr>
          <w:p>
            <w:pPr>
              <w:spacing w:after="0"/>
              <w:rPr>
                <w:sz w:val="1"/>
                <w:szCs w:val="1"/>
                <w:color w:val="auto"/>
              </w:rPr>
            </w:pPr>
          </w:p>
        </w:tc>
      </w:tr>
      <w:tr>
        <w:trPr>
          <w:trHeight w:val="207"/>
        </w:trPr>
        <w:tc>
          <w:tcPr>
            <w:tcW w:w="2680" w:type="dxa"/>
            <w:vAlign w:val="bottom"/>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3"/>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Purchase of stock</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5"/>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September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72" w:right="359" w:bottom="1440" w:gutter="0" w:footer="0" w:header="0"/>
        </w:sectPr>
      </w:pPr>
    </w:p>
    <w:bookmarkStart w:id="9" w:name="page10"/>
    <w:bookmarkEnd w:id="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FOR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with limited sales to Asia, Australia, and Europe. The Company operates 23 plants across the U.S., Canada, Chile, and Brazil through foreign subsidiaries, and operates additional facilities through a joint venture. References to "LP," the "Company," "we," "our," and "us" refer to Louisiana-Pacific Corporation and its consolidated subsidiaries as a whole.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we sold our 50% equity interest in two joint ventures that produce I-joists, and we sold the remaining assets related to the Engineered Wood Product (EWP) segment. Accordingly, the results of our previously owned EWP segment have been presented as discontinued operations in our Condensed Consolidated Statements of Income for all periods presented. See "Note 7 –Discontinued Operations" for additional information.</w:t>
      </w:r>
    </w:p>
    <w:p>
      <w:pPr>
        <w:spacing w:after="0" w:line="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May 2023, we acquired a manufacturing facility in Wawa, Ontario, Canada from Wawa OSB, Inc. a subsidiary of Forex Inc., for $80 million, financed by a combination of cash on hand and availability under the Amended Credit Facility (defined below). The manufacturing facility is expected to be converted into an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SmartSide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Trim &amp; Siding mill. We are evaluating project schedules and market demand to determine when construction will begin. The facility will remain shut down until such construction is completed.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Presentation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2022, filed with the SEC on February 21, 2023 (2022 Annual Report on Form 10-K). Results of operations for interim periods are not necessarily indicative of results to be expected for an entire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noted in the segment reporting information in “Note 17 - Selected Segment Data” below, our reportable segments are Siding, Oriented Strand Board (OSB), and South America. The following tables set forth our revenue by segment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80"/>
              <w:spacing w:after="0"/>
              <w:rPr>
                <w:sz w:val="20"/>
                <w:szCs w:val="20"/>
                <w:color w:val="auto"/>
              </w:rPr>
            </w:pPr>
            <w:r>
              <w:rPr>
                <w:rFonts w:ascii="Arial" w:cs="Arial" w:eastAsia="Arial" w:hAnsi="Arial"/>
                <w:sz w:val="16"/>
                <w:szCs w:val="16"/>
                <w:b w:val="1"/>
                <w:bCs w:val="1"/>
                <w:color w:val="auto"/>
                <w:w w:val="92"/>
              </w:rPr>
              <w:t>Three Months Ended September 30, 2023</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Siding</w:t>
            </w: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South America</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Commodity</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53"/>
        </w:trPr>
        <w:tc>
          <w:tcPr>
            <w:tcW w:w="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176"/>
        </w:trPr>
        <w:tc>
          <w:tcPr>
            <w:tcW w:w="280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345</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80"/>
              <w:spacing w:after="0"/>
              <w:rPr>
                <w:sz w:val="20"/>
                <w:szCs w:val="20"/>
                <w:color w:val="auto"/>
              </w:rPr>
            </w:pPr>
            <w:r>
              <w:rPr>
                <w:rFonts w:ascii="Arial" w:cs="Arial" w:eastAsia="Arial" w:hAnsi="Arial"/>
                <w:sz w:val="16"/>
                <w:szCs w:val="16"/>
                <w:b w:val="1"/>
                <w:bCs w:val="1"/>
                <w:color w:val="auto"/>
                <w:w w:val="92"/>
              </w:rPr>
              <w:t>Three Months Ended September 30,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Siding</w:t>
            </w: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South America</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393</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Commodity</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53"/>
        </w:trPr>
        <w:tc>
          <w:tcPr>
            <w:tcW w:w="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175"/>
        </w:trPr>
        <w:tc>
          <w:tcPr>
            <w:tcW w:w="280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394</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92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11" w:name="page12"/>
    <w:bookmarkEnd w:id="11"/>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120"/>
              <w:spacing w:after="0"/>
              <w:rPr>
                <w:sz w:val="20"/>
                <w:szCs w:val="20"/>
                <w:color w:val="auto"/>
              </w:rPr>
            </w:pPr>
            <w:r>
              <w:rPr>
                <w:rFonts w:ascii="Arial" w:cs="Arial" w:eastAsia="Arial" w:hAnsi="Arial"/>
                <w:sz w:val="16"/>
                <w:szCs w:val="16"/>
                <w:b w:val="1"/>
                <w:bCs w:val="1"/>
                <w:color w:val="auto"/>
                <w:w w:val="93"/>
              </w:rPr>
              <w:t>Nine Months Ended September 30, 2023</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Siding</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South America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989</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1,008</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1,552</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Commodity</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53"/>
        </w:trPr>
        <w:tc>
          <w:tcPr>
            <w:tcW w:w="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176"/>
        </w:trPr>
        <w:tc>
          <w:tcPr>
            <w:tcW w:w="280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996</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1,923</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120"/>
              <w:spacing w:after="0"/>
              <w:rPr>
                <w:sz w:val="20"/>
                <w:szCs w:val="20"/>
                <w:color w:val="auto"/>
              </w:rPr>
            </w:pPr>
            <w:r>
              <w:rPr>
                <w:rFonts w:ascii="Arial" w:cs="Arial" w:eastAsia="Arial" w:hAnsi="Arial"/>
                <w:sz w:val="16"/>
                <w:szCs w:val="16"/>
                <w:b w:val="1"/>
                <w:bCs w:val="1"/>
                <w:color w:val="auto"/>
                <w:w w:val="93"/>
              </w:rPr>
              <w:t>Nine Months Ended September 30,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Siding</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South America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1,079</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1,097</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2,262</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Commodity</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53"/>
        </w:trPr>
        <w:tc>
          <w:tcPr>
            <w:tcW w:w="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175"/>
        </w:trPr>
        <w:tc>
          <w:tcPr>
            <w:tcW w:w="280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1,083</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92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3,149</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Revenue is recognized when obligations under the terms of a contract </w:t>
      </w:r>
      <w:r>
        <w:rPr>
          <w:rFonts w:ascii="Arial" w:cs="Arial" w:eastAsia="Arial" w:hAnsi="Arial"/>
          <w:sz w:val="18"/>
          <w:szCs w:val="18"/>
          <w:i w:val="1"/>
          <w:iCs w:val="1"/>
          <w:color w:val="auto"/>
        </w:rPr>
        <w:t>(i.e.</w:t>
      </w:r>
      <w:r>
        <w:rPr>
          <w:rFonts w:ascii="Arial" w:cs="Arial" w:eastAsia="Arial" w:hAnsi="Arial"/>
          <w:sz w:val="18"/>
          <w:szCs w:val="18"/>
          <w:color w:val="auto"/>
        </w:rPr>
        <w:t>, purchase orders) with our customers are satisfied; generally, this occurs with the transfer of control of our products to the customer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estimation of customer volume achievement and other factors incorporated into customer agreements, such as new product purchases, store sell-through, and merchandising support. Management adjusts accruals when circumstances indicate (typically as a result of a change in sales volume expectations).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from continuing operations are reported because the effect is anti-dilutive.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 (dollar and share amounts 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8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7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200" w:type="dxa"/>
            <w:vAlign w:val="bottom"/>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attributed to LP from continuing operations</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income taxes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attributed to LP</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 - basic</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Dilutive effect of employee stock plans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Shares used for diluted earnings per share</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attributed to LP per share - basic:</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Continuing operations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attributed to LP per share - basic</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0"/>
        </w:trPr>
        <w:tc>
          <w:tcPr>
            <w:tcW w:w="5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attributed to LP per share - diluted:</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Discontinued operations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attributed to LP per share - diluted</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carrying value of the 3.625% Senior Notes due in 2029 (2029 Senior Notes) was $347 million and $346 million as of September 30, 2023 and December 31, 2022, respectively. The fair value of the 2029 Senior Notes was estimated to be $295 million and $306 million as of September 30, 2023 and December 31, 2022, respectively, based on market quotations.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2022, LP entered into a Second Amended and Restated Credit Agreement with American AgCredit, PCA, as administrative agent and sole lead arranger, and CoBank, ACB, as letter of credit issuer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Agreement), relating to its revolving credit facility (as amended, the Amended Credit Facility). The Credit Agreement provides for a revolving credit facility in the principal amount of up to $550 million, with a $60 million sub-limit for letters of credit. All loans under the Credit Agreement become due on November 29, 2028. As of September 30, 2023, there were no outstanding borrowings under our Amended Credit Facility.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Carrying amounts reported on the balance sheet for cash and cash equivalents, accounts receivables, and accounts payable approximate fair value due to the short-term maturity of these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consisted of the following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174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doubtful accounts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are primarily generated by sales of our products to our wholesale and retail customers. Other receivables as of September 30, 2023 and December 31, 2022, primarily consist of sales tax receivables, vendor rebates, and other miscellaneous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Logs</w:t>
            </w:r>
          </w:p>
        </w:tc>
        <w:tc>
          <w:tcPr>
            <w:tcW w:w="174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raw materials</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Semi-finished inventories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products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379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the Company sold its 50% equity interest in two joint ventures that produce I-joists for $59 million, resulting in a pre-tax gain associated with the sale of $39 million recorded in the year ended December 31, 2022 within Income from discontinued operations, net of income taxes in the Condensed Consolidated Statements of Income.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 2022, the Company completed the sale of the assets related to the EWP segment. As a result of the sale, the Company received $217 million in gross cash proceeds after taking into account working capital adjustments. The Company paid $12 million in direct transaction costs, resulting in net proceeds of $205 million. During the year ended December 31, 2022, the Company recorded a pre-tax gain of approximately $118 million within Income from discontinued operations, net of income taxes in the Condensed Consolidated Statements of Income.</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closing, the Company entered into a transition services agreement with the purchaser of the assets, pursuant to which the Company agreed to support the various activities of the EWP segment, which concluded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classified the results of its EWP segment as discontinued operations in its Condensed Consolidated Statements of Income for the prior period presented. The following table presents the financial results of the EWP segment for the three and nine months ended September 30, 2022 (dollar amounts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78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6940" w:type="dxa"/>
            <w:vAlign w:val="bottom"/>
          </w:tcPr>
          <w:p>
            <w:pPr>
              <w:spacing w:after="0"/>
              <w:rPr>
                <w:sz w:val="18"/>
                <w:szCs w:val="18"/>
                <w:color w:val="auto"/>
              </w:rPr>
            </w:pPr>
          </w:p>
        </w:tc>
        <w:tc>
          <w:tcPr>
            <w:tcW w:w="1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69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9"/>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780" w:type="dxa"/>
            <w:vAlign w:val="bottom"/>
            <w:shd w:val="clear" w:color="auto" w:fill="CCEEFF"/>
          </w:tcPr>
          <w:p>
            <w:pPr>
              <w:jc w:val="right"/>
              <w:ind w:right="1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Cost of sales</w:t>
            </w:r>
          </w:p>
        </w:tc>
        <w:tc>
          <w:tcPr>
            <w:tcW w:w="1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Selling, general, and administrative expenses</w:t>
            </w:r>
          </w:p>
        </w:tc>
        <w:tc>
          <w:tcPr>
            <w:tcW w:w="1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of discontinued operations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r>
      <w:tr>
        <w:trPr>
          <w:trHeight w:val="213"/>
        </w:trPr>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Gain on disposal before income taxes</w:t>
            </w:r>
          </w:p>
        </w:tc>
        <w:tc>
          <w:tcPr>
            <w:tcW w:w="1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discontinued operations before income taxes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Provision for income taxes</w:t>
            </w:r>
          </w:p>
        </w:tc>
        <w:tc>
          <w:tcPr>
            <w:tcW w:w="1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discontinued operations, net of income taxes</w:t>
            </w:r>
          </w:p>
        </w:tc>
        <w:tc>
          <w:tcPr>
            <w:tcW w:w="1780" w:type="dxa"/>
            <w:vAlign w:val="bottom"/>
            <w:tcBorders>
              <w:bottom w:val="single" w:sz="8" w:color="auto"/>
            </w:tcBorders>
            <w:shd w:val="clear" w:color="auto" w:fill="CCEEFF"/>
          </w:tcPr>
          <w:p>
            <w:pPr>
              <w:jc w:val="right"/>
              <w:ind w:right="1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summarizes the total cash provided by operations and total cash provided by investing activities related to the EWP segment and included in the Condensed Consolidated Statements of Cash Flows for the nine months ended September 30, 2022 (dollar amounts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jc w:val="right"/>
              <w:ind w:right="2739"/>
              <w:spacing w:after="0"/>
              <w:rPr>
                <w:sz w:val="20"/>
                <w:szCs w:val="20"/>
                <w:color w:val="auto"/>
              </w:rPr>
            </w:pPr>
            <w:r>
              <w:rPr>
                <w:rFonts w:ascii="Arial" w:cs="Arial" w:eastAsia="Arial" w:hAnsi="Arial"/>
                <w:sz w:val="16"/>
                <w:szCs w:val="16"/>
                <w:color w:val="auto"/>
                <w:w w:val="92"/>
              </w:rPr>
              <w:t>Net cash provided by discontinued operating activities</w:t>
            </w:r>
          </w:p>
        </w:tc>
        <w:tc>
          <w:tcPr>
            <w:tcW w:w="37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6380" w:type="dxa"/>
            <w:vAlign w:val="bottom"/>
          </w:tcPr>
          <w:p>
            <w:pPr>
              <w:jc w:val="right"/>
              <w:ind w:right="2759"/>
              <w:spacing w:after="0"/>
              <w:rPr>
                <w:sz w:val="20"/>
                <w:szCs w:val="20"/>
                <w:color w:val="auto"/>
              </w:rPr>
            </w:pPr>
            <w:r>
              <w:rPr>
                <w:rFonts w:ascii="Arial" w:cs="Arial" w:eastAsia="Arial" w:hAnsi="Arial"/>
                <w:sz w:val="16"/>
                <w:szCs w:val="16"/>
                <w:color w:val="auto"/>
                <w:w w:val="93"/>
              </w:rPr>
              <w:t>Net cash provided by discontinued investing activities</w:t>
            </w:r>
          </w:p>
        </w:tc>
        <w:tc>
          <w:tcPr>
            <w:tcW w:w="37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258</w:t>
            </w:r>
          </w:p>
        </w:tc>
      </w:tr>
    </w:tbl>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discontinued investing activities for the nine months ended September 30, 2022, includes $59 million of proceeds from the sale of our 50% equity interest in two joint ventures that produce I-joists and $202 million of net proceeds from the sale of the EWP segment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EXIT CHARGES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second quarter of 2023, we ceased the manufacturing operations of Entekra Holdings, LLC (Entekra), an off-site framing operation previously reported within our “Other” category, which comprises other products that are not individually significant. Business exit charges were $1 million and $35 million for the three and nine months ended September 30, 2023, respectively, which consist of the following (dollar amounts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880" w:type="dxa"/>
            <w:vAlign w:val="bottom"/>
          </w:tcPr>
          <w:p>
            <w:pPr>
              <w:jc w:val="center"/>
              <w:ind w:left="199"/>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6820" w:type="dxa"/>
            <w:vAlign w:val="bottom"/>
          </w:tcPr>
          <w:p>
            <w:pPr>
              <w:spacing w:after="0"/>
              <w:rPr>
                <w:sz w:val="18"/>
                <w:szCs w:val="18"/>
                <w:color w:val="auto"/>
              </w:rPr>
            </w:pPr>
          </w:p>
        </w:tc>
        <w:tc>
          <w:tcPr>
            <w:tcW w:w="18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September 30,</w:t>
            </w:r>
          </w:p>
        </w:tc>
      </w:tr>
      <w:tr>
        <w:trPr>
          <w:trHeight w:val="209"/>
        </w:trPr>
        <w:tc>
          <w:tcPr>
            <w:tcW w:w="682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w w:val="89"/>
              </w:rPr>
              <w:t>2023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68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w w:val="98"/>
              </w:rPr>
              <w:t>Impairment of property, plant and equipment, operating lease assets, and other intangible assets</w:t>
            </w:r>
            <w:r>
              <w:rPr>
                <w:rFonts w:ascii="Arial" w:cs="Arial" w:eastAsia="Arial" w:hAnsi="Arial"/>
                <w:sz w:val="21"/>
                <w:szCs w:val="21"/>
                <w:color w:val="auto"/>
                <w:w w:val="98"/>
                <w:vertAlign w:val="superscript"/>
              </w:rPr>
              <w:t>1</w:t>
            </w:r>
          </w:p>
        </w:tc>
        <w:tc>
          <w:tcPr>
            <w:tcW w:w="1880" w:type="dxa"/>
            <w:vAlign w:val="bottom"/>
            <w:shd w:val="clear" w:color="auto" w:fill="CCEEFF"/>
          </w:tcPr>
          <w:p>
            <w:pPr>
              <w:jc w:val="right"/>
              <w:ind w:right="1699"/>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Restructuring and other related charges:</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8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Inventory write-down</w:t>
            </w:r>
            <w:r>
              <w:rPr>
                <w:rFonts w:ascii="Arial" w:cs="Arial" w:eastAsia="Arial" w:hAnsi="Arial"/>
                <w:sz w:val="21"/>
                <w:szCs w:val="21"/>
                <w:color w:val="auto"/>
                <w:vertAlign w:val="superscript"/>
              </w:rPr>
              <w:t>2</w:t>
            </w:r>
          </w:p>
        </w:tc>
        <w:tc>
          <w:tcPr>
            <w:tcW w:w="18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expenses including personnel-related costs such as severance</w:t>
            </w:r>
            <w:r>
              <w:rPr>
                <w:rFonts w:ascii="Arial" w:cs="Arial" w:eastAsia="Arial" w:hAnsi="Arial"/>
                <w:sz w:val="21"/>
                <w:szCs w:val="21"/>
                <w:color w:val="auto"/>
                <w:vertAlign w:val="superscript"/>
              </w:rPr>
              <w:t>3</w:t>
            </w:r>
          </w:p>
        </w:tc>
        <w:tc>
          <w:tcPr>
            <w:tcW w:w="1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68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69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Included within Impairment of long-lived assets, net on the Condensed Consolidated Income Statements.</w:t>
      </w:r>
    </w:p>
    <w:p>
      <w:pPr>
        <w:spacing w:after="0" w:line="203"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Included within Cost of sales on the Condensed Consolidated Income Statements.</w:t>
      </w:r>
    </w:p>
    <w:p>
      <w:pPr>
        <w:spacing w:after="0"/>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Included within Other operating credits and charges, net on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 During the nine months ended September 30, 2023, we recorded impairment charges of $9 million related to developed technology and trademarks related to Entekra, which is discussed further in “Note 8 - Business Exit Charges.”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goodwill and other intangible assets for the nine months ended September 30, 2023 are provided in the following table (dollar amounts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Timber Licenses</w:t>
            </w:r>
            <w:r>
              <w:rPr>
                <w:rFonts w:ascii="Arial" w:cs="Arial" w:eastAsia="Arial" w:hAnsi="Arial"/>
                <w:sz w:val="21"/>
                <w:szCs w:val="21"/>
                <w:b w:val="1"/>
                <w:bCs w:val="1"/>
                <w:color w:val="auto"/>
                <w:w w:val="98"/>
                <w:vertAlign w:val="superscript"/>
              </w:rPr>
              <w:t>1</w:t>
            </w:r>
          </w:p>
        </w:tc>
        <w:tc>
          <w:tcPr>
            <w:tcW w:w="220" w:type="dxa"/>
            <w:vAlign w:val="bottom"/>
          </w:tcPr>
          <w:p>
            <w:pPr>
              <w:spacing w:after="0"/>
              <w:rPr>
                <w:sz w:val="16"/>
                <w:szCs w:val="1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Developed</w:t>
            </w:r>
          </w:p>
        </w:tc>
        <w:tc>
          <w:tcPr>
            <w:tcW w:w="200" w:type="dxa"/>
            <w:vAlign w:val="bottom"/>
          </w:tcPr>
          <w:p>
            <w:pPr>
              <w:spacing w:after="0"/>
              <w:rPr>
                <w:sz w:val="16"/>
                <w:szCs w:val="16"/>
                <w:color w:val="auto"/>
              </w:rPr>
            </w:pPr>
          </w:p>
        </w:tc>
        <w:tc>
          <w:tcPr>
            <w:tcW w:w="12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Technology</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December 31, 2022</w:t>
            </w: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5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1"/>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Ending balance September 30, 2023</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Timber licenses are included in Timber and timberlands on the Condensed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interim periods, we recognize income tax expense by applying the estimated annual effective income tax rate to year to date results unless this method does not result in a reliable estimate of year to date income tax expense. Each period, the income tax accrual is adjusted to the latest estimate, and the difference from the previously accrued year to date balance is adjusted in the current quarter. Changes in profitability estimates in various jurisdictions will impact our quarterly effective income tax rates.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tax provision for income taxes from continuing operations for the nine months ended September 30, 2023 and 2022, reflected an estimated annual effective tax rate of 27% and 25%, respectively, excluding discrete items discussed below. The total effective tax rate for continuing operations for the three and nine months ended September 30, 2023 was 27% and 36%, respectively, compared to 26% and 24%, respectively, for the comparable period in 2022.</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net discrete tax expense of $16 million and net discrete tax benefits of $9 million in the nine months ended September 30, 2023 and 2022, respectively. The net discrete tax expense in the current year relates primarily to a $22 million expense related to the second quarter change in management’s indefinite reinvestment assertion on Chile and Brazil earnings described in “Item 2 - Management's Discussion and Analysis of Financial Conditions and Results of Operation” of this quarterly report on Form 10-Q, while the net discrete tax benefit in the prior year primarily relates to excess tax benefits from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maintain reserves for various contingent liabilities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Environmental reserves</w:t>
            </w:r>
          </w:p>
        </w:tc>
        <w:tc>
          <w:tcPr>
            <w:tcW w:w="1920" w:type="dxa"/>
            <w:vAlign w:val="bottom"/>
            <w:shd w:val="clear" w:color="auto" w:fill="CCEEFF"/>
          </w:tcPr>
          <w:p>
            <w:pPr>
              <w:jc w:val="right"/>
              <w:ind w:right="17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27</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19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contingencies</w:t>
            </w: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27</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(included in Accounts payable and accrued liabilities)</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Long-term portion</w:t>
            </w:r>
          </w:p>
        </w:tc>
        <w:tc>
          <w:tcPr>
            <w:tcW w:w="1920" w:type="dxa"/>
            <w:vAlign w:val="bottom"/>
            <w:tcBorders>
              <w:bottom w:val="single" w:sz="8" w:color="auto"/>
            </w:tcBorders>
            <w:shd w:val="clear" w:color="auto" w:fill="CCEEFF"/>
          </w:tcPr>
          <w:p>
            <w:pPr>
              <w:jc w:val="right"/>
              <w:ind w:right="17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based on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and our subsidiaries are parties to certain legal proceedings arising in our ordinary course of business. During the second quarter of 2023, we agreed to pay $16 million to resolve certain patent-related claims and to obtain certain patent rights, which is recorded within Other operating credits and charges, net in our Condensed Consolidated Statements of Income. As of September 30, 2023, $12 million of the settlement amount is outstanding and is included Accounts payable and accrued liabilities in the Condensed Consolidated Balance Sheets.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information currently available, management believes the resolution of such ongoing and future proceedings will not have a material effect on our financial position, results of operations, cash flows,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IMPAIRMENT OF LONG-LIVED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the carrying values of our long-lived assets for potential impairments and believe we have adequate support for the carrying values of our long-lived assets.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September 30, 2023, there were no indications of impairment.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 During the nine months ended September 30, 2023, we recorded impairment charges of $13 million and $3 million related to property, plant, and equipment and operating lease assets, respectively, related to Entekra which were written down to fair value based on Level 2 inputs under Accounting Standards Codification 820, Fair Value Measurement (ASC 820), using quoted market prices. See further discussion in “Note 8 - Business Exit Charges.” As of September 30, 2023, there were no other indications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nine months ended September 30, 2023 and 2022, is summarized in the following table (dollar amounts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Accrued to expense</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left="959"/>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Credited to other operating credits and charges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w w:val="91"/>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Payments made</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left="939"/>
              <w:spacing w:after="0"/>
              <w:rPr>
                <w:sz w:val="20"/>
                <w:szCs w:val="20"/>
                <w:color w:val="auto"/>
              </w:rPr>
            </w:pPr>
            <w:r>
              <w:rPr>
                <w:rFonts w:ascii="Arial" w:cs="Arial" w:eastAsia="Arial" w:hAnsi="Arial"/>
                <w:sz w:val="16"/>
                <w:szCs w:val="16"/>
                <w:color w:val="auto"/>
                <w:w w:val="91"/>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warranty reserves</w:t>
            </w: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959"/>
              <w:spacing w:after="0"/>
              <w:rPr>
                <w:sz w:val="20"/>
                <w:szCs w:val="20"/>
                <w:color w:val="auto"/>
              </w:rPr>
            </w:pPr>
            <w:r>
              <w:rPr>
                <w:rFonts w:ascii="Arial" w:cs="Arial" w:eastAsia="Arial" w:hAnsi="Arial"/>
                <w:sz w:val="16"/>
                <w:szCs w:val="16"/>
                <w:color w:val="auto"/>
                <w:w w:val="89"/>
              </w:rPr>
              <w:t>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6"/>
        </w:trPr>
        <w:tc>
          <w:tcPr>
            <w:tcW w:w="5160" w:type="dxa"/>
            <w:vAlign w:val="bottom"/>
          </w:tcPr>
          <w:p>
            <w:pPr>
              <w:ind w:left="360"/>
              <w:spacing w:after="0" w:line="166" w:lineRule="exact"/>
              <w:rPr>
                <w:sz w:val="20"/>
                <w:szCs w:val="20"/>
                <w:color w:val="auto"/>
              </w:rPr>
            </w:pPr>
            <w:r>
              <w:rPr>
                <w:rFonts w:ascii="Arial" w:cs="Arial" w:eastAsia="Arial" w:hAnsi="Arial"/>
                <w:sz w:val="16"/>
                <w:szCs w:val="16"/>
                <w:color w:val="auto"/>
                <w:w w:val="94"/>
              </w:rPr>
              <w:t>Current portion of warranty reserves (included in Accounts payable and</w:t>
            </w:r>
          </w:p>
        </w:tc>
        <w:tc>
          <w:tcPr>
            <w:tcW w:w="10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w w:val="91"/>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left="939"/>
              <w:spacing w:after="0"/>
              <w:rPr>
                <w:sz w:val="20"/>
                <w:szCs w:val="20"/>
                <w:color w:val="auto"/>
              </w:rPr>
            </w:pPr>
            <w:r>
              <w:rPr>
                <w:rFonts w:ascii="Arial" w:cs="Arial" w:eastAsia="Arial" w:hAnsi="Arial"/>
                <w:sz w:val="16"/>
                <w:szCs w:val="16"/>
                <w:color w:val="auto"/>
                <w:w w:val="91"/>
              </w:rPr>
              <w:t>(2)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accrued liabilities)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w w:val="99"/>
              </w:rPr>
              <w:t>Long-term portion of warranty reserves (included in Other long-term</w:t>
            </w:r>
          </w:p>
        </w:tc>
        <w:tc>
          <w:tcPr>
            <w:tcW w:w="1040" w:type="dxa"/>
            <w:vAlign w:val="bottom"/>
            <w:vMerge w:val="restart"/>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center"/>
              <w:ind w:left="959"/>
              <w:spacing w:after="0"/>
              <w:rPr>
                <w:sz w:val="20"/>
                <w:szCs w:val="20"/>
                <w:color w:val="auto"/>
              </w:rPr>
            </w:pPr>
            <w:r>
              <w:rPr>
                <w:rFonts w:ascii="Arial" w:cs="Arial" w:eastAsia="Arial" w:hAnsi="Arial"/>
                <w:sz w:val="16"/>
                <w:szCs w:val="16"/>
                <w:color w:val="auto"/>
                <w:w w:val="89"/>
              </w:rPr>
              <w:t>6</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liabilities)</w:t>
            </w: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continue to monitor warranty and other claims associated with our products and believe, as of September 30, 2023, that the warranty reserve balances associated with these matters are adequate to cover future warranty payments. However, it is possible that additional changes may be required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DEFINED BENEFIT PENSION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net periodic pension cost for our defined benefit pension and postretirement plans during the three and nine months ended September 30, 2023 and 2022 (dollar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Other components of net periodic pension cost</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Expected return on plan assets</w:t>
            </w:r>
          </w:p>
        </w:tc>
        <w:tc>
          <w:tcPr>
            <w:tcW w:w="10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net loss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costs before loss due to settlement</w:t>
            </w: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Loss due to settlement</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Other components of net periodic pension cost are included in Other non-operating items on our Condensed Consolidated Statements of Income.</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Company initiated the termination of our frozen U.S. and Canadian defined benefit pension plans (collectively, the Plan), which would result in the full settlement of the Company's Plan obligations. During the year ended December 31, 2022, the Company liquidated substantially all of the Plan assets to fund lump-sum distributions to participants and purchase non-participating group annuity contracts. As a result, a substantial portion of the Plan was settled during the year ended December 31, 2022. During the three months ended March 31, 2023, the Company completed the termination of the Plan resulting in the recognition of non-cash, pre-tax charges of $6 million from Accumulated comprehensive loss to Other non-operating items in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recognized in Other comprehensive loss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Net actuarial gain (loss) and prior service (cost) arising during the period,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center"/>
              <w:ind w:left="759"/>
              <w:spacing w:after="0"/>
              <w:rPr>
                <w:sz w:val="20"/>
                <w:szCs w:val="20"/>
                <w:color w:val="auto"/>
              </w:rPr>
            </w:pPr>
            <w:r>
              <w:rPr>
                <w:rFonts w:ascii="Arial" w:cs="Arial" w:eastAsia="Arial" w:hAnsi="Arial"/>
                <w:sz w:val="16"/>
                <w:szCs w:val="16"/>
                <w:color w:val="auto"/>
                <w:w w:val="91"/>
              </w:rPr>
              <w:t>(1)</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center"/>
              <w:ind w:left="7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tax</w:t>
            </w:r>
          </w:p>
        </w:tc>
        <w:tc>
          <w:tcPr>
            <w:tcW w:w="16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w w:val="97"/>
              </w:rPr>
              <w:t>Amortization of actuarial loss, prior service cost and settlements, net of tax</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center"/>
              <w:ind w:left="779"/>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819"/>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amounts recognized in Other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b w:val="1"/>
                <w:bCs w:val="1"/>
                <w:color w:val="auto"/>
                <w:w w:val="89"/>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b w:val="1"/>
                <w:bCs w:val="1"/>
                <w:color w:val="auto"/>
                <w:w w:val="89"/>
              </w:rPr>
              <w:t>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Accumulated comprehensive loss is provided in the following table for the three months ended September 30, 2023, and 2022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1 Amounts of actuarial loss and prior service cost are components of net periodic benefit cost. See “Note 14 - Defined Benefit Pension Plans” above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Accumulated comprehensive loss is provided in the following table for the nine months ended September 30, 2023 and 2022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6"/>
                <w:szCs w:val="16"/>
                <w:color w:val="auto"/>
              </w:rPr>
            </w:pPr>
          </w:p>
        </w:tc>
        <w:tc>
          <w:tcPr>
            <w:tcW w:w="10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Other</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4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24"/>
                <w:szCs w:val="2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24"/>
                <w:szCs w:val="2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1 Amounts of actuarial loss and prior service cost are components of net periodic benefit cost. See “Note 14 - Defined Benefit Pension Plans” above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OPERATING AND NON-OPERATING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credits and charges, net, is comprised of the following components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Three Months Ended September 30,</w:t>
            </w: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recoveries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Reorganization charges</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1"/>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settlement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Environmental costs</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asset sales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operating credits and charges,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non-operating items is comprised of the following components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Three Months Ended September 30,</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3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 excluding service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Pension settlement charges</w:t>
            </w:r>
          </w:p>
        </w:tc>
        <w:tc>
          <w:tcPr>
            <w:tcW w:w="104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gain (loss)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non-operating items</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SEGMENT DATA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three segments: Siding, OSB, and South America.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evaluate the performance of our business segments based on Net sales and segment Adjusted EBITDA (defined below). Accordingly, our chief operating decision maker evaluates performance and allocates resources based primarily on Net sales and segment Adjusted EBITDA for our business segments. The Company's chief operating decision maker is the Chief Executive Officer. Segment Adjusted EBITDA is defined as Income attributed to LP from continuing operations before interest expense, provision for income taxes, depreciation and amortization, and excludes stock-based compensation expense, loss on impairment attributed to LP, business exit charges, product-line discontinuance charges, other operating credits and charges, net, loss on early debt extinguishment, investment income, pension settlement charges, and other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nine months ended September 30, 2023, we updated our definition of Adjusted EBITDA to exclude other business exit charges not classified as exit operations. Business exit charges consist of inventory and other asset impairment and exit charges related to the exit of businesses not individually significant. We consider business exit charges to be outside the performance of our ongoing core business operations and believe that presenting Adjusted EBITDA excluding business exit charges provides increased transparency as to the operating costs of our current business performance. We did not revise prior years’ Adjusted EBITDA amounts because there were no significant costs similar in nature to these items.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business segments is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South America</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Intersegment sales</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Total sales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TO ADJUSTED EBITDA</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1,093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(deduct):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net of income taxes</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color w:val="auto"/>
              </w:rPr>
              <w:t>Income attributed to LP from continuing operations</w:t>
            </w:r>
          </w:p>
        </w:tc>
        <w:tc>
          <w:tcPr>
            <w:tcW w:w="10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Loss on impairment attributed to LP</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Business exit charges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non-operating items</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Pension settlement charges</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ADJUSTED EBITDA</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America</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Total Adjusted EBITDA</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2022 Annual Report on Form 10-K and in this quarterly report on Form 10-Q.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leading provider of high-performance building solutions that meet the demands of builders, remodelers, and homeowners worldwide. We have leveraged our expertise in serving the new home construction, repair and remodeling, and outdoor structures markets to become an industry leader known for innovation, quality, reliability, and sustainability. Our manufacturing facilities are located in the U.S., Canada, Chile, and Brazil.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 serve these markets, we primarily operate in three segments: Siding, OSB, and South America.</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2022, we sold our 50% equity interest in two joint ventures that produce I-joists, and we sold the remaining assets related to the EWP segment. Accordingly, the results of our previously owned EWP segment have been presented as discontinued operations in our Condensed Consolidated Statements of Income for all periods presented. See "Note 7 –Discontinued Operations" for additional information.</w:t>
      </w:r>
    </w:p>
    <w:p>
      <w:pPr>
        <w:spacing w:after="0" w:line="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May 2023, we acquired a manufacturing facility in Wawa, Ontario, Canada from Wawa OSB, Inc. a subsidiary of Forex Inc., for $80 million, financed by a combination of cash on hand and availability under the Amended Credit Facility . The manufacturing facility is expected to be converted into an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SmartSide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Trim &amp; Siding mill. We are evaluating project schedules and market demand to determine when construction will begin. The facility will remain shut down until such construction is completed.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Building Products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Demand for our products correlates positively with new home construction and repair and remodeling activity in North America, which historically has been characterized by significant cyclicality. The U.S. Census Bureau reported on October 18, 2023, that actual single-family housing starts were 7% higher for the three months ended September 30, 2023, and 13% lower for the nine months ended September 30, 2023, as compared to the same periods in 2022. Actual multi-family housing starts for the three and nine months ended September 30, 2023 were about 28% lower and 11% lower, respectively, as compared to the same period in 2022. Repair and remodeling activity is difficult to reasonably measure, but many indications, suggest that repair and remodeling activity is moderating and may begin to exhibit year-over-year declines.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Demand for Siding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Siding is a specialty building material and is subject to competition from various siding technologies, including vinyl, stucco, wood, fiber cement, brick, and others. We believe we are the largest manufacturer in the engineered wood siding market. We have consistently grown our Siding above the underlying market growth rates. Siding is generally less sensitive to new housing market cyclicality since demand also comes from other markets, including sheds and repair and remodel. Our growth in this market depends upon the continued displacement of vinyl, 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fiber cement, stucco, bricks, and other alternatives, our product innovation and our technological expertise in wood and wood composites to address the needs of our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Demand for OSB</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increase or decrease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the Condensed Consolidated Financial Statements included in our 2022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application of principles, methods, and assumptions used to determine our significant estimates since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from continuing operations before interest expense, provision for income taxes, depreciation and amortization, and excluding stock-based compensation expense, loss on impairment attributed to LP, business exit charges, product-line discontinuance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from continuing operations, excluding loss on impairment attributed to LP, business exit charges, product-line discontinuance charges, interest expense outside of normal operations, other operating credits and charges, net, loss on early debt extinguishment, gain (loss) on acquisition, and pension settlement charges, and adjusting for a normalized tax rate as Adjusted Income (Adjusted Income). We also disclose Adjusted Diluted EPS, which is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 Net income, are presented below.</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Adjusted Income, and Adjusted Diluted EPS are not substitutes for the U.S. GAAP measures of Net income, Income attributed to LP from continuing operations, and Income attributed to LP from continuing operations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2023, we updated our definitions of Adjusted EBITDA, Adjusted Income, and Adjusted Diluted EPS to exclude other business exit charges not classified as discontinued operations. Business exit charges consist of inventory and other asset impairment and exit charges related to the exit of other businesses not individually significant. We consider business exit charges to be outside the performance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ongoing core business operations and believe that presenting Adjusted EBITDA, Adjusted Income, and Adjusted Diluted EPS excluding business exit charges provides increased transparency as to the operating costs of our current business performance. We did not revise prior years’ Adjusted EBITDA, Adjusted Income, and Adjusted Diluted EPS amounts because there were no significant costs similar in nature to these items.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(dollar amounts in millions):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308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7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1,093</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 attributed to non-controlling interest</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020" w:type="dxa"/>
            <w:vAlign w:val="bottom"/>
          </w:tcPr>
          <w:p>
            <w:pPr>
              <w:ind w:left="180"/>
              <w:spacing w:after="0"/>
              <w:rPr>
                <w:sz w:val="20"/>
                <w:szCs w:val="20"/>
                <w:color w:val="auto"/>
              </w:rPr>
            </w:pPr>
            <w:r>
              <w:rPr>
                <w:rFonts w:ascii="Arial" w:cs="Arial" w:eastAsia="Arial" w:hAnsi="Arial"/>
                <w:sz w:val="16"/>
                <w:szCs w:val="16"/>
                <w:color w:val="auto"/>
              </w:rPr>
              <w:t>Income from discontinued operations, net of income taxes</w:t>
            </w:r>
          </w:p>
        </w:tc>
        <w:tc>
          <w:tcPr>
            <w:tcW w:w="9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attributed to LP from continuing operations</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impairment attributed to LP</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Other operating credits and charges, net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 exit charges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income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Other non-operating items</w:t>
            </w:r>
          </w:p>
        </w:tc>
        <w:tc>
          <w:tcPr>
            <w:tcW w:w="9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Pension settlement charges</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ADJUSTED EBITDA</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Siding</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OSB</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South America</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Corporate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Adjusted EBITDA</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provides the reconciliation of Net income to Adjusted Income (dollar amounts in millions, except per share amounts):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14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45"/>
        </w:trPr>
        <w:tc>
          <w:tcPr>
            <w:tcW w:w="4940" w:type="dxa"/>
            <w:vAlign w:val="bottom"/>
            <w:shd w:val="clear" w:color="auto" w:fill="CCEEFF"/>
          </w:tcPr>
          <w:p>
            <w:pPr>
              <w:spacing w:after="0" w:line="145" w:lineRule="exact"/>
              <w:rPr>
                <w:sz w:val="20"/>
                <w:szCs w:val="20"/>
                <w:color w:val="auto"/>
              </w:rPr>
            </w:pPr>
            <w:r>
              <w:rPr>
                <w:rFonts w:ascii="Arial" w:cs="Arial" w:eastAsia="Arial" w:hAnsi="Arial"/>
                <w:sz w:val="16"/>
                <w:szCs w:val="16"/>
                <w:b w:val="1"/>
                <w:bCs w:val="1"/>
                <w:color w:val="auto"/>
                <w:w w:val="96"/>
              </w:rPr>
              <w:t>Net income attributed to LP from continuing operations per share -</w:t>
            </w:r>
          </w:p>
        </w:tc>
        <w:tc>
          <w:tcPr>
            <w:tcW w:w="1000" w:type="dxa"/>
            <w:vAlign w:val="bottom"/>
            <w:vMerge w:val="restart"/>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w:t>
            </w:r>
          </w:p>
        </w:tc>
        <w:tc>
          <w:tcPr>
            <w:tcW w:w="100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1,093</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Add (deduct):</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attributed to non-controlling interest</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Arial" w:cs="Arial" w:eastAsia="Arial" w:hAnsi="Arial"/>
                <w:sz w:val="16"/>
                <w:szCs w:val="16"/>
                <w:color w:val="auto"/>
              </w:rPr>
              <w:t>Income from discontinued operations, net of income taxes</w:t>
            </w:r>
          </w:p>
        </w:tc>
        <w:tc>
          <w:tcPr>
            <w:tcW w:w="10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2"/>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attributed to LP from continuing operations</w:t>
            </w: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Arial" w:cs="Arial" w:eastAsia="Arial" w:hAnsi="Arial"/>
                <w:sz w:val="16"/>
                <w:szCs w:val="16"/>
                <w:color w:val="auto"/>
              </w:rPr>
              <w:t>Loss on impairment attributed to LP</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Arial" w:cs="Arial" w:eastAsia="Arial" w:hAnsi="Arial"/>
                <w:sz w:val="16"/>
                <w:szCs w:val="16"/>
                <w:color w:val="auto"/>
              </w:rPr>
              <w:t>Business exit charges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Pension settlement charges</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Reported tax provision</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Adjusted income before tax</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Normalized tax provision at 25%</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6"/>
                <w:szCs w:val="16"/>
                <w:color w:val="auto"/>
              </w:rPr>
              <w:t>Diluted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9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housing starts data presented by us may not be comparable to similarly-titled indicators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(thousands of units)</w:t>
            </w:r>
          </w:p>
        </w:tc>
        <w:tc>
          <w:tcPr>
            <w:tcW w:w="30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298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18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9"/>
        </w:trPr>
        <w:tc>
          <w:tcPr>
            <w:tcW w:w="518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Housing starts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Single-Family</w:t>
            </w:r>
          </w:p>
        </w:tc>
        <w:tc>
          <w:tcPr>
            <w:tcW w:w="142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812</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Multi-Family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10"/>
        </w:trPr>
        <w:tc>
          <w:tcPr>
            <w:tcW w:w="51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r>
      <w:tr>
        <w:trPr>
          <w:trHeight w:val="23"/>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100" w:hanging="74"/>
        <w:spacing w:after="0"/>
        <w:tabs>
          <w:tab w:leader="none" w:pos="100" w:val="left"/>
        </w:tabs>
        <w:numPr>
          <w:ilvl w:val="0"/>
          <w:numId w:val="4"/>
        </w:numPr>
        <w:rPr>
          <w:rFonts w:ascii="Arial" w:cs="Arial" w:eastAsia="Arial" w:hAnsi="Arial"/>
          <w:sz w:val="9"/>
          <w:szCs w:val="9"/>
          <w:color w:val="auto"/>
        </w:rPr>
      </w:pPr>
      <w:r>
        <w:rPr>
          <w:rFonts w:ascii="Arial" w:cs="Arial" w:eastAsia="Arial" w:hAnsi="Arial"/>
          <w:sz w:val="14"/>
          <w:szCs w:val="14"/>
          <w:color w:val="auto"/>
        </w:rPr>
        <w:t>Actual U.S. housing starts data reported by U.S. Census Bureau as published through October 18, 2023.</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sales volumes for our products in our Siding, OSB, and South America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sales volumes for the three and nine months ended September 30, 2023 and 2022:</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3"/>
          </w:tcPr>
          <w:p>
            <w:pPr>
              <w:jc w:val="right"/>
              <w:ind w:right="400"/>
              <w:spacing w:after="0"/>
              <w:rPr>
                <w:sz w:val="20"/>
                <w:szCs w:val="20"/>
                <w:color w:val="auto"/>
              </w:rPr>
            </w:pPr>
            <w:r>
              <w:rPr>
                <w:rFonts w:ascii="Arial" w:cs="Arial" w:eastAsia="Arial" w:hAnsi="Arial"/>
                <w:sz w:val="16"/>
                <w:szCs w:val="16"/>
                <w:b w:val="1"/>
                <w:bCs w:val="1"/>
                <w:color w:val="auto"/>
                <w:w w:val="96"/>
              </w:rPr>
              <w:t>Three Months Ended September 30,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0"/>
          </w:tcPr>
          <w:p>
            <w:pPr>
              <w:jc w:val="right"/>
              <w:ind w:right="420"/>
              <w:spacing w:after="0"/>
              <w:rPr>
                <w:sz w:val="20"/>
                <w:szCs w:val="20"/>
                <w:color w:val="auto"/>
              </w:rPr>
            </w:pPr>
            <w:r>
              <w:rPr>
                <w:rFonts w:ascii="Arial" w:cs="Arial" w:eastAsia="Arial" w:hAnsi="Arial"/>
                <w:sz w:val="16"/>
                <w:szCs w:val="16"/>
                <w:b w:val="1"/>
                <w:bCs w:val="1"/>
                <w:color w:val="auto"/>
                <w:w w:val="96"/>
              </w:rPr>
              <w:t>Three Months Ended September 30, 2022</w:t>
            </w:r>
          </w:p>
        </w:tc>
        <w:tc>
          <w:tcPr>
            <w:tcW w:w="0" w:type="dxa"/>
            <w:vAlign w:val="bottom"/>
          </w:tcPr>
          <w:p>
            <w:pPr>
              <w:spacing w:after="0"/>
              <w:rPr>
                <w:sz w:val="1"/>
                <w:szCs w:val="1"/>
                <w:color w:val="auto"/>
              </w:rPr>
            </w:pPr>
          </w:p>
        </w:tc>
      </w:tr>
      <w:tr>
        <w:trPr>
          <w:trHeight w:val="172"/>
        </w:trPr>
        <w:tc>
          <w:tcPr>
            <w:tcW w:w="3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Sales Volume</w:t>
            </w:r>
          </w:p>
        </w:tc>
        <w:tc>
          <w:tcPr>
            <w:tcW w:w="106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Siding</w:t>
            </w:r>
          </w:p>
        </w:tc>
        <w:tc>
          <w:tcPr>
            <w:tcW w:w="84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OSB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80"/>
              <w:spacing w:after="0" w:line="172" w:lineRule="exact"/>
              <w:rPr>
                <w:sz w:val="20"/>
                <w:szCs w:val="20"/>
                <w:color w:val="auto"/>
              </w:rPr>
            </w:pPr>
            <w:r>
              <w:rPr>
                <w:rFonts w:ascii="Arial" w:cs="Arial" w:eastAsia="Arial" w:hAnsi="Arial"/>
                <w:sz w:val="16"/>
                <w:szCs w:val="16"/>
                <w:b w:val="1"/>
                <w:bCs w:val="1"/>
                <w:color w:val="auto"/>
                <w:w w:val="83"/>
              </w:rPr>
              <w:t>South</w:t>
            </w:r>
          </w:p>
        </w:tc>
        <w:tc>
          <w:tcPr>
            <w:tcW w:w="92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4"/>
                <w:szCs w:val="14"/>
                <w:color w:val="auto"/>
              </w:rPr>
            </w:pPr>
          </w:p>
        </w:tc>
        <w:tc>
          <w:tcPr>
            <w:tcW w:w="960" w:type="dxa"/>
            <w:vAlign w:val="bottom"/>
            <w:gridSpan w:val="2"/>
            <w:vMerge w:val="restart"/>
          </w:tcPr>
          <w:p>
            <w:pPr>
              <w:jc w:val="right"/>
              <w:ind w:right="439"/>
              <w:spacing w:after="0"/>
              <w:rPr>
                <w:sz w:val="20"/>
                <w:szCs w:val="20"/>
                <w:color w:val="auto"/>
              </w:rPr>
            </w:pPr>
            <w:r>
              <w:rPr>
                <w:rFonts w:ascii="Arial" w:cs="Arial" w:eastAsia="Arial" w:hAnsi="Arial"/>
                <w:sz w:val="16"/>
                <w:szCs w:val="16"/>
                <w:b w:val="1"/>
                <w:bCs w:val="1"/>
                <w:color w:val="auto"/>
                <w:w w:val="85"/>
              </w:rPr>
              <w:t>Siding</w:t>
            </w:r>
          </w:p>
        </w:tc>
        <w:tc>
          <w:tcPr>
            <w:tcW w:w="800" w:type="dxa"/>
            <w:vAlign w:val="bottom"/>
            <w:gridSpan w:val="2"/>
            <w:vMerge w:val="restart"/>
          </w:tcPr>
          <w:p>
            <w:pPr>
              <w:jc w:val="right"/>
              <w:ind w:right="379"/>
              <w:spacing w:after="0"/>
              <w:rPr>
                <w:sz w:val="20"/>
                <w:szCs w:val="20"/>
                <w:color w:val="auto"/>
              </w:rPr>
            </w:pPr>
            <w:r>
              <w:rPr>
                <w:rFonts w:ascii="Arial" w:cs="Arial" w:eastAsia="Arial" w:hAnsi="Arial"/>
                <w:sz w:val="16"/>
                <w:szCs w:val="16"/>
                <w:b w:val="1"/>
                <w:bCs w:val="1"/>
                <w:color w:val="auto"/>
                <w:w w:val="92"/>
              </w:rPr>
              <w:t>OSB</w:t>
            </w:r>
          </w:p>
        </w:tc>
        <w:tc>
          <w:tcPr>
            <w:tcW w:w="1020" w:type="dxa"/>
            <w:vAlign w:val="bottom"/>
            <w:gridSpan w:val="4"/>
          </w:tcPr>
          <w:p>
            <w:pPr>
              <w:ind w:left="80"/>
              <w:spacing w:after="0" w:line="172" w:lineRule="exact"/>
              <w:rPr>
                <w:sz w:val="20"/>
                <w:szCs w:val="20"/>
                <w:color w:val="auto"/>
              </w:rPr>
            </w:pPr>
            <w:r>
              <w:rPr>
                <w:rFonts w:ascii="Arial" w:cs="Arial" w:eastAsia="Arial" w:hAnsi="Arial"/>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73"/>
              </w:rPr>
              <w:t>America</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2"/>
              </w:rPr>
              <w:t>America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060" w:type="dxa"/>
            <w:vAlign w:val="bottom"/>
            <w:gridSpan w:val="3"/>
            <w:shd w:val="clear" w:color="auto" w:fill="CCEEFF"/>
          </w:tcPr>
          <w:p>
            <w:pPr>
              <w:jc w:val="center"/>
              <w:ind w:left="419"/>
              <w:spacing w:after="0"/>
              <w:rPr>
                <w:sz w:val="20"/>
                <w:szCs w:val="20"/>
                <w:color w:val="auto"/>
              </w:rPr>
            </w:pPr>
            <w:r>
              <w:rPr>
                <w:rFonts w:ascii="Arial" w:cs="Arial" w:eastAsia="Arial" w:hAnsi="Arial"/>
                <w:sz w:val="16"/>
                <w:szCs w:val="16"/>
                <w:color w:val="auto"/>
                <w:w w:val="89"/>
              </w:rPr>
              <w:t>398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471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OSB - Structural Solutions (MMSF)</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59"/>
              <w:spacing w:after="0"/>
              <w:rPr>
                <w:sz w:val="20"/>
                <w:szCs w:val="20"/>
                <w:color w:val="auto"/>
              </w:rPr>
            </w:pPr>
            <w:r>
              <w:rPr>
                <w:rFonts w:ascii="Arial" w:cs="Arial" w:eastAsia="Arial" w:hAnsi="Arial"/>
                <w:sz w:val="16"/>
                <w:szCs w:val="16"/>
                <w:color w:val="auto"/>
              </w:rPr>
              <w:t>412</w:t>
            </w:r>
          </w:p>
        </w:tc>
        <w:tc>
          <w:tcPr>
            <w:tcW w:w="980" w:type="dxa"/>
            <w:vAlign w:val="bottom"/>
            <w:gridSpan w:val="5"/>
          </w:tcPr>
          <w:p>
            <w:pPr>
              <w:jc w:val="right"/>
              <w:ind w:right="200"/>
              <w:spacing w:after="0"/>
              <w:rPr>
                <w:sz w:val="20"/>
                <w:szCs w:val="20"/>
                <w:color w:val="auto"/>
              </w:rPr>
            </w:pPr>
            <w:r>
              <w:rPr>
                <w:rFonts w:ascii="Arial" w:cs="Arial" w:eastAsia="Arial" w:hAnsi="Arial"/>
                <w:sz w:val="16"/>
                <w:szCs w:val="16"/>
                <w:color w:val="auto"/>
              </w:rPr>
              <w:t>115</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w w:val="87"/>
              </w:rPr>
              <w:t>—</w:t>
            </w: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460</w:t>
            </w:r>
          </w:p>
        </w:tc>
        <w:tc>
          <w:tcPr>
            <w:tcW w:w="1020" w:type="dxa"/>
            <w:vAlign w:val="bottom"/>
            <w:gridSpan w:val="4"/>
          </w:tcPr>
          <w:p>
            <w:pPr>
              <w:jc w:val="right"/>
              <w:ind w:right="340"/>
              <w:spacing w:after="0"/>
              <w:rPr>
                <w:sz w:val="20"/>
                <w:szCs w:val="20"/>
                <w:color w:val="auto"/>
              </w:rPr>
            </w:pPr>
            <w:r>
              <w:rPr>
                <w:rFonts w:ascii="Arial" w:cs="Arial" w:eastAsia="Arial" w:hAnsi="Arial"/>
                <w:sz w:val="16"/>
                <w:szCs w:val="16"/>
                <w:color w:val="auto"/>
              </w:rPr>
              <w:t>127</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commodity (MMSF)</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7"/>
              </w:rPr>
              <w:t>—</w:t>
            </w: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3"/>
          </w:tcPr>
          <w:p>
            <w:pPr>
              <w:jc w:val="right"/>
              <w:ind w:right="460"/>
              <w:spacing w:after="0"/>
              <w:rPr>
                <w:sz w:val="20"/>
                <w:szCs w:val="20"/>
                <w:color w:val="auto"/>
              </w:rPr>
            </w:pPr>
            <w:r>
              <w:rPr>
                <w:rFonts w:ascii="Arial" w:cs="Arial" w:eastAsia="Arial" w:hAnsi="Arial"/>
                <w:sz w:val="16"/>
                <w:szCs w:val="16"/>
                <w:b w:val="1"/>
                <w:bCs w:val="1"/>
                <w:color w:val="auto"/>
                <w:w w:val="97"/>
              </w:rPr>
              <w:t>Nine Months Ended September 30,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6"/>
                <w:szCs w:val="16"/>
                <w:b w:val="1"/>
                <w:bCs w:val="1"/>
                <w:color w:val="auto"/>
                <w:w w:val="97"/>
              </w:rPr>
              <w:t>Nine Months Ended September 30, 2022</w:t>
            </w:r>
          </w:p>
        </w:tc>
        <w:tc>
          <w:tcPr>
            <w:tcW w:w="0" w:type="dxa"/>
            <w:vAlign w:val="bottom"/>
          </w:tcPr>
          <w:p>
            <w:pPr>
              <w:spacing w:after="0"/>
              <w:rPr>
                <w:sz w:val="1"/>
                <w:szCs w:val="1"/>
                <w:color w:val="auto"/>
              </w:rPr>
            </w:pPr>
          </w:p>
        </w:tc>
      </w:tr>
      <w:tr>
        <w:trPr>
          <w:trHeight w:val="172"/>
        </w:trPr>
        <w:tc>
          <w:tcPr>
            <w:tcW w:w="3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Sales Volume</w:t>
            </w:r>
          </w:p>
        </w:tc>
        <w:tc>
          <w:tcPr>
            <w:tcW w:w="104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Siding</w:t>
            </w:r>
          </w:p>
        </w:tc>
        <w:tc>
          <w:tcPr>
            <w:tcW w:w="84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OSB</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360"/>
              <w:spacing w:after="0" w:line="172" w:lineRule="exact"/>
              <w:rPr>
                <w:sz w:val="20"/>
                <w:szCs w:val="20"/>
                <w:color w:val="auto"/>
              </w:rPr>
            </w:pPr>
            <w:r>
              <w:rPr>
                <w:rFonts w:ascii="Arial" w:cs="Arial" w:eastAsia="Arial" w:hAnsi="Arial"/>
                <w:sz w:val="16"/>
                <w:szCs w:val="16"/>
                <w:b w:val="1"/>
                <w:bCs w:val="1"/>
                <w:color w:val="auto"/>
                <w:w w:val="83"/>
              </w:rPr>
              <w:t>South</w:t>
            </w:r>
          </w:p>
        </w:tc>
        <w:tc>
          <w:tcPr>
            <w:tcW w:w="94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4"/>
                <w:szCs w:val="14"/>
                <w:color w:val="auto"/>
              </w:rPr>
            </w:pPr>
          </w:p>
        </w:tc>
        <w:tc>
          <w:tcPr>
            <w:tcW w:w="960" w:type="dxa"/>
            <w:vAlign w:val="bottom"/>
            <w:gridSpan w:val="2"/>
            <w:vMerge w:val="restart"/>
          </w:tcPr>
          <w:p>
            <w:pPr>
              <w:jc w:val="right"/>
              <w:ind w:right="439"/>
              <w:spacing w:after="0"/>
              <w:rPr>
                <w:sz w:val="20"/>
                <w:szCs w:val="20"/>
                <w:color w:val="auto"/>
              </w:rPr>
            </w:pPr>
            <w:r>
              <w:rPr>
                <w:rFonts w:ascii="Arial" w:cs="Arial" w:eastAsia="Arial" w:hAnsi="Arial"/>
                <w:sz w:val="16"/>
                <w:szCs w:val="16"/>
                <w:b w:val="1"/>
                <w:bCs w:val="1"/>
                <w:color w:val="auto"/>
                <w:w w:val="85"/>
              </w:rPr>
              <w:t>Siding</w:t>
            </w:r>
          </w:p>
        </w:tc>
        <w:tc>
          <w:tcPr>
            <w:tcW w:w="800" w:type="dxa"/>
            <w:vAlign w:val="bottom"/>
            <w:gridSpan w:val="2"/>
            <w:vMerge w:val="restart"/>
          </w:tcPr>
          <w:p>
            <w:pPr>
              <w:jc w:val="right"/>
              <w:ind w:right="379"/>
              <w:spacing w:after="0"/>
              <w:rPr>
                <w:sz w:val="20"/>
                <w:szCs w:val="20"/>
                <w:color w:val="auto"/>
              </w:rPr>
            </w:pPr>
            <w:r>
              <w:rPr>
                <w:rFonts w:ascii="Arial" w:cs="Arial" w:eastAsia="Arial" w:hAnsi="Arial"/>
                <w:sz w:val="16"/>
                <w:szCs w:val="16"/>
                <w:b w:val="1"/>
                <w:bCs w:val="1"/>
                <w:color w:val="auto"/>
                <w:w w:val="92"/>
              </w:rPr>
              <w:t>OSB</w:t>
            </w:r>
          </w:p>
        </w:tc>
        <w:tc>
          <w:tcPr>
            <w:tcW w:w="1020" w:type="dxa"/>
            <w:vAlign w:val="bottom"/>
            <w:gridSpan w:val="4"/>
          </w:tcPr>
          <w:p>
            <w:pPr>
              <w:ind w:left="80"/>
              <w:spacing w:after="0" w:line="172" w:lineRule="exact"/>
              <w:rPr>
                <w:sz w:val="20"/>
                <w:szCs w:val="20"/>
                <w:color w:val="auto"/>
              </w:rPr>
            </w:pPr>
            <w:r>
              <w:rPr>
                <w:rFonts w:ascii="Arial" w:cs="Arial" w:eastAsia="Arial" w:hAnsi="Arial"/>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73"/>
              </w:rPr>
              <w:t>America</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2"/>
              </w:rPr>
              <w:t>America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0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1,158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1,340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25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OSB - Structural Solutions (MMSF)</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w w:val="99"/>
              </w:rPr>
              <w:t>—</w:t>
            </w:r>
          </w:p>
        </w:tc>
        <w:tc>
          <w:tcPr>
            <w:tcW w:w="840" w:type="dxa"/>
            <w:vAlign w:val="bottom"/>
            <w:gridSpan w:val="3"/>
          </w:tcPr>
          <w:p>
            <w:pPr>
              <w:jc w:val="right"/>
              <w:ind w:right="39"/>
              <w:spacing w:after="0"/>
              <w:rPr>
                <w:sz w:val="20"/>
                <w:szCs w:val="20"/>
                <w:color w:val="auto"/>
              </w:rPr>
            </w:pPr>
            <w:r>
              <w:rPr>
                <w:rFonts w:ascii="Arial" w:cs="Arial" w:eastAsia="Arial" w:hAnsi="Arial"/>
                <w:sz w:val="16"/>
                <w:szCs w:val="16"/>
                <w:color w:val="auto"/>
              </w:rPr>
              <w:t>1,151</w:t>
            </w:r>
          </w:p>
        </w:tc>
        <w:tc>
          <w:tcPr>
            <w:tcW w:w="980" w:type="dxa"/>
            <w:vAlign w:val="bottom"/>
            <w:gridSpan w:val="5"/>
          </w:tcPr>
          <w:p>
            <w:pPr>
              <w:jc w:val="right"/>
              <w:ind w:right="180"/>
              <w:spacing w:after="0"/>
              <w:rPr>
                <w:sz w:val="20"/>
                <w:szCs w:val="20"/>
                <w:color w:val="auto"/>
              </w:rPr>
            </w:pPr>
            <w:r>
              <w:rPr>
                <w:rFonts w:ascii="Arial" w:cs="Arial" w:eastAsia="Arial" w:hAnsi="Arial"/>
                <w:sz w:val="16"/>
                <w:szCs w:val="16"/>
                <w:color w:val="auto"/>
              </w:rPr>
              <w:t>370</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1,521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w w:val="87"/>
              </w:rPr>
              <w:t>—</w:t>
            </w: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1,499</w:t>
            </w:r>
          </w:p>
        </w:tc>
        <w:tc>
          <w:tcPr>
            <w:tcW w:w="1020" w:type="dxa"/>
            <w:vAlign w:val="bottom"/>
            <w:gridSpan w:val="4"/>
          </w:tcPr>
          <w:p>
            <w:pPr>
              <w:jc w:val="right"/>
              <w:ind w:right="340"/>
              <w:spacing w:after="0"/>
              <w:rPr>
                <w:sz w:val="20"/>
                <w:szCs w:val="20"/>
                <w:color w:val="auto"/>
              </w:rPr>
            </w:pPr>
            <w:r>
              <w:rPr>
                <w:rFonts w:ascii="Arial" w:cs="Arial" w:eastAsia="Arial" w:hAnsi="Arial"/>
                <w:sz w:val="16"/>
                <w:szCs w:val="16"/>
                <w:color w:val="auto"/>
              </w:rPr>
              <w:t>420</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commodity (MMSF)</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9"/>
              </w:rPr>
              <w:t>—</w:t>
            </w:r>
          </w:p>
        </w:tc>
        <w:tc>
          <w:tcPr>
            <w:tcW w:w="8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7"/>
              </w:rPr>
              <w:t>—</w:t>
            </w: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1,441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more readily monitor operational improvements. OEE for the three and nine months ended September 30, 2023 and 2022, for each of our segments is listed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5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820" w:type="dxa"/>
            <w:vAlign w:val="bottom"/>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OSB</w:t>
            </w:r>
          </w:p>
        </w:tc>
        <w:tc>
          <w:tcPr>
            <w:tcW w:w="560" w:type="dxa"/>
            <w:vAlign w:val="bottom"/>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South America</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results of operations for each of our segments are discussed below, as are the results of operations for the “other” category, which comprises other products that are not individually significant. See "Note 17 - Selected Segment Data" of the Notes to the Condensed Consolidated Financial Statements included in "Item 1 - Financial Statements" of this quarterly report on Form 10-Q for further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Siding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Siding segment serves diverse end markets with a broad product offering of engineered wood siding, trim, and fascia, including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SmartSide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Trim</w:t>
      </w:r>
    </w:p>
    <w:p>
      <w:pPr>
        <w:ind w:firstLine="8"/>
        <w:spacing w:after="0" w:line="224"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Siding,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SmartSide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ExpertFinish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Trim &amp; Siding, LP BuilderSeries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Lap Siding, and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Outdoor Building Solutions</w:t>
      </w:r>
      <w:r>
        <w:rPr>
          <w:rFonts w:ascii="Arial" w:cs="Arial" w:eastAsia="Arial" w:hAnsi="Arial"/>
          <w:sz w:val="10"/>
          <w:szCs w:val="10"/>
          <w:color w:val="auto"/>
        </w:rPr>
        <w:t>TM</w:t>
      </w:r>
      <w:r>
        <w:rPr>
          <w:rFonts w:ascii="Arial" w:cs="Arial" w:eastAsia="Arial" w:hAnsi="Arial"/>
          <w:sz w:val="18"/>
          <w:szCs w:val="18"/>
          <w:color w:val="auto"/>
        </w:rPr>
        <w:t xml:space="preserve"> (collectively referred to as Siding Solutions).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Segment Net sales and Adjusted EBITDA for this segment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4040" w:type="dxa"/>
            <w:vAlign w:val="bottom"/>
            <w:gridSpan w:val="9"/>
          </w:tcPr>
          <w:p>
            <w:pPr>
              <w:ind w:left="580"/>
              <w:spacing w:after="0"/>
              <w:rPr>
                <w:sz w:val="20"/>
                <w:szCs w:val="20"/>
                <w:color w:val="auto"/>
              </w:rPr>
            </w:pPr>
            <w:r>
              <w:rPr>
                <w:rFonts w:ascii="Arial" w:cs="Arial" w:eastAsia="Arial" w:hAnsi="Arial"/>
                <w:sz w:val="16"/>
                <w:szCs w:val="16"/>
                <w:b w:val="1"/>
                <w:bCs w:val="1"/>
                <w:color w:val="auto"/>
              </w:rPr>
              <w:t>Three Months Ended September 30,</w:t>
            </w:r>
          </w:p>
        </w:tc>
        <w:tc>
          <w:tcPr>
            <w:tcW w:w="3440" w:type="dxa"/>
            <w:vAlign w:val="bottom"/>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7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(13)%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8"/>
                <w:szCs w:val="18"/>
                <w:color w:val="auto"/>
              </w:rPr>
            </w:pPr>
          </w:p>
        </w:tc>
        <w:tc>
          <w:tcPr>
            <w:tcW w:w="1240" w:type="dxa"/>
            <w:vAlign w:val="bottom"/>
          </w:tcPr>
          <w:p>
            <w:pPr>
              <w:ind w:left="800"/>
              <w:spacing w:after="0"/>
              <w:rPr>
                <w:sz w:val="20"/>
                <w:szCs w:val="20"/>
                <w:color w:val="auto"/>
              </w:rPr>
            </w:pPr>
            <w:r>
              <w:rPr>
                <w:rFonts w:ascii="Arial" w:cs="Arial" w:eastAsia="Arial" w:hAnsi="Arial"/>
                <w:sz w:val="16"/>
                <w:szCs w:val="16"/>
                <w:color w:val="auto"/>
                <w:w w:val="98"/>
              </w:rPr>
              <w:t>(21)%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this segment by product line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800" w:type="dxa"/>
            <w:vAlign w:val="bottom"/>
            <w:gridSpan w:val="8"/>
          </w:tcPr>
          <w:p>
            <w:pPr>
              <w:ind w:left="5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345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394</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1,083</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Percent changes in average Net sales prices and unit shipments for the three and nine months ended September 30, 2023, compared to the corresponding periods in 2022,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2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366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September 30, 2023 versus 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 2023 versus 2022</w:t>
            </w:r>
          </w:p>
        </w:tc>
      </w:tr>
      <w:tr>
        <w:trPr>
          <w:trHeight w:val="162"/>
        </w:trPr>
        <w:tc>
          <w:tcPr>
            <w:tcW w:w="3660" w:type="dxa"/>
            <w:vAlign w:val="bottom"/>
          </w:tcPr>
          <w:p>
            <w:pPr>
              <w:spacing w:after="0"/>
              <w:rPr>
                <w:sz w:val="14"/>
                <w:szCs w:val="14"/>
                <w:color w:val="auto"/>
              </w:rPr>
            </w:pPr>
          </w:p>
        </w:tc>
        <w:tc>
          <w:tcPr>
            <w:tcW w:w="1400" w:type="dxa"/>
            <w:vAlign w:val="bottom"/>
          </w:tcPr>
          <w:p>
            <w:pPr>
              <w:ind w:left="480"/>
              <w:spacing w:after="0" w:line="162" w:lineRule="exact"/>
              <w:rPr>
                <w:sz w:val="20"/>
                <w:szCs w:val="20"/>
                <w:color w:val="auto"/>
              </w:rPr>
            </w:pPr>
            <w:r>
              <w:rPr>
                <w:rFonts w:ascii="Arial" w:cs="Arial" w:eastAsia="Arial" w:hAnsi="Arial"/>
                <w:sz w:val="16"/>
                <w:szCs w:val="16"/>
                <w:color w:val="auto"/>
              </w:rPr>
              <w:t>Average Net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79"/>
              <w:spacing w:after="0" w:line="162" w:lineRule="exact"/>
              <w:rPr>
                <w:sz w:val="20"/>
                <w:szCs w:val="20"/>
                <w:color w:val="auto"/>
              </w:rPr>
            </w:pPr>
            <w:r>
              <w:rPr>
                <w:rFonts w:ascii="Arial" w:cs="Arial" w:eastAsia="Arial" w:hAnsi="Arial"/>
                <w:sz w:val="16"/>
                <w:szCs w:val="16"/>
                <w:color w:val="auto"/>
              </w:rPr>
              <w:t>Unit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ind w:left="520"/>
              <w:spacing w:after="0" w:line="162" w:lineRule="exact"/>
              <w:rPr>
                <w:sz w:val="20"/>
                <w:szCs w:val="20"/>
                <w:color w:val="auto"/>
              </w:rPr>
            </w:pPr>
            <w:r>
              <w:rPr>
                <w:rFonts w:ascii="Arial" w:cs="Arial" w:eastAsia="Arial" w:hAnsi="Arial"/>
                <w:sz w:val="16"/>
                <w:szCs w:val="16"/>
                <w:color w:val="auto"/>
              </w:rPr>
              <w:t>Average Net</w:t>
            </w:r>
          </w:p>
        </w:tc>
        <w:tc>
          <w:tcPr>
            <w:tcW w:w="1800" w:type="dxa"/>
            <w:vAlign w:val="bottom"/>
          </w:tcPr>
          <w:p>
            <w:pPr>
              <w:jc w:val="center"/>
              <w:spacing w:after="0" w:line="162" w:lineRule="exact"/>
              <w:rPr>
                <w:sz w:val="20"/>
                <w:szCs w:val="20"/>
                <w:color w:val="auto"/>
              </w:rPr>
            </w:pPr>
            <w:r>
              <w:rPr>
                <w:rFonts w:ascii="Arial" w:cs="Arial" w:eastAsia="Arial" w:hAnsi="Arial"/>
                <w:sz w:val="16"/>
                <w:szCs w:val="16"/>
                <w:color w:val="auto"/>
                <w:w w:val="98"/>
              </w:rPr>
              <w:t>Unit</w:t>
            </w:r>
          </w:p>
        </w:tc>
      </w:tr>
      <w:tr>
        <w:trPr>
          <w:trHeight w:val="209"/>
        </w:trPr>
        <w:tc>
          <w:tcPr>
            <w:tcW w:w="3660" w:type="dxa"/>
            <w:vAlign w:val="bottom"/>
          </w:tcPr>
          <w:p>
            <w:pPr>
              <w:spacing w:after="0"/>
              <w:rPr>
                <w:sz w:val="18"/>
                <w:szCs w:val="18"/>
                <w:color w:val="auto"/>
              </w:rPr>
            </w:pPr>
          </w:p>
        </w:tc>
        <w:tc>
          <w:tcPr>
            <w:tcW w:w="1400" w:type="dxa"/>
            <w:vAlign w:val="bottom"/>
          </w:tcPr>
          <w:p>
            <w:pPr>
              <w:ind w:left="460"/>
              <w:spacing w:after="0"/>
              <w:rPr>
                <w:sz w:val="20"/>
                <w:szCs w:val="20"/>
                <w:color w:val="auto"/>
              </w:rPr>
            </w:pPr>
            <w:r>
              <w:rPr>
                <w:rFonts w:ascii="Arial" w:cs="Arial" w:eastAsia="Arial" w:hAnsi="Arial"/>
                <w:sz w:val="16"/>
                <w:szCs w:val="16"/>
                <w:color w:val="auto"/>
              </w:rPr>
              <w:t>Selling Price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Shipments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Arial" w:cs="Arial" w:eastAsia="Arial" w:hAnsi="Arial"/>
                <w:sz w:val="16"/>
                <w:szCs w:val="16"/>
                <w:color w:val="auto"/>
              </w:rPr>
              <w:t>Selling Price</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Shipments</w:t>
            </w:r>
          </w:p>
        </w:tc>
      </w:tr>
      <w:tr>
        <w:trPr>
          <w:trHeight w:val="21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1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effects of list price increases drove year-over-year increases in the average net selling price for the three and nine months ended September 30, 2023. The volume decreases for the three and nine months ended September 30, 2023 were driven by record results in the comparable periods and challenging new and existing home selling markets in the current periods.</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Adjusted EBITDA decreased year-over-year by $19 million in the third quarter of 2023, reflecting the net impact of lower volumes and $5 million of press rebuild costs, partially offset by higher average selling prices and $9 million in lower inflationary costs including freight, raw materials, and labor. Adjusted EBITDA decreased year-over-year by $53 million for the nine months ended September 30, 2023, which reflects the net impact of lower volumes, $8 million in discretionary investments to support future growth (including siding mill conversions and sales and marketing costs), and $5 million in press rebuild costs, partially offset by higher average selling prices and $13 million in lower inflationary costs (including freight, raw materials, and labor).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OSB</w:t>
      </w:r>
    </w:p>
    <w:p>
      <w:pPr>
        <w:spacing w:after="0" w:line="117"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OSB segment manufactures and distributes OSB structural panel products, including our value-added OSB portfolio known as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Structural Solutions (which includes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TechShield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Radiant Barrier, LP WeatherLogic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Air &amp; Water Barrier, LP Legacy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Premium Sub-Flooring, LP NovaCore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Thermal Insulated Sheathing,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FlameBlock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Fire-Rated Sheathing, and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TopNotch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350 Durable Sub-Flooring). OSB is manufactured using wood strands arranged in layers and bonded with resins.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Segment Net sales and Adjusted EBITDA for this segment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4040" w:type="dxa"/>
            <w:vAlign w:val="bottom"/>
            <w:gridSpan w:val="9"/>
          </w:tcPr>
          <w:p>
            <w:pPr>
              <w:jc w:val="right"/>
              <w:ind w:right="960"/>
              <w:spacing w:after="0"/>
              <w:rPr>
                <w:sz w:val="20"/>
                <w:szCs w:val="20"/>
                <w:color w:val="auto"/>
              </w:rPr>
            </w:pPr>
            <w:r>
              <w:rPr>
                <w:rFonts w:ascii="Arial" w:cs="Arial" w:eastAsia="Arial" w:hAnsi="Arial"/>
                <w:sz w:val="16"/>
                <w:szCs w:val="16"/>
                <w:b w:val="1"/>
                <w:bCs w:val="1"/>
                <w:color w:val="auto"/>
              </w:rPr>
              <w:t>Three Months Ended September 30,</w:t>
            </w:r>
          </w:p>
        </w:tc>
        <w:tc>
          <w:tcPr>
            <w:tcW w:w="3440" w:type="dxa"/>
            <w:vAlign w:val="bottom"/>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7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this segment by product line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800" w:type="dxa"/>
            <w:vAlign w:val="bottom"/>
            <w:gridSpan w:val="8"/>
          </w:tcPr>
          <w:p>
            <w:pPr>
              <w:ind w:left="6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7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3740" w:type="dxa"/>
            <w:vAlign w:val="bottom"/>
          </w:tcPr>
          <w:p>
            <w:pPr>
              <w:ind w:left="36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335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1,805</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r>
      <w:tr>
        <w:trPr>
          <w:trHeight w:val="23"/>
        </w:trPr>
        <w:tc>
          <w:tcPr>
            <w:tcW w:w="3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Percent changes in average Net sales prices and unit shipments for the three and nine months ended September 30, 2023, compared to the corresponding periods in 2022,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3720" w:type="dxa"/>
            <w:vAlign w:val="bottom"/>
          </w:tcPr>
          <w:p>
            <w:pPr>
              <w:spacing w:after="0"/>
              <w:rPr>
                <w:sz w:val="18"/>
                <w:szCs w:val="18"/>
                <w:color w:val="auto"/>
              </w:rPr>
            </w:pPr>
          </w:p>
        </w:tc>
        <w:tc>
          <w:tcPr>
            <w:tcW w:w="32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September 30, 2023 versus 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September 30, 2023 versus 2022</w:t>
            </w:r>
          </w:p>
        </w:tc>
      </w:tr>
      <w:tr>
        <w:trPr>
          <w:trHeight w:val="162"/>
        </w:trPr>
        <w:tc>
          <w:tcPr>
            <w:tcW w:w="3720" w:type="dxa"/>
            <w:vAlign w:val="bottom"/>
          </w:tcPr>
          <w:p>
            <w:pPr>
              <w:spacing w:after="0"/>
              <w:rPr>
                <w:sz w:val="14"/>
                <w:szCs w:val="14"/>
                <w:color w:val="auto"/>
              </w:rPr>
            </w:pPr>
          </w:p>
        </w:tc>
        <w:tc>
          <w:tcPr>
            <w:tcW w:w="1380" w:type="dxa"/>
            <w:vAlign w:val="bottom"/>
          </w:tcPr>
          <w:p>
            <w:pPr>
              <w:ind w:left="500"/>
              <w:spacing w:after="0" w:line="162" w:lineRule="exact"/>
              <w:rPr>
                <w:sz w:val="20"/>
                <w:szCs w:val="20"/>
                <w:color w:val="auto"/>
              </w:rPr>
            </w:pPr>
            <w:r>
              <w:rPr>
                <w:rFonts w:ascii="Arial" w:cs="Arial" w:eastAsia="Arial" w:hAnsi="Arial"/>
                <w:sz w:val="16"/>
                <w:szCs w:val="16"/>
                <w:color w:val="auto"/>
                <w:w w:val="96"/>
              </w:rPr>
              <w:t>Average Net</w:t>
            </w:r>
          </w:p>
        </w:tc>
        <w:tc>
          <w:tcPr>
            <w:tcW w:w="182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Unit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right"/>
              <w:ind w:right="739"/>
              <w:spacing w:after="0" w:line="162" w:lineRule="exact"/>
              <w:rPr>
                <w:sz w:val="20"/>
                <w:szCs w:val="20"/>
                <w:color w:val="auto"/>
              </w:rPr>
            </w:pPr>
            <w:r>
              <w:rPr>
                <w:rFonts w:ascii="Arial" w:cs="Arial" w:eastAsia="Arial" w:hAnsi="Arial"/>
                <w:sz w:val="16"/>
                <w:szCs w:val="16"/>
                <w:color w:val="auto"/>
              </w:rPr>
              <w:t>Average Net</w:t>
            </w:r>
          </w:p>
        </w:tc>
        <w:tc>
          <w:tcPr>
            <w:tcW w:w="1580" w:type="dxa"/>
            <w:vAlign w:val="bottom"/>
          </w:tcPr>
          <w:p>
            <w:pPr>
              <w:jc w:val="right"/>
              <w:ind w:right="65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72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Arial" w:cs="Arial" w:eastAsia="Arial" w:hAnsi="Arial"/>
                <w:sz w:val="16"/>
                <w:szCs w:val="16"/>
                <w:color w:val="auto"/>
                <w:w w:val="98"/>
              </w:rPr>
              <w:t>Selling Price</w:t>
            </w:r>
          </w:p>
        </w:tc>
        <w:tc>
          <w:tcPr>
            <w:tcW w:w="1820" w:type="dxa"/>
            <w:vAlign w:val="bottom"/>
          </w:tcPr>
          <w:p>
            <w:pPr>
              <w:jc w:val="right"/>
              <w:spacing w:after="0"/>
              <w:rPr>
                <w:sz w:val="20"/>
                <w:szCs w:val="20"/>
                <w:color w:val="auto"/>
              </w:rPr>
            </w:pPr>
            <w:r>
              <w:rPr>
                <w:rFonts w:ascii="Arial" w:cs="Arial" w:eastAsia="Arial" w:hAnsi="Arial"/>
                <w:sz w:val="16"/>
                <w:szCs w:val="16"/>
                <w:color w:val="auto"/>
              </w:rPr>
              <w:t>Shipments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19"/>
              <w:spacing w:after="0"/>
              <w:rPr>
                <w:sz w:val="20"/>
                <w:szCs w:val="20"/>
                <w:color w:val="auto"/>
              </w:rPr>
            </w:pPr>
            <w:r>
              <w:rPr>
                <w:rFonts w:ascii="Arial" w:cs="Arial" w:eastAsia="Arial" w:hAnsi="Arial"/>
                <w:sz w:val="16"/>
                <w:szCs w:val="16"/>
                <w:color w:val="auto"/>
              </w:rPr>
              <w:t>Selling Price</w:t>
            </w:r>
          </w:p>
        </w:tc>
        <w:tc>
          <w:tcPr>
            <w:tcW w:w="1580" w:type="dxa"/>
            <w:vAlign w:val="bottom"/>
          </w:tcPr>
          <w:p>
            <w:pPr>
              <w:jc w:val="right"/>
              <w:ind w:right="459"/>
              <w:spacing w:after="0"/>
              <w:rPr>
                <w:sz w:val="20"/>
                <w:szCs w:val="20"/>
                <w:color w:val="auto"/>
              </w:rPr>
            </w:pPr>
            <w:r>
              <w:rPr>
                <w:rFonts w:ascii="Arial" w:cs="Arial" w:eastAsia="Arial" w:hAnsi="Arial"/>
                <w:sz w:val="16"/>
                <w:szCs w:val="16"/>
                <w:color w:val="auto"/>
              </w:rPr>
              <w:t>Shipments</w:t>
            </w: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18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OSB - commodity</w:t>
            </w:r>
          </w:p>
        </w:tc>
        <w:tc>
          <w:tcPr>
            <w:tcW w:w="1820" w:type="dxa"/>
            <w:vAlign w:val="bottom"/>
          </w:tcPr>
          <w:p>
            <w:pPr>
              <w:jc w:val="right"/>
              <w:ind w:right="1339"/>
              <w:spacing w:after="0"/>
              <w:rPr>
                <w:sz w:val="20"/>
                <w:szCs w:val="20"/>
                <w:color w:val="auto"/>
              </w:rPr>
            </w:pPr>
            <w:r>
              <w:rPr>
                <w:rFonts w:ascii="Arial" w:cs="Arial" w:eastAsia="Arial" w:hAnsi="Arial"/>
                <w:sz w:val="16"/>
                <w:szCs w:val="16"/>
                <w:color w:val="auto"/>
              </w:rPr>
              <w:t>18 %</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120" w:type="dxa"/>
            <w:vAlign w:val="bottom"/>
          </w:tcPr>
          <w:p>
            <w:pPr>
              <w:jc w:val="right"/>
              <w:ind w:right="259"/>
              <w:spacing w:after="0"/>
              <w:rPr>
                <w:sz w:val="20"/>
                <w:szCs w:val="20"/>
                <w:color w:val="auto"/>
              </w:rPr>
            </w:pPr>
            <w:r>
              <w:rPr>
                <w:rFonts w:ascii="Arial" w:cs="Arial" w:eastAsia="Arial" w:hAnsi="Arial"/>
                <w:sz w:val="16"/>
                <w:szCs w:val="16"/>
                <w:color w:val="auto"/>
              </w:rPr>
              <w:t>(47)%</w:t>
            </w:r>
          </w:p>
        </w:tc>
        <w:tc>
          <w:tcPr>
            <w:tcW w:w="158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year-over-year Net sales decrease of $53 million for the three months ended September 30, 2023 reflects a $28 million increase in OSB prices, a $33 million decrease in sales volumes primarily from market curtailments, and $43 million less production volume due to the conversion of our Sagola, Michigan mill to siding production. The year-over-year Net sales decrease of $1,051 million for the nine months ended September 30, 2023 reflects an $813 million decrease in OSB prices, a $115 million decrease in sales volumes primarily from market curtailments, and a $98 million decrease related to production volumes from the conversion of the Sagola mill to siding production.</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Adjusted EBITDA increased year-over-year by $7 million in the third quarter of 2023, reflecting the net impact of higher OSB commodity prices and lower mill-related costs, partially offset by lower sales volumes. Adjusted EBITDA decreased year-over-year by $860 million for the nine months ended September 30, 2023, which reflects the net impact of lower OSB commodity prices and sales volumes, partially offset by lower mill-related costs.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America</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South America segment manufactures and distributes OSB structural panel and siding products in South America and certain export markets. This segment has manufacturing operations in two countries, Chile and Brazil, and operates sales offices in Argentina, Brazil, Chile, Colombia, Mexico, Paraguay, and Peru.</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Segment Net sales and Adjusted EBITDA for this segment were as follows (dollar amounts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4020" w:type="dxa"/>
            <w:vAlign w:val="bottom"/>
            <w:gridSpan w:val="9"/>
          </w:tcPr>
          <w:p>
            <w:pPr>
              <w:ind w:left="580"/>
              <w:spacing w:after="0"/>
              <w:rPr>
                <w:sz w:val="20"/>
                <w:szCs w:val="20"/>
                <w:color w:val="auto"/>
              </w:rPr>
            </w:pPr>
            <w:r>
              <w:rPr>
                <w:rFonts w:ascii="Arial" w:cs="Arial" w:eastAsia="Arial" w:hAnsi="Arial"/>
                <w:sz w:val="16"/>
                <w:szCs w:val="16"/>
                <w:b w:val="1"/>
                <w:bCs w:val="1"/>
                <w:color w:val="auto"/>
              </w:rPr>
              <w:t>Three Months Ended September 30,</w:t>
            </w:r>
          </w:p>
        </w:tc>
        <w:tc>
          <w:tcPr>
            <w:tcW w:w="3440" w:type="dxa"/>
            <w:vAlign w:val="bottom"/>
            <w:gridSpan w:val="6"/>
          </w:tcPr>
          <w:p>
            <w:pPr>
              <w:jc w:val="right"/>
              <w:ind w:right="53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7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(16)%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Arial" w:cs="Arial" w:eastAsia="Arial" w:hAnsi="Arial"/>
                <w:sz w:val="16"/>
                <w:szCs w:val="16"/>
                <w:color w:val="auto"/>
                <w:w w:val="93"/>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this segment by product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3820" w:type="dxa"/>
            <w:vAlign w:val="bottom"/>
            <w:gridSpan w:val="8"/>
          </w:tcPr>
          <w:p>
            <w:pPr>
              <w:ind w:left="6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260" w:type="dxa"/>
            <w:vAlign w:val="bottom"/>
            <w:gridSpan w:val="6"/>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8"/>
                <w:szCs w:val="18"/>
                <w:color w:val="auto"/>
              </w:rPr>
            </w:pPr>
          </w:p>
        </w:tc>
      </w:tr>
      <w:tr>
        <w:trPr>
          <w:trHeight w:val="210"/>
        </w:trPr>
        <w:tc>
          <w:tcPr>
            <w:tcW w:w="37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top w:val="single" w:sz="8" w:color="auto"/>
              <w:bottom w:val="single" w:sz="8" w:color="auto"/>
            </w:tcBorders>
          </w:tcPr>
          <w:p>
            <w:pPr>
              <w:spacing w:after="0"/>
              <w:rPr>
                <w:sz w:val="18"/>
                <w:szCs w:val="18"/>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Siding</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20" w:type="dxa"/>
            <w:vAlign w:val="bottom"/>
          </w:tcPr>
          <w:p>
            <w:pPr>
              <w:ind w:left="36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14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w:t>
            </w:r>
          </w:p>
        </w:tc>
      </w:tr>
      <w:tr>
        <w:trPr>
          <w:trHeight w:val="23"/>
        </w:trPr>
        <w:tc>
          <w:tcPr>
            <w:tcW w:w="3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Net sales price and unit shipments for the three and nine months ended September 30, 2023, compared to the corresponding periods in 2022,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4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3"/>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364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99"/>
              <w:spacing w:after="0"/>
              <w:rPr>
                <w:sz w:val="20"/>
                <w:szCs w:val="20"/>
                <w:color w:val="auto"/>
              </w:rPr>
            </w:pPr>
            <w:r>
              <w:rPr>
                <w:rFonts w:ascii="Arial" w:cs="Arial" w:eastAsia="Arial" w:hAnsi="Arial"/>
                <w:sz w:val="16"/>
                <w:szCs w:val="16"/>
                <w:b w:val="1"/>
                <w:bCs w:val="1"/>
                <w:color w:val="auto"/>
                <w:w w:val="89"/>
              </w:rPr>
              <w:t>September 30, 2023 versus 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September 30, 2023 versus 2022</w:t>
            </w:r>
          </w:p>
        </w:tc>
      </w:tr>
      <w:tr>
        <w:trPr>
          <w:trHeight w:val="162"/>
        </w:trPr>
        <w:tc>
          <w:tcPr>
            <w:tcW w:w="3640" w:type="dxa"/>
            <w:vAlign w:val="bottom"/>
          </w:tcPr>
          <w:p>
            <w:pPr>
              <w:spacing w:after="0"/>
              <w:rPr>
                <w:sz w:val="14"/>
                <w:szCs w:val="14"/>
                <w:color w:val="auto"/>
              </w:rPr>
            </w:pPr>
          </w:p>
        </w:tc>
        <w:tc>
          <w:tcPr>
            <w:tcW w:w="1380" w:type="dxa"/>
            <w:vAlign w:val="bottom"/>
          </w:tcPr>
          <w:p>
            <w:pPr>
              <w:ind w:left="500"/>
              <w:spacing w:after="0" w:line="162" w:lineRule="exact"/>
              <w:rPr>
                <w:sz w:val="20"/>
                <w:szCs w:val="20"/>
                <w:color w:val="auto"/>
              </w:rPr>
            </w:pPr>
            <w:r>
              <w:rPr>
                <w:rFonts w:ascii="Arial" w:cs="Arial" w:eastAsia="Arial" w:hAnsi="Arial"/>
                <w:sz w:val="16"/>
                <w:szCs w:val="16"/>
                <w:color w:val="auto"/>
                <w:w w:val="96"/>
              </w:rPr>
              <w:t>Average Net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left="419"/>
              <w:spacing w:after="0" w:line="162" w:lineRule="exact"/>
              <w:rPr>
                <w:sz w:val="20"/>
                <w:szCs w:val="20"/>
                <w:color w:val="auto"/>
              </w:rPr>
            </w:pPr>
            <w:r>
              <w:rPr>
                <w:rFonts w:ascii="Arial" w:cs="Arial" w:eastAsia="Arial" w:hAnsi="Arial"/>
                <w:sz w:val="16"/>
                <w:szCs w:val="16"/>
                <w:color w:val="auto"/>
              </w:rPr>
              <w:t>Unit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ind w:left="520"/>
              <w:spacing w:after="0" w:line="162" w:lineRule="exact"/>
              <w:rPr>
                <w:sz w:val="20"/>
                <w:szCs w:val="20"/>
                <w:color w:val="auto"/>
              </w:rPr>
            </w:pPr>
            <w:r>
              <w:rPr>
                <w:rFonts w:ascii="Arial" w:cs="Arial" w:eastAsia="Arial" w:hAnsi="Arial"/>
                <w:sz w:val="16"/>
                <w:szCs w:val="16"/>
                <w:color w:val="auto"/>
              </w:rPr>
              <w:t>Average Net</w:t>
            </w:r>
          </w:p>
        </w:tc>
        <w:tc>
          <w:tcPr>
            <w:tcW w:w="180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4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Arial" w:cs="Arial" w:eastAsia="Arial" w:hAnsi="Arial"/>
                <w:sz w:val="16"/>
                <w:szCs w:val="16"/>
                <w:color w:val="auto"/>
                <w:w w:val="98"/>
              </w:rPr>
              <w:t>Selling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99"/>
              <w:spacing w:after="0"/>
              <w:rPr>
                <w:sz w:val="20"/>
                <w:szCs w:val="20"/>
                <w:color w:val="auto"/>
              </w:rPr>
            </w:pPr>
            <w:r>
              <w:rPr>
                <w:rFonts w:ascii="Arial" w:cs="Arial" w:eastAsia="Arial" w:hAnsi="Arial"/>
                <w:sz w:val="16"/>
                <w:szCs w:val="16"/>
                <w:color w:val="auto"/>
                <w:w w:val="89"/>
              </w:rPr>
              <w:t>Shipments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Arial" w:cs="Arial" w:eastAsia="Arial" w:hAnsi="Arial"/>
                <w:sz w:val="16"/>
                <w:szCs w:val="16"/>
                <w:color w:val="auto"/>
              </w:rPr>
              <w:t>Selling Price</w:t>
            </w:r>
          </w:p>
        </w:tc>
        <w:tc>
          <w:tcPr>
            <w:tcW w:w="1800" w:type="dxa"/>
            <w:vAlign w:val="bottom"/>
          </w:tcPr>
          <w:p>
            <w:pPr>
              <w:jc w:val="right"/>
              <w:ind w:right="479"/>
              <w:spacing w:after="0"/>
              <w:rPr>
                <w:sz w:val="20"/>
                <w:szCs w:val="20"/>
                <w:color w:val="auto"/>
              </w:rPr>
            </w:pPr>
            <w:r>
              <w:rPr>
                <w:rFonts w:ascii="Arial" w:cs="Arial" w:eastAsia="Arial" w:hAnsi="Arial"/>
                <w:sz w:val="16"/>
                <w:szCs w:val="16"/>
                <w:color w:val="auto"/>
              </w:rPr>
              <w:t>Shipments</w:t>
            </w:r>
          </w:p>
        </w:tc>
      </w:tr>
      <w:tr>
        <w:trPr>
          <w:trHeight w:val="212"/>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1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Siding</w:t>
            </w:r>
          </w:p>
        </w:tc>
        <w:tc>
          <w:tcPr>
            <w:tcW w:w="42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 America Net sales decreased year-over-year by $8 million and $38 million for the three and nine months ended September 30, 2023, respectively, predominantly driven by lower OSB sales volumes and average selling prices.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year-over-year decreases in Adjusted EBITDA of $7 million and $34 million for the three and nine months ended September 30, 2023, respectively, reflect the lower sales volumes and average selling prices (described above) and equipment relocation cost of $3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other products segment includes the off-site framing operation Entekra Holdings LLC (Entekra), remaining timber and timberlands, and other minor products, services, and closed operations, which do not qualify as discontinued operations. During the second quarter of 2023, we announced the shutdown of Entekra and recognized business exit charges of $1 million and $35 million for the three and nine months ended September 30, 2023, respectively. These charges consisted of severance costs, inventory obsolescence, impairment of property, plant, and equipment, impairment of right-of-use lease assets, and impairment definite-lived intangible assets.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Net sales were $4 million and $21 million for the three and nine months ended September 30, 2023, respectively, as compared to $17 million and $72 million for the corresponding periods in 2022. The year-over-year decrease in other Net sales for the three and nine months ended September 30, 2023 is primarily due to lower Entekra sales volumes as a result of the aforementioned shutdown.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was $0 million and $(15) million for the three and nine months ended September 30, 2023, respectively, as compared to $(7) million and $(19) million for the corresponding periods in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Selling, general, and administrative expenses were $58 million and $191 million for the three and nine months ended September 30, 2023, respectively, compared to $67 million and $196 million for the corresponding periods in 2022. The year-over-year decrease in Selling, general, and administrative expenses is driven by lower incentive based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an estimated tax provision from continuing operations of $44 million and $66 million for the three and nine months ended September 30, 2023, respectively, compared to $44 million and $284 million for the corresponding periods of 2022. The total effective tax rate for continuing operations for the three and nine months ended September 30, 2023, was 27% and 36%, respectively, compared to 26% and 24%, respectively, for the comparable periods in 2022. Each quarter the income tax accrual is adjusted to the latest estimate and the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color w:val="auto"/>
        </w:rPr>
        <w:t>from the previously accrued year to date balance is recorded in the current quarter. For 2023 the primary differences between the U.S. statutory rate of 21% and the effective rate relates to the $22 million tax expense impact from a change in indefinite reinvestment assertion on Chile and Brazil earnings, which is discussed below. For 2022, the primary difference between the U.S. statutory rate of 21% and the effective rate relates to state income tax.</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second quarter of 2023, management changed its intent and will no longer assert indefinite reinvestment related to undistributed earnings in Chile and Brazil. As a result, we established a net $22 million deferred tax liability for the expected tax consequences of repatriating all beginning-of-year cumulative Chile and Brazil earnings, which was recorded as an expense in the second quarter of 2023. Additionally, the incremental tax expense pertaining to the repatriation of current-year earnings in Chile and Brazil is accounted for within the estimated annual effective income tax rate.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discussion of legal and environmental matters involving us and the potential impact thereof on our financial position, results of operations, and cash flows, see Items 3, 7, and 8 in our 2022 Annual Report on Form 10-K and "Note 11 - Commitments and Contingencies" of the Notes to the Condensed Consolidated Financial Statements included in "Item 1 - Financial Statements"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and 2022, cash provided by operations was $157 million and $1,103 million, respectively. The decrease in cash provided by operations was primarily related to lower income from operations, increases in working capital, and timing of cash paid for income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and 2022, cash used in investing activities was $312 million and $14 million, respectively. During the nine months ended September 30, 2023, we paid $80 million to acquire the assets owned by Wawa OSB, Inc. During the nine months ended September 30, 2022, we received $265 million in proceeds from sales of assets, primarily associated with the sale of the EWP segment assets and the sale of our 50% equity interest in two joint ventures.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the nine months ended September 30, 2023 and 2022, were $236 million and $282 million, respectively, primarily related to siding conversion expenditures and growth and maintenance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cash used in financing activities was $61 million. We paid cash dividends of $52 million and used $10 million to repurchase stock from employees in connection with income tax withholding requirements associated with our employee stock-based compensation plans. During the nine months ended September 30, 2023, we borrowed and subsequently repaid $80 million from our Amended Credit Facility.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2022, cash used in financing activities was $968 million. During the nine months ended September 30, 2022, we used $900 million to repurchase shares of LP common stock ($500 million from the share repurchase program approved by the Board of Directors on November 2, 2021 and $400 million from the 2022 Share Repurchase Program (defined below)). Additionally, we paid cash dividends of $53 million and used $15 million to repurchase stock from employees in connection with income tax withholding requirements associated with our employee stock-based compensation plans.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and Letter of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2022, LP entered into the Credit Agreement, with American AgCredit, PCA, as administrative agent and sole lead arranger, and CoBank, ACB, as letter of credit issuer, relating to the Amended Credit Facility. The Credit Agreement provides for a revolving credit facility in the principal amount of up to $550 million, with a $60 million sub-limit for letters of credit. All loans under the Credit Agreement become due on November 29, 2028. As of September 30, 2023, we had no outstanding borrowings under our Amended Credit Facility.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contains various restrictive covenants and customary events of default. The breach of restrictive covenants or the occurrence of any other event of default under the Credit Agreement could result in the acceleration of our obligation to repay the indebtedness outstanding thereunder. The Credit Agreement also contains financial covenants that require us and our consolidated subsidiaries to have, as of the end of each quarter, a capitalization ratio (</w:t>
      </w:r>
      <w:r>
        <w:rPr>
          <w:rFonts w:ascii="Arial" w:cs="Arial" w:eastAsia="Arial" w:hAnsi="Arial"/>
          <w:sz w:val="18"/>
          <w:szCs w:val="18"/>
          <w:i w:val="1"/>
          <w:iCs w:val="1"/>
          <w:color w:val="auto"/>
        </w:rPr>
        <w:t>i.e.</w:t>
      </w:r>
      <w:r>
        <w:rPr>
          <w:rFonts w:ascii="Arial" w:cs="Arial" w:eastAsia="Arial" w:hAnsi="Arial"/>
          <w:sz w:val="18"/>
          <w:szCs w:val="18"/>
          <w:color w:val="auto"/>
        </w:rPr>
        <w:t>, funded debt less unrestricted cash to total capitalization) of no more than 57.5%. As of September 30, 2023, we were in compliance with all financial covenants under the Credit Agreement.</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LP entered into the Letter of Credit Facility, which provides for the funding of letters of credit up to an aggregate outstanding amount of $20 million, which may be secured by certain cash collateral of LP. The Letter of Credit Facility provides for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As of September 30, 2023, we were in compliance with all covenants under the Letter of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standby letters of credit of $13.7 million outstanding related to collateral for environmental impact on owned properties, a deposit for a forestry license, and insurance collateral, including workers' compensation.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Potential Impairments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review the carrying values of our long-lived assets for potential impairments and believe we have adequate support for the carrying values of our long-lived assets as of September 30, 2023. In April 2023, we announced the shutdown of Entekra resulting in pre-tax, non-cash charges of $31 million for the nine months ended September 30, 2023. See further discussion in “Note 8 - Business Exit Charges.”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September 30, 2023, there were no indications of impairment.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we may be required to record impairment charges in connection with decisions to dispose of assets. During the nine months ended September 30, 2023, we recorded impairment charges of $13 million and $3 million related to property, plant, and equipment and operating lease assets, respectively, related to Entekra which were written down to fair value based on Level 2 inputs under ASC 820, using quoted market prices. See further discussion in “Note 8 - Business Exit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fluctuations in foreign currency exchange rates, commodity prices and interest rates which could impact our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international operations have exposure to foreign currency rate risks, primarily due to fluctuations in the Canadian dollar, the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previously disclosed under the caption “Item 7A. Quantitative and Qualitative Disclosures about Market Risk” in our 2022 Annual Report on Form 10-K. We historically have not entered into material commodity futures and swaps, although we may do so in the future.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September 30, 2023, there were no outstanding borrowings under our Amended Credit Facility. We do not currently have any derivative or hedging arrangements, or other known exposures,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September 30, 2023, LP’s disclosure controls and procedures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 of certain legal and environmental matters involving LP set forth in "Item 1 - Financial Statements" of this quarterly report on Form 10-Q under "Note 11 - Commitments and Contingencies" of the Notes to the Condensed Consolidated Financial Statements contained herein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other information set forth in this quarterly report on Form 10-Q, an investor should carefully consider the factors discussed in Part I, “Item 1A. Risk Factors” of the Company’s 2022 Annual Report on Form 10-K and Part II, "Item 1A. Risk Factors" in the Company's quarterly report on Form 10-Q for the quarter ended March 31, 2023. There have been no material changes to the risk factors previously disclosed under the caption "Item 1A. Risk Factors" in Part I of our 2022 Annual Report on Form 10-K and in Part II of our quarterly report on Form 10-Q for the quarter ended March 31,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risks described in our 2022 Annual Report on Form 10-K and our quarterly report on Form 10-Q for the quarter ended March 31, 2023,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3, 2022, LP's Board of Directors authorized a share repurchase program under which LP was authorized to repurchase shares of its common stock totaling up to $600 million (the 2022 Share Repurchase Program). No purchases were made under the 2022 Share Repurchase Program during the third quarter ended September 30, 2023. As of September 30, 2023, LP had repurchased common stock totaling $400 million under the 2022 Share Repurchase Program. LP may initiate, discontinue, or resume purchases of its common stock under the 2022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2023, Lizanne Gottung, a director of LP, entered into a Rule 10b5-1 trading arrangement for the sale of shares of LP’s common stock (the Plan). The Plan is intended to satisfy the affirmative defense provided in Rule 10b5-1(c) of the Exchange Act. The Plan provides for the potential sale of shares of LP’s common stock, including upon the vesting and settlement of restricted stock units between December 14, 2023 and December 31, 2024. The aggregate number of shares of common stock that will be available for sale under the Plan is 14,404, which includes the aggregate number of shares underlying Ms. Gottung’s restricted stock units that may be sold.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Aside from Ms. Gottung, none of our other directors or officers adopted or terminated a Rule 10b5-1 trading arrangement or a non-Rule 10b5-1 trading arrangement during the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20" w:type="dxa"/>
            <w:vAlign w:val="bottom"/>
          </w:tcPr>
          <w:p>
            <w:pPr>
              <w:spacing w:after="0"/>
              <w:rPr>
                <w:sz w:val="20"/>
                <w:szCs w:val="20"/>
                <w:color w:val="auto"/>
              </w:rPr>
            </w:pPr>
          </w:p>
        </w:tc>
        <w:tc>
          <w:tcPr>
            <w:tcW w:w="100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10"/>
        </w:trPr>
        <w:tc>
          <w:tcPr>
            <w:tcW w:w="720" w:type="dxa"/>
            <w:vAlign w:val="bottom"/>
            <w:gridSpan w:val="3"/>
          </w:tcPr>
          <w:p>
            <w:pPr>
              <w:jc w:val="center"/>
              <w:ind w:left="310"/>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p>
        </w:tc>
        <w:tc>
          <w:tcPr>
            <w:tcW w:w="280" w:type="dxa"/>
            <w:vAlign w:val="bottom"/>
          </w:tcPr>
          <w:p>
            <w:pPr>
              <w:spacing w:after="0"/>
              <w:rPr>
                <w:sz w:val="24"/>
                <w:szCs w:val="24"/>
                <w:color w:val="auto"/>
              </w:rPr>
            </w:pPr>
          </w:p>
        </w:tc>
        <w:tc>
          <w:tcPr>
            <w:tcW w:w="10160" w:type="dxa"/>
            <w:vAlign w:val="bottom"/>
            <w:gridSpan w:val="4"/>
          </w:tcPr>
          <w:p>
            <w:pPr>
              <w:ind w:left="120"/>
              <w:spacing w:after="0"/>
              <w:rPr>
                <w:sz w:val="20"/>
                <w:szCs w:val="20"/>
                <w:color w:val="auto"/>
              </w:rPr>
            </w:pPr>
            <w:r>
              <w:rPr>
                <w:rFonts w:ascii="Arial" w:cs="Arial" w:eastAsia="Arial" w:hAnsi="Arial"/>
                <w:sz w:val="18"/>
                <w:szCs w:val="18"/>
                <w:color w:val="0000FF"/>
              </w:rPr>
              <w:t xml:space="preserve">Certifications of Chief Executive Officer Pursuant to Rule 13a-14(a) under the Securities Exchange Act of 1934. </w:t>
            </w:r>
            <w:r>
              <w:rPr>
                <w:rFonts w:ascii="Arial" w:cs="Arial" w:eastAsia="Arial" w:hAnsi="Arial"/>
                <w:sz w:val="18"/>
                <w:szCs w:val="18"/>
                <w:color w:val="000000"/>
              </w:rPr>
              <w:t>*</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r>
      <w:tr>
        <w:trPr>
          <w:trHeight w:val="264"/>
        </w:trPr>
        <w:tc>
          <w:tcPr>
            <w:tcW w:w="720" w:type="dxa"/>
            <w:vAlign w:val="bottom"/>
            <w:gridSpan w:val="3"/>
          </w:tcPr>
          <w:p>
            <w:pPr>
              <w:jc w:val="center"/>
              <w:ind w:left="310"/>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280" w:type="dxa"/>
            <w:vAlign w:val="bottom"/>
          </w:tcPr>
          <w:p>
            <w:pPr>
              <w:spacing w:after="0"/>
              <w:rPr>
                <w:sz w:val="22"/>
                <w:szCs w:val="22"/>
                <w:color w:val="auto"/>
              </w:rPr>
            </w:pPr>
          </w:p>
        </w:tc>
        <w:tc>
          <w:tcPr>
            <w:tcW w:w="10160" w:type="dxa"/>
            <w:vAlign w:val="bottom"/>
            <w:gridSpan w:val="4"/>
          </w:tcPr>
          <w:p>
            <w:pPr>
              <w:ind w:left="120"/>
              <w:spacing w:after="0"/>
              <w:rPr>
                <w:sz w:val="20"/>
                <w:szCs w:val="20"/>
                <w:color w:val="auto"/>
              </w:rPr>
            </w:pPr>
            <w:r>
              <w:rPr>
                <w:rFonts w:ascii="Arial" w:cs="Arial" w:eastAsia="Arial" w:hAnsi="Arial"/>
                <w:sz w:val="18"/>
                <w:szCs w:val="18"/>
                <w:color w:val="0000FF"/>
              </w:rPr>
              <w:t xml:space="preserve">Certifications of Chief Financial Officer Pursuant to Rule 13a-14(a) under the Securities Exchange Act of 1934. </w:t>
            </w:r>
            <w:r>
              <w:rPr>
                <w:rFonts w:ascii="Arial" w:cs="Arial" w:eastAsia="Arial" w:hAnsi="Arial"/>
                <w:sz w:val="18"/>
                <w:szCs w:val="18"/>
                <w:color w:val="000000"/>
              </w:rPr>
              <w:t>*</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160" w:type="dxa"/>
            <w:vAlign w:val="bottom"/>
            <w:gridSpan w:val="4"/>
          </w:tcPr>
          <w:p>
            <w:pPr>
              <w:ind w:left="120"/>
              <w:spacing w:after="0"/>
              <w:rPr>
                <w:sz w:val="20"/>
                <w:szCs w:val="20"/>
                <w:color w:val="auto"/>
              </w:rPr>
            </w:pPr>
            <w:r>
              <w:rPr>
                <w:rFonts w:ascii="Arial" w:cs="Arial" w:eastAsia="Arial" w:hAnsi="Arial"/>
                <w:sz w:val="18"/>
                <w:szCs w:val="18"/>
                <w:color w:val="0000FF"/>
              </w:rPr>
              <w:t xml:space="preserve">Certifications pursuant to § 906 of the Sarbanes-Oxley Act of 2002. </w:t>
            </w:r>
            <w:r>
              <w:rPr>
                <w:rFonts w:ascii="Arial" w:cs="Arial" w:eastAsia="Arial" w:hAnsi="Arial"/>
                <w:sz w:val="18"/>
                <w:szCs w:val="18"/>
                <w:color w:val="000000"/>
              </w:rPr>
              <w:t>**</w:t>
            </w: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250"/>
        </w:trPr>
        <w:tc>
          <w:tcPr>
            <w:tcW w:w="100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101.INS</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the Inline XBRL document.*</w:t>
            </w:r>
          </w:p>
        </w:tc>
      </w:tr>
      <w:tr>
        <w:trPr>
          <w:trHeight w:val="296"/>
        </w:trPr>
        <w:tc>
          <w:tcPr>
            <w:tcW w:w="10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101.SCH</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00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101.CAL</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000" w:type="dxa"/>
            <w:vAlign w:val="bottom"/>
            <w:gridSpan w:val="4"/>
          </w:tcPr>
          <w:p>
            <w:pPr>
              <w:jc w:val="center"/>
              <w:ind w:left="30"/>
              <w:spacing w:after="0"/>
              <w:rPr>
                <w:sz w:val="20"/>
                <w:szCs w:val="20"/>
                <w:color w:val="auto"/>
              </w:rPr>
            </w:pPr>
            <w:r>
              <w:rPr>
                <w:rFonts w:ascii="Arial" w:cs="Arial" w:eastAsia="Arial" w:hAnsi="Arial"/>
                <w:sz w:val="18"/>
                <w:szCs w:val="18"/>
                <w:color w:val="auto"/>
                <w:w w:val="98"/>
              </w:rPr>
              <w:t>101.LAB</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000" w:type="dxa"/>
            <w:vAlign w:val="bottom"/>
            <w:gridSpan w:val="4"/>
          </w:tcPr>
          <w:p>
            <w:pPr>
              <w:jc w:val="center"/>
              <w:ind w:left="30"/>
              <w:spacing w:after="0"/>
              <w:rPr>
                <w:sz w:val="20"/>
                <w:szCs w:val="20"/>
                <w:color w:val="auto"/>
              </w:rPr>
            </w:pPr>
            <w:r>
              <w:rPr>
                <w:rFonts w:ascii="Arial" w:cs="Arial" w:eastAsia="Arial" w:hAnsi="Arial"/>
                <w:sz w:val="18"/>
                <w:szCs w:val="18"/>
                <w:color w:val="auto"/>
                <w:w w:val="88"/>
              </w:rPr>
              <w:t>101.PRE</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000" w:type="dxa"/>
            <w:vAlign w:val="bottom"/>
            <w:gridSpan w:val="4"/>
          </w:tcPr>
          <w:p>
            <w:pPr>
              <w:jc w:val="center"/>
              <w:ind w:left="10"/>
              <w:spacing w:after="0"/>
              <w:rPr>
                <w:sz w:val="20"/>
                <w:szCs w:val="20"/>
                <w:color w:val="auto"/>
              </w:rPr>
            </w:pPr>
            <w:r>
              <w:rPr>
                <w:rFonts w:ascii="Arial" w:cs="Arial" w:eastAsia="Arial" w:hAnsi="Arial"/>
                <w:sz w:val="18"/>
                <w:szCs w:val="18"/>
                <w:color w:val="auto"/>
                <w:w w:val="92"/>
              </w:rPr>
              <w:t>101.DEF</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720" w:type="dxa"/>
            <w:vAlign w:val="bottom"/>
            <w:gridSpan w:val="3"/>
          </w:tcPr>
          <w:p>
            <w:pPr>
              <w:jc w:val="center"/>
              <w:ind w:left="290"/>
              <w:spacing w:after="0"/>
              <w:rPr>
                <w:sz w:val="20"/>
                <w:szCs w:val="20"/>
                <w:color w:val="auto"/>
              </w:rPr>
            </w:pPr>
            <w:r>
              <w:rPr>
                <w:rFonts w:ascii="Arial" w:cs="Arial" w:eastAsia="Arial" w:hAnsi="Arial"/>
                <w:sz w:val="18"/>
                <w:szCs w:val="18"/>
                <w:color w:val="auto"/>
                <w:w w:val="86"/>
              </w:rPr>
              <w:t>104</w:t>
            </w:r>
          </w:p>
        </w:tc>
        <w:tc>
          <w:tcPr>
            <w:tcW w:w="280" w:type="dxa"/>
            <w:vAlign w:val="bottom"/>
          </w:tcPr>
          <w:p>
            <w:pPr>
              <w:spacing w:after="0"/>
              <w:rPr>
                <w:sz w:val="24"/>
                <w:szCs w:val="24"/>
                <w:color w:val="auto"/>
              </w:rPr>
            </w:pP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Cover Page Interactive Data File (embedded with Inline XBRL document and contained in Exhibit 101)*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380" w:type="dxa"/>
            <w:vAlign w:val="bottom"/>
            <w:gridSpan w:val="2"/>
          </w:tcPr>
          <w:p>
            <w:pPr>
              <w:ind w:left="1600"/>
              <w:spacing w:after="0"/>
              <w:rPr>
                <w:sz w:val="20"/>
                <w:szCs w:val="20"/>
                <w:color w:val="auto"/>
              </w:rPr>
            </w:pPr>
            <w:r>
              <w:rPr>
                <w:rFonts w:ascii="Arial" w:cs="Arial" w:eastAsia="Arial" w:hAnsi="Arial"/>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260"/>
              <w:spacing w:after="0"/>
              <w:rPr>
                <w:sz w:val="20"/>
                <w:szCs w:val="20"/>
                <w:color w:val="auto"/>
              </w:rPr>
            </w:pPr>
            <w:r>
              <w:rPr>
                <w:rFonts w:ascii="Arial" w:cs="Arial" w:eastAsia="Arial" w:hAnsi="Arial"/>
                <w:sz w:val="18"/>
                <w:szCs w:val="18"/>
                <w:color w:val="auto"/>
              </w:rPr>
              <w:t>November 1, 2023</w:t>
            </w:r>
          </w:p>
        </w:tc>
        <w:tc>
          <w:tcPr>
            <w:tcW w:w="2100" w:type="dxa"/>
            <w:vAlign w:val="bottom"/>
          </w:tcPr>
          <w:p>
            <w:pPr>
              <w:ind w:left="16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 BRADLEY SOUTHERN</w:t>
            </w:r>
          </w:p>
        </w:tc>
      </w:tr>
      <w:tr>
        <w:trPr>
          <w:trHeight w:val="180"/>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W. Bradley Southern</w:t>
            </w:r>
          </w:p>
        </w:tc>
      </w:tr>
      <w:tr>
        <w:trPr>
          <w:trHeight w:val="193"/>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Chief Executive Officer</w:t>
            </w:r>
          </w:p>
        </w:tc>
      </w:tr>
      <w:tr>
        <w:trPr>
          <w:trHeight w:val="538"/>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260"/>
              <w:spacing w:after="0"/>
              <w:rPr>
                <w:sz w:val="20"/>
                <w:szCs w:val="20"/>
                <w:color w:val="auto"/>
              </w:rPr>
            </w:pPr>
            <w:r>
              <w:rPr>
                <w:rFonts w:ascii="Arial" w:cs="Arial" w:eastAsia="Arial" w:hAnsi="Arial"/>
                <w:sz w:val="18"/>
                <w:szCs w:val="18"/>
                <w:color w:val="auto"/>
              </w:rPr>
              <w:t>November 1, 2023</w:t>
            </w:r>
          </w:p>
        </w:tc>
        <w:tc>
          <w:tcPr>
            <w:tcW w:w="2100" w:type="dxa"/>
            <w:vAlign w:val="bottom"/>
          </w:tcPr>
          <w:p>
            <w:pPr>
              <w:ind w:left="16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ALAN J.M. HAUGHIE</w:t>
            </w:r>
          </w:p>
        </w:tc>
      </w:tr>
      <w:tr>
        <w:trPr>
          <w:trHeight w:val="180"/>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6"/>
              </w:rPr>
              <w:t>Alan J.M. Haughie</w:t>
            </w:r>
          </w:p>
        </w:tc>
      </w:tr>
      <w:tr>
        <w:trPr>
          <w:trHeight w:val="193"/>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Executive Vice President and</w:t>
            </w:r>
          </w:p>
        </w:tc>
      </w:tr>
      <w:tr>
        <w:trPr>
          <w:trHeight w:val="203"/>
        </w:trPr>
        <w:tc>
          <w:tcPr>
            <w:tcW w:w="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bl>
    <w:p>
      <w:pPr>
        <w:sectPr>
          <w:pgSz w:w="11900" w:h="16838" w:orient="portrait"/>
          <w:cols w:equalWidth="0" w:num="1">
            <w:col w:w="11240"/>
          </w:cols>
          <w:pgMar w:left="320" w:top="141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7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6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71" w:val="left"/>
        </w:tabs>
        <w:numPr>
          <w:ilvl w:val="0"/>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6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980" w:right="20" w:hanging="648"/>
        <w:spacing w:after="0" w:line="308" w:lineRule="auto"/>
        <w:tabs>
          <w:tab w:leader="none" w:pos="971"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November 1, 2023</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 BRADLEY SOUTHERN</w:t>
            </w:r>
          </w:p>
        </w:tc>
      </w:tr>
      <w:tr>
        <w:trPr>
          <w:trHeight w:val="222"/>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5"/>
              </w:rPr>
              <w:t>W. BRADLEY SOUTHERN</w:t>
            </w:r>
          </w:p>
        </w:tc>
      </w:tr>
      <w:tr>
        <w:trPr>
          <w:trHeight w:val="230"/>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980" w:right="20" w:hanging="648"/>
        <w:spacing w:after="0" w:line="308" w:lineRule="auto"/>
        <w:tabs>
          <w:tab w:leader="none" w:pos="9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November 1, 2023</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ALAN J.M. HAUGHIE</w:t>
            </w:r>
          </w:p>
        </w:tc>
      </w:tr>
      <w:tr>
        <w:trPr>
          <w:trHeight w:val="222"/>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9"/>
              </w:rPr>
              <w:t>ALAN J.M. HAUGHIE</w:t>
            </w:r>
          </w:p>
        </w:tc>
      </w:tr>
      <w:tr>
        <w:trPr>
          <w:trHeight w:val="230"/>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240"/>
          </w:cols>
          <w:pgMar w:left="320" w:top="113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Certifications of Chief Executive Officer and Chief Financial Officer Pursuant to 18 U.S.C. § 1350 as Adopted Pursuant to Section 906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jc w:val="both"/>
        <w:ind w:firstLine="405"/>
        <w:spacing w:after="0" w:line="305" w:lineRule="auto"/>
        <w:rPr>
          <w:sz w:val="20"/>
          <w:szCs w:val="20"/>
          <w:color w:val="auto"/>
        </w:rPr>
      </w:pPr>
      <w:r>
        <w:rPr>
          <w:rFonts w:ascii="Arial" w:cs="Arial" w:eastAsia="Arial" w:hAnsi="Arial"/>
          <w:sz w:val="16"/>
          <w:szCs w:val="16"/>
          <w:color w:val="auto"/>
        </w:rPr>
        <w:t>Pursuant to 18 U.S.C. § 1350, as adopted pursuant to Section 906 of the Sarbanes-Oxley Act of 2002, in connection with the filing of the Quarterly Report on Form 10-Q of Louisiana-Pacific Corporation (the “Company”) for quarter ended September 30, 2023, as filed with the Securities and Exchange Commission on the date hereof (the “Report”), each of the undersigned officers of the Company certifies, that, to such officer’s knowledge:</w:t>
      </w:r>
    </w:p>
    <w:p>
      <w:pPr>
        <w:spacing w:after="0" w:line="1" w:lineRule="exact"/>
        <w:rPr>
          <w:sz w:val="20"/>
          <w:szCs w:val="20"/>
          <w:color w:val="auto"/>
        </w:rPr>
      </w:pPr>
    </w:p>
    <w:p>
      <w:pPr>
        <w:ind w:left="980" w:hanging="567"/>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74" w:lineRule="exact"/>
        <w:rPr>
          <w:rFonts w:ascii="Arial" w:cs="Arial" w:eastAsia="Arial" w:hAnsi="Arial"/>
          <w:sz w:val="17"/>
          <w:szCs w:val="17"/>
          <w:color w:val="auto"/>
        </w:rPr>
      </w:pPr>
    </w:p>
    <w:p>
      <w:pPr>
        <w:ind w:left="980" w:hanging="567"/>
        <w:spacing w:after="0" w:line="277" w:lineRule="auto"/>
        <w:tabs>
          <w:tab w:leader="none" w:pos="9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14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W. BRADLEY SOUTHERN</w:t>
      </w:r>
    </w:p>
    <w:p>
      <w:pPr>
        <w:ind w:left="58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1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Alan J.M. Haughie</w:t>
      </w:r>
    </w:p>
    <w:p>
      <w:pPr>
        <w:ind w:left="5800"/>
        <w:spacing w:after="0"/>
        <w:rPr>
          <w:sz w:val="20"/>
          <w:szCs w:val="20"/>
          <w:color w:val="auto"/>
        </w:rPr>
      </w:pPr>
      <w:r>
        <w:rPr>
          <w:rFonts w:ascii="Arial" w:cs="Arial" w:eastAsia="Arial" w:hAnsi="Arial"/>
          <w:sz w:val="18"/>
          <w:szCs w:val="18"/>
          <w:color w:val="auto"/>
        </w:rPr>
        <w:t>Title: Chief Financial Officer</w:t>
      </w:r>
    </w:p>
    <w:p>
      <w:pPr>
        <w:spacing w:after="0" w:line="2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amp;"/>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2023-11-01T14:07:49Z</dcterms:created>
  <dcterms:modified xsi:type="dcterms:W3CDTF">2023-11-01T14:07:49Z</dcterms:modified>
</cp:coreProperties>
</file>