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701675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675005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86360</wp:posOffset>
            </wp:positionV>
            <wp:extent cx="17989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91440</wp:posOffset>
            </wp:positionV>
            <wp:extent cx="17989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73" w:lineRule="exact"/>
        <w:rPr>
          <w:sz w:val="24"/>
          <w:szCs w:val="24"/>
          <w:color w:val="auto"/>
        </w:rPr>
      </w:pPr>
    </w:p>
    <w:p>
      <w:pPr>
        <w:jc w:val="center"/>
        <w:ind w:left="3900" w:right="1260" w:hanging="2641"/>
        <w:spacing w:after="0" w:line="319" w:lineRule="auto"/>
        <w:tabs>
          <w:tab w:leader="none" w:pos="1409" w:val="left"/>
        </w:tabs>
        <w:numPr>
          <w:ilvl w:val="0"/>
          <w:numId w:val="1"/>
        </w:numPr>
        <w:rPr>
          <w:rFonts w:ascii="Arial" w:cs="Arial" w:eastAsia="Arial" w:hAnsi="Arial"/>
          <w:sz w:val="14"/>
          <w:szCs w:val="14"/>
          <w:color w:val="auto"/>
        </w:rPr>
      </w:pPr>
      <w:r>
        <w:rPr>
          <w:rFonts w:ascii="Arial" w:cs="Arial" w:eastAsia="Arial" w:hAnsi="Arial"/>
          <w:sz w:val="17"/>
          <w:szCs w:val="17"/>
          <w:b w:val="1"/>
          <w:bCs w:val="1"/>
          <w:color w:val="auto"/>
        </w:rPr>
        <w:t>QUARTERLY REPORT PURSUANT TO SECTION 13 OR 15(d) OF THE SECURITIES EXCHANGE ACT OF 1934 For the Quarterly Period Ended March 31, 2021</w:t>
      </w:r>
    </w:p>
    <w:p>
      <w:pPr>
        <w:jc w:val="center"/>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4"/>
          <w:szCs w:val="14"/>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64135</wp:posOffset>
            </wp:positionV>
            <wp:extent cx="17989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80" w:lineRule="exact"/>
        <w:rPr>
          <w:sz w:val="24"/>
          <w:szCs w:val="24"/>
          <w:color w:val="auto"/>
        </w:rPr>
      </w:pPr>
    </w:p>
    <w:p>
      <w:pPr>
        <w:ind w:left="3900"/>
        <w:spacing w:after="0"/>
        <w:rPr>
          <w:sz w:val="20"/>
          <w:szCs w:val="20"/>
          <w:color w:val="auto"/>
        </w:rPr>
      </w:pPr>
      <w:r>
        <w:rPr>
          <w:rFonts w:ascii="Arial" w:cs="Arial" w:eastAsia="Arial" w:hAnsi="Arial"/>
          <w:sz w:val="20"/>
          <w:szCs w:val="20"/>
          <w:b w:val="1"/>
          <w:bCs w:val="1"/>
          <w:color w:val="auto"/>
        </w:rPr>
        <w:t>LOUISIANA-PACIFIC CORPORATION</w:t>
      </w:r>
    </w:p>
    <w:p>
      <w:pPr>
        <w:spacing w:after="0" w:line="25" w:lineRule="exact"/>
        <w:rPr>
          <w:sz w:val="24"/>
          <w:szCs w:val="24"/>
          <w:color w:val="auto"/>
        </w:rPr>
      </w:pPr>
    </w:p>
    <w:p>
      <w:pPr>
        <w:ind w:left="3460"/>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60325</wp:posOffset>
            </wp:positionV>
            <wp:extent cx="17989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ectPr>
          <w:pgSz w:w="11900" w:h="16838" w:orient="portrait"/>
          <w:cols w:equalWidth="0" w:num="1">
            <w:col w:w="11280"/>
          </w:cols>
          <w:pgMar w:left="300" w:top="1169" w:right="319" w:bottom="1440" w:gutter="0" w:footer="0" w:header="0"/>
        </w:sectPr>
      </w:pPr>
    </w:p>
    <w:p>
      <w:pPr>
        <w:spacing w:after="0" w:line="218" w:lineRule="exact"/>
        <w:rPr>
          <w:sz w:val="24"/>
          <w:szCs w:val="24"/>
          <w:color w:val="auto"/>
        </w:rPr>
      </w:pPr>
    </w:p>
    <w:p>
      <w:pPr>
        <w:ind w:left="252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93-0609074</w:t>
      </w:r>
    </w:p>
    <w:p>
      <w:pPr>
        <w:spacing w:after="0" w:line="20" w:lineRule="exact"/>
        <w:rPr>
          <w:sz w:val="24"/>
          <w:szCs w:val="24"/>
          <w:color w:val="auto"/>
        </w:rPr>
      </w:pPr>
    </w:p>
    <w:p>
      <w:pPr>
        <w:sectPr>
          <w:pgSz w:w="11900" w:h="16838" w:orient="portrait"/>
          <w:cols w:equalWidth="0" w:num="2">
            <w:col w:w="7400" w:space="720"/>
            <w:col w:w="3160"/>
          </w:cols>
          <w:pgMar w:left="300" w:top="1169" w:right="319" w:bottom="1440" w:gutter="0" w:footer="0" w:header="0"/>
          <w:type w:val="continuous"/>
        </w:sectPr>
      </w:pPr>
    </w:p>
    <w:p>
      <w:pPr>
        <w:spacing w:after="0" w:line="11" w:lineRule="exact"/>
        <w:rPr>
          <w:sz w:val="24"/>
          <w:szCs w:val="24"/>
          <w:color w:val="auto"/>
        </w:rPr>
      </w:pPr>
    </w:p>
    <w:p>
      <w:pPr>
        <w:ind w:left="2080"/>
        <w:spacing w:after="0"/>
        <w:rPr>
          <w:sz w:val="20"/>
          <w:szCs w:val="20"/>
          <w:color w:val="auto"/>
        </w:rPr>
      </w:pPr>
      <w:r>
        <w:rPr>
          <w:rFonts w:ascii="Arial" w:cs="Arial" w:eastAsia="Arial" w:hAnsi="Arial"/>
          <w:sz w:val="10"/>
          <w:szCs w:val="10"/>
          <w:b w:val="1"/>
          <w:bCs w:val="1"/>
          <w:color w:val="auto"/>
        </w:rPr>
        <w:t>(State or other jurisdiction of</w:t>
      </w:r>
    </w:p>
    <w:p>
      <w:pPr>
        <w:ind w:left="206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1"/>
          <w:szCs w:val="11"/>
          <w:b w:val="1"/>
          <w:bCs w:val="1"/>
          <w:color w:val="auto"/>
        </w:rPr>
        <w:t>(IRS Employer</w:t>
      </w:r>
    </w:p>
    <w:p>
      <w:pPr>
        <w:jc w:val="center"/>
        <w:ind w:right="2360"/>
        <w:spacing w:after="0"/>
        <w:rPr>
          <w:sz w:val="20"/>
          <w:szCs w:val="20"/>
          <w:color w:val="auto"/>
        </w:rPr>
      </w:pPr>
      <w:r>
        <w:rPr>
          <w:rFonts w:ascii="Arial" w:cs="Arial" w:eastAsia="Arial" w:hAnsi="Arial"/>
          <w:sz w:val="10"/>
          <w:szCs w:val="10"/>
          <w:b w:val="1"/>
          <w:bCs w:val="1"/>
          <w:color w:val="auto"/>
        </w:rPr>
        <w:t>Identification No.)</w:t>
      </w:r>
    </w:p>
    <w:p>
      <w:pPr>
        <w:spacing w:after="0" w:line="88" w:lineRule="exact"/>
        <w:rPr>
          <w:sz w:val="24"/>
          <w:szCs w:val="24"/>
          <w:color w:val="auto"/>
        </w:rPr>
      </w:pPr>
    </w:p>
    <w:p>
      <w:pPr>
        <w:sectPr>
          <w:pgSz w:w="11900" w:h="16838" w:orient="portrait"/>
          <w:cols w:equalWidth="0" w:num="2">
            <w:col w:w="7300" w:space="720"/>
            <w:col w:w="3260"/>
          </w:cols>
          <w:pgMar w:left="300" w:top="1169" w:right="319" w:bottom="1440" w:gutter="0" w:footer="0" w:header="0"/>
          <w:type w:val="continuous"/>
        </w:sectPr>
      </w:pPr>
    </w:p>
    <w:p>
      <w:pPr>
        <w:ind w:left="4140"/>
        <w:spacing w:after="0"/>
        <w:rPr>
          <w:sz w:val="20"/>
          <w:szCs w:val="20"/>
          <w:color w:val="auto"/>
        </w:rPr>
      </w:pPr>
      <w:r>
        <w:rPr>
          <w:rFonts w:ascii="Arial" w:cs="Arial" w:eastAsia="Arial" w:hAnsi="Arial"/>
          <w:sz w:val="12"/>
          <w:szCs w:val="12"/>
          <w:b w:val="1"/>
          <w:bCs w:val="1"/>
          <w:color w:val="auto"/>
        </w:rPr>
        <w:t>414 Union Street, Suite 2000, Nashville, TN 37219</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of principal executive offices) (Zip Code)</w:t>
      </w:r>
    </w:p>
    <w:p>
      <w:pPr>
        <w:sectPr>
          <w:pgSz w:w="11900" w:h="16838" w:orient="portrait"/>
          <w:cols w:equalWidth="0" w:num="1">
            <w:col w:w="11280"/>
          </w:cols>
          <w:pgMar w:left="300" w:top="1169" w:right="31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64770</wp:posOffset>
            </wp:positionV>
            <wp:extent cx="17989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95" w:lineRule="exact"/>
        <w:rPr>
          <w:sz w:val="24"/>
          <w:szCs w:val="24"/>
          <w:color w:val="auto"/>
        </w:rPr>
      </w:pPr>
    </w:p>
    <w:tbl>
      <w:tblPr>
        <w:tblLayout w:type="fixed"/>
        <w:tblInd w:w="30" w:type="dxa"/>
        <w:tblCellMar>
          <w:top w:w="0" w:type="dxa"/>
          <w:left w:w="0" w:type="dxa"/>
          <w:bottom w:w="0" w:type="dxa"/>
          <w:right w:w="0" w:type="dxa"/>
        </w:tblCellMar>
      </w:tblPr>
      <w:tr>
        <w:trPr>
          <w:trHeight w:val="191"/>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5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171"/>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LPX</w:t>
            </w:r>
          </w:p>
        </w:tc>
        <w:tc>
          <w:tcPr>
            <w:tcW w:w="5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New York Stock Exchange</w:t>
            </w:r>
          </w:p>
        </w:tc>
      </w:tr>
    </w:tbl>
    <w:p>
      <w:pPr>
        <w:spacing w:after="0" w:line="106" w:lineRule="exact"/>
        <w:rPr>
          <w:sz w:val="24"/>
          <w:szCs w:val="24"/>
          <w:color w:val="auto"/>
        </w:rPr>
      </w:pPr>
    </w:p>
    <w:p>
      <w:pPr>
        <w:ind w:right="160"/>
        <w:spacing w:after="0" w:line="2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6" w:lineRule="exact"/>
        <w:rPr>
          <w:sz w:val="24"/>
          <w:szCs w:val="24"/>
          <w:color w:val="auto"/>
        </w:rPr>
      </w:pPr>
    </w:p>
    <w:p>
      <w:pPr>
        <w:ind w:right="280"/>
        <w:spacing w:after="0" w:line="28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37" w:lineRule="exact"/>
        <w:rPr>
          <w:sz w:val="24"/>
          <w:szCs w:val="24"/>
          <w:color w:val="auto"/>
        </w:rPr>
      </w:pPr>
    </w:p>
    <w:p>
      <w:pPr>
        <w:ind w:right="20"/>
        <w:spacing w:after="0" w:line="27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56"/>
        </w:trPr>
        <w:tc>
          <w:tcPr>
            <w:tcW w:w="2440" w:type="dxa"/>
            <w:vAlign w:val="bottom"/>
          </w:tcPr>
          <w:p>
            <w:pPr>
              <w:spacing w:after="0" w:line="156" w:lineRule="exact"/>
              <w:rPr>
                <w:sz w:val="20"/>
                <w:szCs w:val="20"/>
                <w:color w:val="auto"/>
              </w:rPr>
            </w:pPr>
            <w:r>
              <w:rPr>
                <w:rFonts w:ascii="Arial" w:cs="Arial" w:eastAsia="Arial" w:hAnsi="Arial"/>
                <w:sz w:val="14"/>
                <w:szCs w:val="14"/>
                <w:color w:val="auto"/>
              </w:rPr>
              <w:t>Large accelerated filer</w:t>
            </w:r>
          </w:p>
        </w:tc>
        <w:tc>
          <w:tcPr>
            <w:tcW w:w="2560" w:type="dxa"/>
            <w:vAlign w:val="bottom"/>
          </w:tcPr>
          <w:p>
            <w:pPr>
              <w:ind w:left="880"/>
              <w:spacing w:after="0" w:line="156" w:lineRule="exact"/>
              <w:rPr>
                <w:sz w:val="20"/>
                <w:szCs w:val="20"/>
                <w:color w:val="auto"/>
              </w:rPr>
            </w:pPr>
            <w:r>
              <w:rPr>
                <w:rFonts w:ascii="Arial" w:cs="Arial" w:eastAsia="Arial" w:hAnsi="Arial"/>
                <w:sz w:val="14"/>
                <w:szCs w:val="14"/>
                <w:color w:val="auto"/>
              </w:rPr>
              <w:t>x</w:t>
            </w:r>
          </w:p>
        </w:tc>
        <w:tc>
          <w:tcPr>
            <w:tcW w:w="3920" w:type="dxa"/>
            <w:vAlign w:val="bottom"/>
          </w:tcPr>
          <w:p>
            <w:pPr>
              <w:ind w:left="1540"/>
              <w:spacing w:after="0" w:line="156" w:lineRule="exact"/>
              <w:rPr>
                <w:sz w:val="20"/>
                <w:szCs w:val="20"/>
                <w:color w:val="auto"/>
              </w:rPr>
            </w:pPr>
            <w:r>
              <w:rPr>
                <w:rFonts w:ascii="Arial" w:cs="Arial" w:eastAsia="Arial" w:hAnsi="Arial"/>
                <w:sz w:val="14"/>
                <w:szCs w:val="14"/>
                <w:color w:val="auto"/>
              </w:rPr>
              <w:t>Accelerated filer</w:t>
            </w:r>
          </w:p>
        </w:tc>
        <w:tc>
          <w:tcPr>
            <w:tcW w:w="960" w:type="dxa"/>
            <w:vAlign w:val="bottom"/>
          </w:tcPr>
          <w:p>
            <w:pPr>
              <w:ind w:left="840"/>
              <w:spacing w:after="0" w:line="156" w:lineRule="exact"/>
              <w:rPr>
                <w:sz w:val="20"/>
                <w:szCs w:val="20"/>
                <w:color w:val="auto"/>
              </w:rPr>
            </w:pPr>
            <w:r>
              <w:rPr>
                <w:rFonts w:ascii="Arial" w:cs="Arial" w:eastAsia="Arial" w:hAnsi="Arial"/>
                <w:sz w:val="14"/>
                <w:szCs w:val="14"/>
                <w:color w:val="auto"/>
              </w:rPr>
              <w:t>o</w:t>
            </w:r>
          </w:p>
        </w:tc>
      </w:tr>
      <w:tr>
        <w:trPr>
          <w:trHeight w:val="180"/>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2560" w:type="dxa"/>
            <w:vAlign w:val="bottom"/>
          </w:tcPr>
          <w:p>
            <w:pPr>
              <w:ind w:left="880"/>
              <w:spacing w:after="0"/>
              <w:rPr>
                <w:sz w:val="20"/>
                <w:szCs w:val="20"/>
                <w:color w:val="auto"/>
              </w:rPr>
            </w:pPr>
            <w:r>
              <w:rPr>
                <w:rFonts w:ascii="Arial" w:cs="Arial" w:eastAsia="Arial" w:hAnsi="Arial"/>
                <w:sz w:val="14"/>
                <w:szCs w:val="14"/>
                <w:color w:val="auto"/>
              </w:rPr>
              <w:t>o</w:t>
            </w:r>
          </w:p>
        </w:tc>
        <w:tc>
          <w:tcPr>
            <w:tcW w:w="3920" w:type="dxa"/>
            <w:vAlign w:val="bottom"/>
          </w:tcPr>
          <w:p>
            <w:pPr>
              <w:ind w:left="1540"/>
              <w:spacing w:after="0"/>
              <w:rPr>
                <w:sz w:val="20"/>
                <w:szCs w:val="20"/>
                <w:color w:val="auto"/>
              </w:rPr>
            </w:pPr>
            <w:r>
              <w:rPr>
                <w:rFonts w:ascii="Arial" w:cs="Arial" w:eastAsia="Arial" w:hAnsi="Arial"/>
                <w:sz w:val="14"/>
                <w:szCs w:val="14"/>
                <w:color w:val="auto"/>
              </w:rPr>
              <w:t>Smaller reporting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24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56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392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80" w:lineRule="exact"/>
        <w:rPr>
          <w:sz w:val="24"/>
          <w:szCs w:val="24"/>
          <w:color w:val="auto"/>
        </w:rPr>
      </w:pPr>
    </w:p>
    <w:p>
      <w:pPr>
        <w:ind w:right="22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4" w:lineRule="exact"/>
        <w:rPr>
          <w:sz w:val="24"/>
          <w:szCs w:val="24"/>
          <w:color w:val="auto"/>
        </w:rPr>
      </w:pPr>
    </w:p>
    <w:p>
      <w:pPr>
        <w:spacing w:after="0" w:line="161" w:lineRule="exact"/>
        <w:tabs>
          <w:tab w:leader="none" w:pos="6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08" w:lineRule="exact"/>
        <w:rPr>
          <w:sz w:val="24"/>
          <w:szCs w:val="24"/>
          <w:color w:val="auto"/>
        </w:rPr>
      </w:pPr>
    </w:p>
    <w:p>
      <w:pPr>
        <w:ind w:right="320"/>
        <w:spacing w:after="0" w:line="281"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102,253,315 shares of Common Stock, $1 par value, outstanding as of April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468630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9"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i w:val="1"/>
          <w:iCs w:val="1"/>
          <w:color w:val="auto"/>
        </w:rPr>
        <w:t>Except as otherwise specified and unless the context otherwise requires, references to "LP", the “Company”, “we”, “us”, and “our” refer to Louisiana-Pacific Corporation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600075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60325</wp:posOffset>
            </wp:positionV>
            <wp:extent cx="71481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wp:posOffset>
            </wp:positionV>
            <wp:extent cx="71481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0960"/>
          </w:cols>
          <w:pgMar w:left="300" w:top="871" w:right="6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ABOUT FORWARD-LOOKING STATEMENTS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This quarterly report on Form 10-Q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following statements are or may constitute forward-looking statements: (1) statements preceded by, followed by or that include words like “may,” “will,” “could,” “should,” “believe,” “expect,” “anticipate,” “intend,” “plan,” “estimate,” "project," “potential,” “continue,” "likely," or “future” or the negative or other variations thereof and (2) other statements regarding matters that are not historical facts, including without limitation, plans for product development, forecasts of future costs and expenditures, possible outcomes of legal proceedings, capacity expansion, and other growth initiatives and the adequacy of reserves for loss contingencies.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Factors that could cause actual results to differ materially from those expressed or implied by the forward-looking statements include, but are not limited to, the following:</w:t>
      </w:r>
    </w:p>
    <w:p>
      <w:pPr>
        <w:spacing w:after="0" w:line="200" w:lineRule="exact"/>
        <w:rPr>
          <w:sz w:val="20"/>
          <w:szCs w:val="20"/>
          <w:color w:val="auto"/>
        </w:rPr>
      </w:pPr>
    </w:p>
    <w:p>
      <w:pPr>
        <w:ind w:left="520" w:hanging="260"/>
        <w:spacing w:after="0" w:line="260"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impacts from public health issues (including global pandemics, such as the ongoing COVID-19 pandemic) on the economy, demand for our products or our operations, including the actions and recommendations of governmental authorities to contain such public health issues;</w:t>
      </w: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governmental fiscal and monetary policies, including tariffs, and levels of employment;</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general economic conditions, including impacts from the ongoing COVID-19 pandemic;</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cost and availability of capital;</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level of home construction and repair activity;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competitive conditions and prices for our products;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relationship between supply of and demand for building products;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financial or business conditions of third-party wholesale distributors and dealers;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relationship between supply of and demand for raw materials, including wood fiber and resins, used in manufacturing our products;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cost of and availability of energy, primarily natural gas, electricity, and diesel fuel;</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cost of and availability of transportation;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impact of manufacturing our products internationally;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difficulties in the launch or production ramp-up of newly introduced products;</w:t>
      </w:r>
    </w:p>
    <w:p>
      <w:pPr>
        <w:spacing w:after="0" w:line="8" w:lineRule="exact"/>
        <w:rPr>
          <w:rFonts w:ascii="Arial" w:cs="Arial" w:eastAsia="Arial" w:hAnsi="Arial"/>
          <w:sz w:val="14"/>
          <w:szCs w:val="14"/>
          <w:color w:val="auto"/>
        </w:rPr>
      </w:pPr>
    </w:p>
    <w:p>
      <w:pPr>
        <w:ind w:left="520" w:hanging="260"/>
        <w:spacing w:after="0" w:line="272" w:lineRule="auto"/>
        <w:tabs>
          <w:tab w:leader="none" w:pos="516" w:val="left"/>
        </w:tabs>
        <w:numPr>
          <w:ilvl w:val="0"/>
          <w:numId w:val="2"/>
        </w:numPr>
        <w:rPr>
          <w:rFonts w:ascii="Arial" w:cs="Arial" w:eastAsia="Arial" w:hAnsi="Arial"/>
          <w:sz w:val="13"/>
          <w:szCs w:val="13"/>
          <w:color w:val="auto"/>
        </w:rPr>
      </w:pPr>
      <w:r>
        <w:rPr>
          <w:rFonts w:ascii="Arial" w:cs="Arial" w:eastAsia="Arial" w:hAnsi="Arial"/>
          <w:sz w:val="13"/>
          <w:szCs w:val="13"/>
          <w:color w:val="auto"/>
        </w:rPr>
        <w:t>unplanned interruptions to our manufacturing operations, such as explosions, fires, inclement weather, natural disasters, accidents, equipment failures, labor disruptions, transportation interruptions, supply interruptions, public health issues (including pandemics and quarantines), riots, civil insurrection or social unrest, looting, protests, strikes and street demonstrations;</w:t>
      </w: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other significant operating expenses;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currency values and exchange rates between the U.S. dollar and other currencies, particularly the Canadian dollar, Brazilian real and Chilean peso;</w:t>
      </w:r>
    </w:p>
    <w:p>
      <w:pPr>
        <w:spacing w:after="0" w:line="8"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tax laws, and interpretations thereof;</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circumstances giving rise to environmental liabilities or expenditures;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warranty costs exceeding our warranty reserves;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challenge or exploitation of our intellectual property or other proprietary information by others in the industry;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funding requirements of our defined benefit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 w:name="page4"/>
    <w:bookmarkEnd w:id="3"/>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resolution of existing and future product-related litigation and other legal proceedings;</w:t>
      </w:r>
    </w:p>
    <w:p>
      <w:pPr>
        <w:spacing w:after="0" w:line="19"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amount and timing of any repurchases of our common stock and the payment of dividends on our common stock, which will depend on market and business conditions and other considerations; and</w:t>
      </w: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acts of public authorities, war, civil unrest, natural disasters, fire, floods, earthquakes, inclement weather and other matters beyond our control.</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to the foregoing and any risks and uncertainties specifically identified in the text surrounding forward-looking statements, any statements in the reports and other documents filed by us with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ABOUT THIRD-PARTY INFORMATION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380" w:type="dxa"/>
            <w:vAlign w:val="bottom"/>
            <w:gridSpan w:val="2"/>
          </w:tcPr>
          <w:p>
            <w:pPr>
              <w:jc w:val="center"/>
              <w:ind w:right="1856"/>
              <w:spacing w:after="0"/>
              <w:rPr>
                <w:sz w:val="20"/>
                <w:szCs w:val="20"/>
                <w:color w:val="auto"/>
              </w:rPr>
            </w:pPr>
            <w:r>
              <w:rPr>
                <w:rFonts w:ascii="Arial" w:cs="Arial" w:eastAsia="Arial" w:hAnsi="Arial"/>
                <w:sz w:val="14"/>
                <w:szCs w:val="14"/>
                <w:b w:val="1"/>
                <w:bCs w:val="1"/>
                <w:color w:val="auto"/>
              </w:rPr>
              <w:t>PART I - FINANCIAL INFORMATION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10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2900" w:type="dxa"/>
            <w:vAlign w:val="bottom"/>
          </w:tcPr>
          <w:p>
            <w:pPr>
              <w:spacing w:after="0"/>
              <w:rPr>
                <w:sz w:val="20"/>
                <w:szCs w:val="20"/>
                <w:color w:val="auto"/>
              </w:rPr>
            </w:pPr>
            <w:r>
              <w:rPr>
                <w:rFonts w:ascii="Arial" w:cs="Arial" w:eastAsia="Arial" w:hAnsi="Arial"/>
                <w:sz w:val="14"/>
                <w:szCs w:val="14"/>
                <w:b w:val="1"/>
                <w:bCs w:val="1"/>
                <w:color w:val="auto"/>
              </w:rPr>
              <w:t>FINANCIAL STATEMENTS</w:t>
            </w:r>
          </w:p>
        </w:tc>
        <w:tc>
          <w:tcPr>
            <w:tcW w:w="4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380" w:type="dxa"/>
            <w:vAlign w:val="bottom"/>
            <w:gridSpan w:val="2"/>
          </w:tcPr>
          <w:p>
            <w:pPr>
              <w:jc w:val="center"/>
              <w:ind w:right="1876"/>
              <w:spacing w:after="0"/>
              <w:rPr>
                <w:sz w:val="20"/>
                <w:szCs w:val="20"/>
                <w:color w:val="auto"/>
              </w:rPr>
            </w:pPr>
            <w:r>
              <w:rPr>
                <w:rFonts w:ascii="Arial" w:cs="Arial" w:eastAsia="Arial" w:hAnsi="Arial"/>
                <w:sz w:val="14"/>
                <w:szCs w:val="14"/>
                <w:b w:val="1"/>
                <w:bCs w:val="1"/>
                <w:color w:val="auto"/>
                <w:w w:val="89"/>
              </w:rPr>
              <w:t>Condensed Consolidated Statements of Income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380" w:type="dxa"/>
            <w:vAlign w:val="bottom"/>
            <w:gridSpan w:val="2"/>
          </w:tcPr>
          <w:p>
            <w:pPr>
              <w:jc w:val="center"/>
              <w:ind w:right="1856"/>
              <w:spacing w:after="0"/>
              <w:rPr>
                <w:sz w:val="20"/>
                <w:szCs w:val="20"/>
                <w:color w:val="auto"/>
              </w:rPr>
            </w:pPr>
            <w:r>
              <w:rPr>
                <w:rFonts w:ascii="Arial" w:cs="Arial" w:eastAsia="Arial" w:hAnsi="Arial"/>
                <w:sz w:val="14"/>
                <w:szCs w:val="14"/>
                <w:color w:val="auto"/>
                <w:w w:val="91"/>
              </w:rPr>
              <w:t>Dollar amounts in millions, except per share amounts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5380" w:type="dxa"/>
            <w:vAlign w:val="bottom"/>
            <w:gridSpan w:val="2"/>
          </w:tcPr>
          <w:p>
            <w:pPr>
              <w:jc w:val="center"/>
              <w:ind w:right="1876"/>
              <w:spacing w:after="0"/>
              <w:rPr>
                <w:sz w:val="20"/>
                <w:szCs w:val="20"/>
                <w:color w:val="auto"/>
              </w:rPr>
            </w:pPr>
            <w:r>
              <w:rPr>
                <w:rFonts w:ascii="Arial" w:cs="Arial" w:eastAsia="Arial" w:hAnsi="Arial"/>
                <w:sz w:val="14"/>
                <w:szCs w:val="14"/>
                <w:color w:val="auto"/>
                <w:w w:val="92"/>
              </w:rPr>
              <w:t>(Unaudited)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5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3"/>
                <w:szCs w:val="13"/>
                <w:b w:val="1"/>
                <w:bCs w:val="1"/>
                <w:color w:val="auto"/>
              </w:rPr>
              <w:t>Three Months Ended March 31,</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1020" w:type="dxa"/>
            <w:vAlign w:val="bottom"/>
            <w:tcBorders>
              <w:bottom w:val="single" w:sz="8" w:color="CCEEFF"/>
            </w:tcBorders>
          </w:tcPr>
          <w:p>
            <w:pPr>
              <w:spacing w:after="0"/>
              <w:rPr>
                <w:sz w:val="13"/>
                <w:szCs w:val="13"/>
                <w:color w:val="auto"/>
              </w:rPr>
            </w:pPr>
          </w:p>
        </w:tc>
        <w:tc>
          <w:tcPr>
            <w:tcW w:w="2900" w:type="dxa"/>
            <w:vAlign w:val="bottom"/>
            <w:tcBorders>
              <w:bottom w:val="single" w:sz="8" w:color="CCEEFF"/>
            </w:tcBorders>
          </w:tcPr>
          <w:p>
            <w:pPr>
              <w:spacing w:after="0"/>
              <w:rPr>
                <w:sz w:val="13"/>
                <w:szCs w:val="13"/>
                <w:color w:val="auto"/>
              </w:rPr>
            </w:pPr>
          </w:p>
        </w:tc>
        <w:tc>
          <w:tcPr>
            <w:tcW w:w="44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Net sales</w:t>
            </w:r>
          </w:p>
        </w:tc>
        <w:tc>
          <w:tcPr>
            <w:tcW w:w="2900" w:type="dxa"/>
            <w:vAlign w:val="bottom"/>
            <w:shd w:val="clear" w:color="auto" w:fill="CCEEFF"/>
          </w:tcPr>
          <w:p>
            <w:pPr>
              <w:spacing w:after="0"/>
              <w:rPr>
                <w:sz w:val="14"/>
                <w:szCs w:val="14"/>
                <w:color w:val="auto"/>
              </w:rPr>
            </w:pPr>
          </w:p>
        </w:tc>
        <w:tc>
          <w:tcPr>
            <w:tcW w:w="44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b w:val="1"/>
                <w:bCs w:val="1"/>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1,017</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70"/>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585</w:t>
            </w:r>
          </w:p>
        </w:tc>
        <w:tc>
          <w:tcPr>
            <w:tcW w:w="0" w:type="dxa"/>
            <w:vAlign w:val="bottom"/>
          </w:tcPr>
          <w:p>
            <w:pPr>
              <w:spacing w:after="0"/>
              <w:rPr>
                <w:sz w:val="1"/>
                <w:szCs w:val="1"/>
                <w:color w:val="auto"/>
              </w:rPr>
            </w:pPr>
          </w:p>
        </w:tc>
      </w:tr>
      <w:tr>
        <w:trPr>
          <w:trHeight w:val="168"/>
        </w:trPr>
        <w:tc>
          <w:tcPr>
            <w:tcW w:w="1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sales</w:t>
            </w:r>
          </w:p>
        </w:tc>
        <w:tc>
          <w:tcPr>
            <w:tcW w:w="2900" w:type="dxa"/>
            <w:vAlign w:val="bottom"/>
            <w:tcBorders>
              <w:bottom w:val="single" w:sz="8" w:color="CCEEFF"/>
            </w:tcBorders>
          </w:tcPr>
          <w:p>
            <w:pPr>
              <w:spacing w:after="0"/>
              <w:rPr>
                <w:sz w:val="14"/>
                <w:szCs w:val="14"/>
                <w:color w:val="auto"/>
              </w:rPr>
            </w:pPr>
          </w:p>
        </w:tc>
        <w:tc>
          <w:tcPr>
            <w:tcW w:w="44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163"/>
        </w:trPr>
        <w:tc>
          <w:tcPr>
            <w:tcW w:w="10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Gross profit</w:t>
            </w:r>
          </w:p>
        </w:tc>
        <w:tc>
          <w:tcPr>
            <w:tcW w:w="2900" w:type="dxa"/>
            <w:vAlign w:val="bottom"/>
            <w:shd w:val="clear" w:color="auto" w:fill="CCEEFF"/>
          </w:tcPr>
          <w:p>
            <w:pPr>
              <w:spacing w:after="0"/>
              <w:rPr>
                <w:sz w:val="14"/>
                <w:szCs w:val="14"/>
                <w:color w:val="auto"/>
              </w:rPr>
            </w:pPr>
          </w:p>
        </w:tc>
        <w:tc>
          <w:tcPr>
            <w:tcW w:w="4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8"/>
        </w:trPr>
        <w:tc>
          <w:tcPr>
            <w:tcW w:w="3920" w:type="dxa"/>
            <w:vAlign w:val="bottom"/>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Loss on impairment</w:t>
            </w:r>
          </w:p>
        </w:tc>
        <w:tc>
          <w:tcPr>
            <w:tcW w:w="4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8"/>
        </w:trPr>
        <w:tc>
          <w:tcPr>
            <w:tcW w:w="3920" w:type="dxa"/>
            <w:vAlign w:val="bottom"/>
            <w:gridSpan w:val="2"/>
          </w:tcPr>
          <w:p>
            <w:pPr>
              <w:ind w:left="20"/>
              <w:spacing w:after="0"/>
              <w:rPr>
                <w:sz w:val="20"/>
                <w:szCs w:val="20"/>
                <w:color w:val="auto"/>
              </w:rPr>
            </w:pPr>
            <w:r>
              <w:rPr>
                <w:rFonts w:ascii="Arial" w:cs="Arial" w:eastAsia="Arial" w:hAnsi="Arial"/>
                <w:sz w:val="13"/>
                <w:szCs w:val="13"/>
                <w:color w:val="auto"/>
              </w:rPr>
              <w:t>Other operating credits and charges, net</w:t>
            </w:r>
          </w:p>
        </w:tc>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3"/>
        </w:trPr>
        <w:tc>
          <w:tcPr>
            <w:tcW w:w="3920" w:type="dxa"/>
            <w:vAlign w:val="bottom"/>
            <w:tcBorders>
              <w:top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Income from operations</w:t>
            </w:r>
          </w:p>
        </w:tc>
        <w:tc>
          <w:tcPr>
            <w:tcW w:w="44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68"/>
        </w:trPr>
        <w:tc>
          <w:tcPr>
            <w:tcW w:w="1020" w:type="dxa"/>
            <w:vAlign w:val="bottom"/>
          </w:tcPr>
          <w:p>
            <w:pPr>
              <w:ind w:left="180"/>
              <w:spacing w:after="0"/>
              <w:rPr>
                <w:sz w:val="20"/>
                <w:szCs w:val="20"/>
                <w:color w:val="auto"/>
              </w:rPr>
            </w:pPr>
            <w:r>
              <w:rPr>
                <w:rFonts w:ascii="Arial" w:cs="Arial" w:eastAsia="Arial" w:hAnsi="Arial"/>
                <w:sz w:val="13"/>
                <w:szCs w:val="13"/>
                <w:color w:val="auto"/>
                <w:w w:val="85"/>
              </w:rPr>
              <w:t>Interest expense</w:t>
            </w:r>
          </w:p>
        </w:tc>
        <w:tc>
          <w:tcPr>
            <w:tcW w:w="29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2"/>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Investment income</w:t>
            </w:r>
          </w:p>
        </w:tc>
        <w:tc>
          <w:tcPr>
            <w:tcW w:w="4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8"/>
        </w:trPr>
        <w:tc>
          <w:tcPr>
            <w:tcW w:w="3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Other non-operating items</w:t>
            </w:r>
          </w:p>
        </w:tc>
        <w:tc>
          <w:tcPr>
            <w:tcW w:w="44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3"/>
        </w:trPr>
        <w:tc>
          <w:tcPr>
            <w:tcW w:w="3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Income before income taxes</w:t>
            </w:r>
          </w:p>
        </w:tc>
        <w:tc>
          <w:tcPr>
            <w:tcW w:w="4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w:t>
            </w:r>
          </w:p>
        </w:tc>
        <w:tc>
          <w:tcPr>
            <w:tcW w:w="0" w:type="dxa"/>
            <w:vAlign w:val="bottom"/>
          </w:tcPr>
          <w:p>
            <w:pPr>
              <w:spacing w:after="0"/>
              <w:rPr>
                <w:sz w:val="1"/>
                <w:szCs w:val="1"/>
                <w:color w:val="auto"/>
              </w:rPr>
            </w:pPr>
          </w:p>
        </w:tc>
      </w:tr>
      <w:tr>
        <w:trPr>
          <w:trHeight w:val="168"/>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Provision for income taxes</w:t>
            </w:r>
          </w:p>
        </w:tc>
        <w:tc>
          <w:tcPr>
            <w:tcW w:w="44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2900" w:type="dxa"/>
            <w:vAlign w:val="bottom"/>
            <w:tcBorders>
              <w:bottom w:val="single" w:sz="8" w:color="CCEEFF"/>
            </w:tcBorders>
            <w:shd w:val="clear" w:color="auto" w:fill="CCEEFF"/>
          </w:tcPr>
          <w:p>
            <w:pPr>
              <w:spacing w:after="0"/>
              <w:rPr>
                <w:sz w:val="15"/>
                <w:szCs w:val="15"/>
                <w:color w:val="auto"/>
              </w:rPr>
            </w:pPr>
          </w:p>
        </w:tc>
        <w:tc>
          <w:tcPr>
            <w:tcW w:w="44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320</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3"/>
                <w:szCs w:val="13"/>
                <w:color w:val="auto"/>
              </w:rPr>
              <w:t>Net loss attributed to noncontrolling interest</w:t>
            </w:r>
          </w:p>
        </w:tc>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920" w:type="dxa"/>
            <w:vAlign w:val="bottom"/>
            <w:tcBorders>
              <w:bottom w:val="single" w:sz="8" w:color="CCEEFF"/>
            </w:tcBorders>
            <w:gridSpan w:val="2"/>
            <w:vMerge w:val="continue"/>
          </w:tcPr>
          <w:p>
            <w:pPr>
              <w:spacing w:after="0"/>
              <w:rPr>
                <w:sz w:val="11"/>
                <w:szCs w:val="11"/>
                <w:color w:val="auto"/>
              </w:rPr>
            </w:pPr>
          </w:p>
        </w:tc>
        <w:tc>
          <w:tcPr>
            <w:tcW w:w="44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attributed to LP</w:t>
            </w:r>
          </w:p>
        </w:tc>
        <w:tc>
          <w:tcPr>
            <w:tcW w:w="44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320</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gridSpan w:val="2"/>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Basic net income per share of common stock:</w:t>
            </w:r>
          </w:p>
        </w:tc>
        <w:tc>
          <w:tcPr>
            <w:tcW w:w="4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gridSpan w:val="2"/>
          </w:tcPr>
          <w:p>
            <w:pPr>
              <w:ind w:left="240"/>
              <w:spacing w:after="0"/>
              <w:rPr>
                <w:sz w:val="20"/>
                <w:szCs w:val="20"/>
                <w:color w:val="auto"/>
              </w:rPr>
            </w:pPr>
            <w:r>
              <w:rPr>
                <w:rFonts w:ascii="Arial" w:cs="Arial" w:eastAsia="Arial" w:hAnsi="Arial"/>
                <w:sz w:val="13"/>
                <w:szCs w:val="13"/>
                <w:color w:val="auto"/>
              </w:rPr>
              <w:t>Net income per share - basic</w:t>
            </w:r>
          </w:p>
        </w:tc>
        <w:tc>
          <w:tcPr>
            <w:tcW w:w="53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4"/>
                <w:szCs w:val="14"/>
                <w:color w:val="auto"/>
              </w:rPr>
            </w:pPr>
          </w:p>
        </w:tc>
        <w:tc>
          <w:tcPr>
            <w:tcW w:w="980" w:type="dxa"/>
            <w:vAlign w:val="bottom"/>
          </w:tcPr>
          <w:p>
            <w:pPr>
              <w:jc w:val="right"/>
              <w:ind w:right="87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92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Diluted net income per share of common stock:</w:t>
            </w:r>
          </w:p>
        </w:tc>
        <w:tc>
          <w:tcPr>
            <w:tcW w:w="44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20" w:type="dxa"/>
            <w:vAlign w:val="bottom"/>
            <w:gridSpan w:val="2"/>
          </w:tcPr>
          <w:p>
            <w:pPr>
              <w:ind w:left="240"/>
              <w:spacing w:after="0"/>
              <w:rPr>
                <w:sz w:val="20"/>
                <w:szCs w:val="20"/>
                <w:color w:val="auto"/>
              </w:rPr>
            </w:pPr>
            <w:r>
              <w:rPr>
                <w:rFonts w:ascii="Arial" w:cs="Arial" w:eastAsia="Arial" w:hAnsi="Arial"/>
                <w:sz w:val="13"/>
                <w:szCs w:val="13"/>
                <w:color w:val="auto"/>
              </w:rPr>
              <w:t>Net income per share - diluted</w:t>
            </w:r>
          </w:p>
        </w:tc>
        <w:tc>
          <w:tcPr>
            <w:tcW w:w="53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4"/>
                <w:szCs w:val="14"/>
                <w:color w:val="auto"/>
              </w:rPr>
            </w:pPr>
          </w:p>
        </w:tc>
        <w:tc>
          <w:tcPr>
            <w:tcW w:w="980" w:type="dxa"/>
            <w:vAlign w:val="bottom"/>
          </w:tcPr>
          <w:p>
            <w:pPr>
              <w:jc w:val="right"/>
              <w:ind w:right="87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2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4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920" w:type="dxa"/>
            <w:vAlign w:val="bottom"/>
            <w:gridSpan w:val="2"/>
          </w:tcPr>
          <w:p>
            <w:pPr>
              <w:ind w:left="20"/>
              <w:spacing w:after="0"/>
              <w:rPr>
                <w:sz w:val="20"/>
                <w:szCs w:val="20"/>
                <w:color w:val="auto"/>
              </w:rPr>
            </w:pPr>
            <w:r>
              <w:rPr>
                <w:rFonts w:ascii="Arial" w:cs="Arial" w:eastAsia="Arial" w:hAnsi="Arial"/>
                <w:sz w:val="13"/>
                <w:szCs w:val="13"/>
                <w:color w:val="auto"/>
                <w:w w:val="91"/>
              </w:rPr>
              <w:t>Average shares of common stock used to compute net income per share:</w:t>
            </w:r>
          </w:p>
        </w:tc>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290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3"/>
                <w:szCs w:val="13"/>
                <w:color w:val="auto"/>
              </w:rPr>
              <w:t>Diluted</w:t>
            </w:r>
          </w:p>
        </w:tc>
        <w:tc>
          <w:tcPr>
            <w:tcW w:w="29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020" w:type="dxa"/>
            <w:vAlign w:val="bottom"/>
            <w:vMerge w:val="continue"/>
          </w:tcPr>
          <w:p>
            <w:pPr>
              <w:spacing w:after="0"/>
              <w:rPr>
                <w:sz w:val="11"/>
                <w:szCs w:val="11"/>
                <w:color w:val="auto"/>
              </w:rPr>
            </w:pPr>
          </w:p>
        </w:tc>
        <w:tc>
          <w:tcPr>
            <w:tcW w:w="29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107</w:t>
            </w:r>
          </w:p>
        </w:tc>
        <w:tc>
          <w:tcPr>
            <w:tcW w:w="1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Condensed Consolidated Statements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 amounts in millions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6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3"/>
                <w:szCs w:val="13"/>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r>
      <w:tr>
        <w:trPr>
          <w:trHeight w:val="160"/>
        </w:trPr>
        <w:tc>
          <w:tcPr>
            <w:tcW w:w="80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3"/>
                <w:szCs w:val="13"/>
                <w:color w:val="auto"/>
              </w:rPr>
            </w:pPr>
          </w:p>
        </w:tc>
      </w:tr>
      <w:tr>
        <w:trPr>
          <w:trHeight w:val="173"/>
        </w:trPr>
        <w:tc>
          <w:tcPr>
            <w:tcW w:w="8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320</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48"/>
        </w:trPr>
        <w:tc>
          <w:tcPr>
            <w:tcW w:w="8060" w:type="dxa"/>
            <w:vAlign w:val="bottom"/>
          </w:tcPr>
          <w:p>
            <w:pPr>
              <w:ind w:left="20"/>
              <w:spacing w:after="0" w:line="146" w:lineRule="exact"/>
              <w:rPr>
                <w:sz w:val="20"/>
                <w:szCs w:val="20"/>
                <w:color w:val="auto"/>
              </w:rPr>
            </w:pPr>
            <w:r>
              <w:rPr>
                <w:rFonts w:ascii="Arial" w:cs="Arial" w:eastAsia="Arial" w:hAnsi="Arial"/>
                <w:sz w:val="13"/>
                <w:szCs w:val="13"/>
                <w:color w:val="auto"/>
              </w:rPr>
              <w:t>Other comprehensive income, net of tax</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72"/>
        </w:trPr>
        <w:tc>
          <w:tcPr>
            <w:tcW w:w="8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Foreign currency translation adjustments</w:t>
            </w: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80"/>
        </w:trPr>
        <w:tc>
          <w:tcPr>
            <w:tcW w:w="8060" w:type="dxa"/>
            <w:vAlign w:val="bottom"/>
          </w:tcPr>
          <w:p>
            <w:pPr>
              <w:ind w:left="280"/>
              <w:spacing w:after="0"/>
              <w:rPr>
                <w:sz w:val="20"/>
                <w:szCs w:val="20"/>
                <w:color w:val="auto"/>
              </w:rPr>
            </w:pPr>
            <w:r>
              <w:rPr>
                <w:rFonts w:ascii="Arial" w:cs="Arial" w:eastAsia="Arial" w:hAnsi="Arial"/>
                <w:sz w:val="13"/>
                <w:szCs w:val="13"/>
                <w:color w:val="auto"/>
              </w:rPr>
              <w:t>Amortization of pension and post-retirement prior service costs and net loss</w:t>
            </w:r>
          </w:p>
        </w:tc>
        <w:tc>
          <w:tcPr>
            <w:tcW w:w="11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1"/>
        </w:trPr>
        <w:tc>
          <w:tcPr>
            <w:tcW w:w="806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color w:val="auto"/>
              </w:rPr>
              <w:t>Other comprehensive loss, net of tax</w:t>
            </w:r>
          </w:p>
        </w:tc>
        <w:tc>
          <w:tcPr>
            <w:tcW w:w="112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58"/>
        </w:trPr>
        <w:tc>
          <w:tcPr>
            <w:tcW w:w="806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Comprehensive income</w:t>
            </w:r>
          </w:p>
        </w:tc>
        <w:tc>
          <w:tcPr>
            <w:tcW w:w="1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313</w:t>
            </w:r>
          </w:p>
        </w:tc>
        <w:tc>
          <w:tcPr>
            <w:tcW w:w="1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54"/>
        </w:trPr>
        <w:tc>
          <w:tcPr>
            <w:tcW w:w="80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Comprehensive loss associated with noncontrolling interest</w:t>
            </w:r>
          </w:p>
        </w:tc>
        <w:tc>
          <w:tcPr>
            <w:tcW w:w="1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806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Comprehensive income attributed to LP</w:t>
            </w:r>
          </w:p>
        </w:tc>
        <w:tc>
          <w:tcPr>
            <w:tcW w:w="1120" w:type="dxa"/>
            <w:vAlign w:val="bottom"/>
            <w:tcBorders>
              <w:bottom w:val="single" w:sz="8" w:color="auto"/>
            </w:tcBorders>
          </w:tcPr>
          <w:p>
            <w:pPr>
              <w:jc w:val="right"/>
              <w:ind w:right="976"/>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314</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976"/>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r>
      <w:tr>
        <w:trPr>
          <w:trHeight w:val="20"/>
        </w:trPr>
        <w:tc>
          <w:tcPr>
            <w:tcW w:w="8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2021</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w w:val="99"/>
              </w:rPr>
              <w:t>December 31, 2020</w:t>
            </w:r>
          </w:p>
        </w:tc>
        <w:tc>
          <w:tcPr>
            <w:tcW w:w="0" w:type="dxa"/>
            <w:vAlign w:val="bottom"/>
          </w:tcPr>
          <w:p>
            <w:pPr>
              <w:spacing w:after="0"/>
              <w:rPr>
                <w:sz w:val="1"/>
                <w:szCs w:val="1"/>
                <w:color w:val="auto"/>
              </w:rPr>
            </w:pPr>
          </w:p>
        </w:tc>
      </w:tr>
      <w:tr>
        <w:trPr>
          <w:trHeight w:val="152"/>
        </w:trPr>
        <w:tc>
          <w:tcPr>
            <w:tcW w:w="76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1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Arial" w:cs="Arial" w:eastAsia="Arial" w:hAnsi="Arial"/>
                <w:sz w:val="13"/>
                <w:szCs w:val="13"/>
                <w:color w:val="auto"/>
              </w:rPr>
              <w:t>Cash and cash equivalents</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645</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Receivables, net of allowance for doubtful accounts of $2 million at March 31, 2021, and December 31, 2020</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Arial" w:cs="Arial" w:eastAsia="Arial" w:hAnsi="Arial"/>
                <w:sz w:val="13"/>
                <w:szCs w:val="13"/>
                <w:color w:val="auto"/>
              </w:rPr>
              <w:t>Inventories</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13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280"/>
              <w:spacing w:after="0" w:line="146" w:lineRule="exact"/>
              <w:rPr>
                <w:sz w:val="20"/>
                <w:szCs w:val="20"/>
                <w:color w:val="auto"/>
              </w:rPr>
            </w:pPr>
            <w:r>
              <w:rPr>
                <w:rFonts w:ascii="Arial" w:cs="Arial" w:eastAsia="Arial" w:hAnsi="Arial"/>
                <w:sz w:val="13"/>
                <w:szCs w:val="13"/>
                <w:b w:val="1"/>
                <w:bCs w:val="1"/>
                <w:color w:val="auto"/>
              </w:rPr>
              <w:t>Total current assets</w:t>
            </w:r>
          </w:p>
        </w:tc>
        <w:tc>
          <w:tcPr>
            <w:tcW w:w="13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1,226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993</w:t>
            </w: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20"/>
              <w:spacing w:after="0"/>
              <w:rPr>
                <w:sz w:val="20"/>
                <w:szCs w:val="20"/>
                <w:color w:val="auto"/>
              </w:rPr>
            </w:pPr>
            <w:r>
              <w:rPr>
                <w:rFonts w:ascii="Arial" w:cs="Arial" w:eastAsia="Arial" w:hAnsi="Arial"/>
                <w:sz w:val="13"/>
                <w:szCs w:val="13"/>
                <w:color w:val="auto"/>
              </w:rPr>
              <w:t>Timber and timberlands</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 net</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w:t>
            </w:r>
          </w:p>
        </w:tc>
        <w:tc>
          <w:tcPr>
            <w:tcW w:w="0" w:type="dxa"/>
            <w:vAlign w:val="bottom"/>
          </w:tcPr>
          <w:p>
            <w:pPr>
              <w:spacing w:after="0"/>
              <w:rPr>
                <w:sz w:val="1"/>
                <w:szCs w:val="1"/>
                <w:color w:val="auto"/>
              </w:rPr>
            </w:pPr>
          </w:p>
        </w:tc>
      </w:tr>
      <w:tr>
        <w:trPr>
          <w:trHeight w:val="168"/>
        </w:trPr>
        <w:tc>
          <w:tcPr>
            <w:tcW w:w="7640" w:type="dxa"/>
            <w:vAlign w:val="bottom"/>
          </w:tcPr>
          <w:p>
            <w:pPr>
              <w:ind w:left="20"/>
              <w:spacing w:after="0"/>
              <w:rPr>
                <w:sz w:val="20"/>
                <w:szCs w:val="20"/>
                <w:color w:val="auto"/>
              </w:rPr>
            </w:pPr>
            <w:r>
              <w:rPr>
                <w:rFonts w:ascii="Arial" w:cs="Arial" w:eastAsia="Arial" w:hAnsi="Arial"/>
                <w:sz w:val="13"/>
                <w:szCs w:val="13"/>
                <w:color w:val="auto"/>
              </w:rPr>
              <w:t>Operating lease assets</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and other intangible assets</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8"/>
        </w:trPr>
        <w:tc>
          <w:tcPr>
            <w:tcW w:w="7640" w:type="dxa"/>
            <w:vAlign w:val="bottom"/>
          </w:tcPr>
          <w:p>
            <w:pPr>
              <w:ind w:left="20"/>
              <w:spacing w:after="0"/>
              <w:rPr>
                <w:sz w:val="20"/>
                <w:szCs w:val="20"/>
                <w:color w:val="auto"/>
              </w:rPr>
            </w:pPr>
            <w:r>
              <w:rPr>
                <w:rFonts w:ascii="Arial" w:cs="Arial" w:eastAsia="Arial" w:hAnsi="Arial"/>
                <w:sz w:val="13"/>
                <w:szCs w:val="13"/>
                <w:color w:val="auto"/>
              </w:rPr>
              <w:t>Investments in and advances to affiliates</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640" w:type="dxa"/>
            <w:vAlign w:val="bottom"/>
          </w:tcPr>
          <w:p>
            <w:pPr>
              <w:ind w:left="20"/>
              <w:spacing w:after="0"/>
              <w:rPr>
                <w:sz w:val="20"/>
                <w:szCs w:val="20"/>
                <w:color w:val="auto"/>
              </w:rPr>
            </w:pPr>
            <w:r>
              <w:rPr>
                <w:rFonts w:ascii="Arial" w:cs="Arial" w:eastAsia="Arial" w:hAnsi="Arial"/>
                <w:sz w:val="13"/>
                <w:szCs w:val="13"/>
                <w:color w:val="auto"/>
              </w:rPr>
              <w:t>Other assets</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w:t>
            </w:r>
          </w:p>
        </w:tc>
        <w:tc>
          <w:tcPr>
            <w:tcW w:w="13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8"/>
        </w:trPr>
        <w:tc>
          <w:tcPr>
            <w:tcW w:w="7640" w:type="dxa"/>
            <w:vAlign w:val="bottom"/>
          </w:tcPr>
          <w:p>
            <w:pPr>
              <w:ind w:left="280"/>
              <w:spacing w:after="0"/>
              <w:rPr>
                <w:sz w:val="20"/>
                <w:szCs w:val="20"/>
                <w:color w:val="auto"/>
              </w:rPr>
            </w:pPr>
            <w:r>
              <w:rPr>
                <w:rFonts w:ascii="Arial" w:cs="Arial" w:eastAsia="Arial" w:hAnsi="Arial"/>
                <w:sz w:val="13"/>
                <w:szCs w:val="13"/>
                <w:b w:val="1"/>
                <w:bCs w:val="1"/>
                <w:color w:val="auto"/>
              </w:rPr>
              <w:t>Total assets</w:t>
            </w:r>
          </w:p>
        </w:tc>
        <w:tc>
          <w:tcPr>
            <w:tcW w:w="1380" w:type="dxa"/>
            <w:vAlign w:val="bottom"/>
            <w:tcBorders>
              <w:bottom w:val="single" w:sz="8" w:color="auto"/>
            </w:tcBorders>
          </w:tcPr>
          <w:p>
            <w:pPr>
              <w:jc w:val="right"/>
              <w:ind w:right="1236"/>
              <w:spacing w:after="0"/>
              <w:rPr>
                <w:sz w:val="20"/>
                <w:szCs w:val="20"/>
                <w:color w:val="auto"/>
              </w:rPr>
            </w:pPr>
            <w:r>
              <w:rPr>
                <w:rFonts w:ascii="Arial" w:cs="Arial" w:eastAsia="Arial" w:hAnsi="Arial"/>
                <w:sz w:val="13"/>
                <w:szCs w:val="13"/>
                <w:b w:val="1"/>
                <w:bCs w:val="1"/>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2,343</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2,086</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64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b w:val="1"/>
                <w:bCs w:val="1"/>
                <w:color w:val="auto"/>
              </w:rPr>
              <w:t>LIABILITIES AND EQUITY</w:t>
            </w:r>
          </w:p>
        </w:tc>
        <w:tc>
          <w:tcPr>
            <w:tcW w:w="1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Arial" w:cs="Arial" w:eastAsia="Arial" w:hAnsi="Arial"/>
                <w:sz w:val="13"/>
                <w:szCs w:val="13"/>
                <w:color w:val="auto"/>
              </w:rPr>
              <w:t>Accounts payable and accrued liabilities</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 payable</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Current portion of contingency reserves</w:t>
            </w:r>
          </w:p>
        </w:tc>
        <w:tc>
          <w:tcPr>
            <w:tcW w:w="1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b w:val="1"/>
                <w:bCs w:val="1"/>
                <w:color w:val="auto"/>
              </w:rPr>
              <w:t>Total current liabilities</w:t>
            </w:r>
          </w:p>
        </w:tc>
        <w:tc>
          <w:tcPr>
            <w:tcW w:w="13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360</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286</w:t>
            </w:r>
          </w:p>
        </w:tc>
        <w:tc>
          <w:tcPr>
            <w:tcW w:w="0" w:type="dxa"/>
            <w:vAlign w:val="bottom"/>
          </w:tcPr>
          <w:p>
            <w:pPr>
              <w:spacing w:after="0"/>
              <w:rPr>
                <w:sz w:val="1"/>
                <w:szCs w:val="1"/>
                <w:color w:val="auto"/>
              </w:rPr>
            </w:pPr>
          </w:p>
        </w:tc>
      </w:tr>
      <w:tr>
        <w:trPr>
          <w:trHeight w:val="184"/>
        </w:trPr>
        <w:tc>
          <w:tcPr>
            <w:tcW w:w="7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68"/>
        </w:trPr>
        <w:tc>
          <w:tcPr>
            <w:tcW w:w="7640" w:type="dxa"/>
            <w:vAlign w:val="bottom"/>
          </w:tcPr>
          <w:p>
            <w:pPr>
              <w:ind w:left="20"/>
              <w:spacing w:after="0"/>
              <w:rPr>
                <w:sz w:val="20"/>
                <w:szCs w:val="20"/>
                <w:color w:val="auto"/>
              </w:rPr>
            </w:pPr>
            <w:r>
              <w:rPr>
                <w:rFonts w:ascii="Arial" w:cs="Arial" w:eastAsia="Arial" w:hAnsi="Arial"/>
                <w:sz w:val="13"/>
                <w:szCs w:val="13"/>
                <w:color w:val="auto"/>
              </w:rPr>
              <w:t>Deferred income taxes</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operating lease liabilities</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8"/>
        </w:trPr>
        <w:tc>
          <w:tcPr>
            <w:tcW w:w="7640" w:type="dxa"/>
            <w:vAlign w:val="bottom"/>
          </w:tcPr>
          <w:p>
            <w:pPr>
              <w:ind w:left="20"/>
              <w:spacing w:after="0"/>
              <w:rPr>
                <w:sz w:val="20"/>
                <w:szCs w:val="20"/>
                <w:color w:val="auto"/>
              </w:rPr>
            </w:pPr>
            <w:r>
              <w:rPr>
                <w:rFonts w:ascii="Arial" w:cs="Arial" w:eastAsia="Arial" w:hAnsi="Arial"/>
                <w:sz w:val="13"/>
                <w:szCs w:val="13"/>
                <w:color w:val="auto"/>
              </w:rPr>
              <w:t>Contingency reserves, excluding current portion</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13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280"/>
              <w:spacing w:after="0" w:line="146" w:lineRule="exact"/>
              <w:rPr>
                <w:sz w:val="20"/>
                <w:szCs w:val="20"/>
                <w:color w:val="auto"/>
              </w:rPr>
            </w:pPr>
            <w:r>
              <w:rPr>
                <w:rFonts w:ascii="Arial" w:cs="Arial" w:eastAsia="Arial" w:hAnsi="Arial"/>
                <w:sz w:val="13"/>
                <w:szCs w:val="13"/>
                <w:b w:val="1"/>
                <w:bCs w:val="1"/>
                <w:color w:val="auto"/>
              </w:rPr>
              <w:t>Total liabilities</w:t>
            </w:r>
          </w:p>
        </w:tc>
        <w:tc>
          <w:tcPr>
            <w:tcW w:w="13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930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842</w:t>
            </w: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20"/>
              <w:spacing w:after="0"/>
              <w:rPr>
                <w:sz w:val="20"/>
                <w:szCs w:val="20"/>
                <w:color w:val="auto"/>
              </w:rPr>
            </w:pPr>
            <w:r>
              <w:rPr>
                <w:rFonts w:ascii="Arial" w:cs="Arial" w:eastAsia="Arial" w:hAnsi="Arial"/>
                <w:sz w:val="13"/>
                <w:szCs w:val="13"/>
                <w:color w:val="auto"/>
              </w:rPr>
              <w:t>Redeemable noncontrolling interest</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4"/>
        </w:trPr>
        <w:tc>
          <w:tcPr>
            <w:tcW w:w="76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64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w w:val="91"/>
              </w:rPr>
              <w:t>Common stock, $1 par value, 200,000,000 shares authorized; 121,153,436 and 104,234,125 shares issued and outstanding, respectively, as of</w:t>
            </w:r>
          </w:p>
        </w:tc>
        <w:tc>
          <w:tcPr>
            <w:tcW w:w="138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66"/>
        </w:trPr>
        <w:tc>
          <w:tcPr>
            <w:tcW w:w="7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March 31, 2021; and 123,547,974and 106,240,030 shares issued and outstanding, respectively, as of December 31, 2020</w:t>
            </w:r>
          </w:p>
        </w:tc>
        <w:tc>
          <w:tcPr>
            <w:tcW w:w="13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Arial" w:cs="Arial" w:eastAsia="Arial" w:hAnsi="Arial"/>
                <w:sz w:val="13"/>
                <w:szCs w:val="13"/>
                <w:color w:val="auto"/>
              </w:rPr>
              <w:t>Additional paid-in capital</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Arial" w:cs="Arial" w:eastAsia="Arial" w:hAnsi="Arial"/>
                <w:sz w:val="13"/>
                <w:szCs w:val="13"/>
                <w:color w:val="auto"/>
              </w:rPr>
              <w:t>Treasury stock, 16,919,311 shares and 17,307,944 shares, at cost as of March 31, 2021 and December 31, 2020, respectively</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Accumulated comprehensive loss</w:t>
            </w:r>
          </w:p>
        </w:tc>
        <w:tc>
          <w:tcPr>
            <w:tcW w:w="13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280"/>
              <w:spacing w:after="0" w:line="146" w:lineRule="exact"/>
              <w:rPr>
                <w:sz w:val="20"/>
                <w:szCs w:val="20"/>
                <w:color w:val="auto"/>
              </w:rPr>
            </w:pPr>
            <w:r>
              <w:rPr>
                <w:rFonts w:ascii="Arial" w:cs="Arial" w:eastAsia="Arial" w:hAnsi="Arial"/>
                <w:sz w:val="13"/>
                <w:szCs w:val="13"/>
                <w:b w:val="1"/>
                <w:bCs w:val="1"/>
                <w:color w:val="auto"/>
              </w:rPr>
              <w:t>Total stockholders’ equity</w:t>
            </w:r>
          </w:p>
        </w:tc>
        <w:tc>
          <w:tcPr>
            <w:tcW w:w="13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1,404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1,234</w:t>
            </w:r>
          </w:p>
        </w:tc>
        <w:tc>
          <w:tcPr>
            <w:tcW w:w="0" w:type="dxa"/>
            <w:vAlign w:val="bottom"/>
          </w:tcPr>
          <w:p>
            <w:pPr>
              <w:spacing w:after="0"/>
              <w:rPr>
                <w:sz w:val="1"/>
                <w:szCs w:val="1"/>
                <w:color w:val="auto"/>
              </w:rPr>
            </w:pPr>
          </w:p>
        </w:tc>
      </w:tr>
      <w:tr>
        <w:trPr>
          <w:trHeight w:val="185"/>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Total liabilities and stockholders’ equity</w:t>
            </w:r>
          </w:p>
        </w:tc>
        <w:tc>
          <w:tcPr>
            <w:tcW w:w="1380" w:type="dxa"/>
            <w:vAlign w:val="bottom"/>
            <w:tcBorders>
              <w:bottom w:val="single" w:sz="8" w:color="auto"/>
            </w:tcBorders>
            <w:shd w:val="clear" w:color="auto" w:fill="CCEEFF"/>
          </w:tcPr>
          <w:p>
            <w:pPr>
              <w:jc w:val="right"/>
              <w:ind w:right="1236"/>
              <w:spacing w:after="0"/>
              <w:rPr>
                <w:sz w:val="20"/>
                <w:szCs w:val="20"/>
                <w:color w:val="auto"/>
              </w:rPr>
            </w:pPr>
            <w:r>
              <w:rPr>
                <w:rFonts w:ascii="Arial" w:cs="Arial" w:eastAsia="Arial" w:hAnsi="Arial"/>
                <w:sz w:val="13"/>
                <w:szCs w:val="13"/>
                <w:b w:val="1"/>
                <w:bCs w:val="1"/>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2,343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2,086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 amounts in millions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3"/>
                <w:szCs w:val="13"/>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r>
      <w:tr>
        <w:trPr>
          <w:trHeight w:val="160"/>
        </w:trPr>
        <w:tc>
          <w:tcPr>
            <w:tcW w:w="20" w:type="dxa"/>
            <w:vAlign w:val="bottom"/>
            <w:tcBorders>
              <w:bottom w:val="single" w:sz="8" w:color="CCEEFF"/>
            </w:tcBorders>
          </w:tcPr>
          <w:p>
            <w:pPr>
              <w:spacing w:after="0"/>
              <w:rPr>
                <w:sz w:val="13"/>
                <w:szCs w:val="13"/>
                <w:color w:val="auto"/>
              </w:rPr>
            </w:pPr>
          </w:p>
        </w:tc>
        <w:tc>
          <w:tcPr>
            <w:tcW w:w="2020" w:type="dxa"/>
            <w:vAlign w:val="bottom"/>
            <w:tcBorders>
              <w:bottom w:val="single" w:sz="8" w:color="CCEEFF"/>
            </w:tcBorders>
          </w:tcPr>
          <w:p>
            <w:pPr>
              <w:spacing w:after="0"/>
              <w:rPr>
                <w:sz w:val="13"/>
                <w:szCs w:val="13"/>
                <w:color w:val="auto"/>
              </w:rPr>
            </w:pPr>
          </w:p>
        </w:tc>
        <w:tc>
          <w:tcPr>
            <w:tcW w:w="6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3"/>
                <w:szCs w:val="13"/>
                <w:color w:val="auto"/>
              </w:rPr>
            </w:pPr>
          </w:p>
        </w:tc>
      </w:tr>
      <w:tr>
        <w:trPr>
          <w:trHeight w:val="152"/>
        </w:trPr>
        <w:tc>
          <w:tcPr>
            <w:tcW w:w="20" w:type="dxa"/>
            <w:vAlign w:val="bottom"/>
            <w:shd w:val="clear" w:color="auto" w:fill="CCEEFF"/>
          </w:tcPr>
          <w:p>
            <w:pPr>
              <w:spacing w:after="0"/>
              <w:rPr>
                <w:sz w:val="13"/>
                <w:szCs w:val="13"/>
                <w:color w:val="auto"/>
              </w:rPr>
            </w:pPr>
          </w:p>
        </w:tc>
        <w:tc>
          <w:tcPr>
            <w:tcW w:w="81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CASH FLOWS FROM OPERATING ACTIVITIES:</w:t>
            </w: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060" w:type="dxa"/>
            <w:vAlign w:val="bottom"/>
          </w:tcPr>
          <w:p>
            <w:pPr>
              <w:jc w:val="right"/>
              <w:ind w:right="948"/>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4"/>
                <w:szCs w:val="14"/>
                <w:color w:val="auto"/>
              </w:rPr>
            </w:pP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Adjustments to net income:</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Loss on impairment</w:t>
            </w:r>
          </w:p>
        </w:tc>
        <w:tc>
          <w:tcPr>
            <w:tcW w:w="10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8"/>
        </w:trPr>
        <w:tc>
          <w:tcPr>
            <w:tcW w:w="20" w:type="dxa"/>
            <w:vAlign w:val="bottom"/>
          </w:tcPr>
          <w:p>
            <w:pPr>
              <w:spacing w:after="0"/>
              <w:rPr>
                <w:sz w:val="14"/>
                <w:szCs w:val="14"/>
                <w:color w:val="auto"/>
              </w:rPr>
            </w:pPr>
          </w:p>
        </w:tc>
        <w:tc>
          <w:tcPr>
            <w:tcW w:w="8120" w:type="dxa"/>
            <w:vAlign w:val="bottom"/>
            <w:gridSpan w:val="2"/>
          </w:tcPr>
          <w:p>
            <w:pPr>
              <w:ind w:left="100"/>
              <w:spacing w:after="0"/>
              <w:rPr>
                <w:sz w:val="20"/>
                <w:szCs w:val="20"/>
                <w:color w:val="auto"/>
              </w:rPr>
            </w:pPr>
            <w:r>
              <w:rPr>
                <w:rFonts w:ascii="Arial" w:cs="Arial" w:eastAsia="Arial" w:hAnsi="Arial"/>
                <w:sz w:val="13"/>
                <w:szCs w:val="13"/>
                <w:color w:val="auto"/>
              </w:rPr>
              <w:t>Deferred taxes</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Loss on early debt extinguishment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0" w:type="dxa"/>
            <w:vAlign w:val="bottom"/>
          </w:tcPr>
          <w:p>
            <w:pPr>
              <w:spacing w:after="0"/>
              <w:rPr>
                <w:sz w:val="14"/>
                <w:szCs w:val="14"/>
                <w:color w:val="auto"/>
              </w:rPr>
            </w:pPr>
          </w:p>
        </w:tc>
        <w:tc>
          <w:tcPr>
            <w:tcW w:w="8120" w:type="dxa"/>
            <w:vAlign w:val="bottom"/>
            <w:gridSpan w:val="2"/>
          </w:tcPr>
          <w:p>
            <w:pPr>
              <w:ind w:left="100"/>
              <w:spacing w:after="0"/>
              <w:rPr>
                <w:sz w:val="20"/>
                <w:szCs w:val="20"/>
                <w:color w:val="auto"/>
              </w:rPr>
            </w:pPr>
            <w:r>
              <w:rPr>
                <w:rFonts w:ascii="Arial" w:cs="Arial" w:eastAsia="Arial" w:hAnsi="Arial"/>
                <w:sz w:val="13"/>
                <w:szCs w:val="13"/>
                <w:color w:val="auto"/>
              </w:rPr>
              <w:t>Other adjustments, net</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Changes in assets and liabilities (net of acquisitions and divestitures):</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ind w:left="160"/>
              <w:spacing w:after="0"/>
              <w:rPr>
                <w:sz w:val="20"/>
                <w:szCs w:val="20"/>
                <w:color w:val="auto"/>
              </w:rPr>
            </w:pPr>
            <w:r>
              <w:rPr>
                <w:rFonts w:ascii="Arial" w:cs="Arial" w:eastAsia="Arial" w:hAnsi="Arial"/>
                <w:sz w:val="13"/>
                <w:szCs w:val="13"/>
                <w:color w:val="auto"/>
              </w:rPr>
              <w:t>Receivables</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Prepaid expenses and other current assets</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8"/>
        </w:trPr>
        <w:tc>
          <w:tcPr>
            <w:tcW w:w="20" w:type="dxa"/>
            <w:vAlign w:val="bottom"/>
          </w:tcPr>
          <w:p>
            <w:pPr>
              <w:spacing w:after="0"/>
              <w:rPr>
                <w:sz w:val="14"/>
                <w:szCs w:val="14"/>
                <w:color w:val="auto"/>
              </w:rPr>
            </w:pPr>
          </w:p>
        </w:tc>
        <w:tc>
          <w:tcPr>
            <w:tcW w:w="8120" w:type="dxa"/>
            <w:vAlign w:val="bottom"/>
            <w:gridSpan w:val="2"/>
          </w:tcPr>
          <w:p>
            <w:pPr>
              <w:ind w:left="160"/>
              <w:spacing w:after="0"/>
              <w:rPr>
                <w:sz w:val="20"/>
                <w:szCs w:val="20"/>
                <w:color w:val="auto"/>
              </w:rPr>
            </w:pPr>
            <w:r>
              <w:rPr>
                <w:rFonts w:ascii="Arial" w:cs="Arial" w:eastAsia="Arial" w:hAnsi="Arial"/>
                <w:sz w:val="13"/>
                <w:szCs w:val="13"/>
                <w:color w:val="auto"/>
              </w:rPr>
              <w:t>Inventories</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Accounts payable and accrued liabilities</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8"/>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Income taxes payable, net of receivables</w:t>
            </w: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r>
      <w:tr>
        <w:trPr>
          <w:trHeight w:val="163"/>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Net cash provided by operating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314</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w:t>
            </w:r>
          </w:p>
        </w:tc>
      </w:tr>
      <w:tr>
        <w:trPr>
          <w:trHeight w:val="148"/>
        </w:trPr>
        <w:tc>
          <w:tcPr>
            <w:tcW w:w="20" w:type="dxa"/>
            <w:vAlign w:val="bottom"/>
          </w:tcPr>
          <w:p>
            <w:pPr>
              <w:spacing w:after="0"/>
              <w:rPr>
                <w:sz w:val="12"/>
                <w:szCs w:val="12"/>
                <w:color w:val="auto"/>
              </w:rPr>
            </w:pPr>
          </w:p>
        </w:tc>
        <w:tc>
          <w:tcPr>
            <w:tcW w:w="812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CASH FLOWS FROM INVESTING ACTIVITIES:</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Property, plant, and equipment additions</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80"/>
        </w:trPr>
        <w:tc>
          <w:tcPr>
            <w:tcW w:w="20" w:type="dxa"/>
            <w:vAlign w:val="bottom"/>
            <w:tcBorders>
              <w:bottom w:val="single" w:sz="8" w:color="CCEEFF"/>
            </w:tcBorders>
          </w:tcPr>
          <w:p>
            <w:pPr>
              <w:spacing w:after="0"/>
              <w:rPr>
                <w:sz w:val="15"/>
                <w:szCs w:val="15"/>
                <w:color w:val="auto"/>
              </w:rPr>
            </w:pPr>
          </w:p>
        </w:tc>
        <w:tc>
          <w:tcPr>
            <w:tcW w:w="81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 investing activities</w:t>
            </w: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20" w:type="dxa"/>
            <w:vAlign w:val="bottom"/>
            <w:shd w:val="clear" w:color="auto" w:fill="CCEEFF"/>
          </w:tcPr>
          <w:p>
            <w:pPr>
              <w:spacing w:after="0"/>
              <w:rPr>
                <w:sz w:val="13"/>
                <w:szCs w:val="13"/>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Net cash used in investing activities</w:t>
            </w:r>
          </w:p>
        </w:tc>
        <w:tc>
          <w:tcPr>
            <w:tcW w:w="10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w:t>
            </w:r>
          </w:p>
        </w:tc>
        <w:tc>
          <w:tcPr>
            <w:tcW w:w="10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w:t>
            </w:r>
          </w:p>
        </w:tc>
      </w:tr>
      <w:tr>
        <w:trPr>
          <w:trHeight w:val="148"/>
        </w:trPr>
        <w:tc>
          <w:tcPr>
            <w:tcW w:w="20" w:type="dxa"/>
            <w:vAlign w:val="bottom"/>
          </w:tcPr>
          <w:p>
            <w:pPr>
              <w:spacing w:after="0"/>
              <w:rPr>
                <w:sz w:val="12"/>
                <w:szCs w:val="12"/>
                <w:color w:val="auto"/>
              </w:rPr>
            </w:pPr>
          </w:p>
        </w:tc>
        <w:tc>
          <w:tcPr>
            <w:tcW w:w="812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CASH FLOWS FROM FINANCING ACTIVITIES:</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Borrowing of long-term debt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r>
      <w:tr>
        <w:trPr>
          <w:trHeight w:val="168"/>
        </w:trPr>
        <w:tc>
          <w:tcPr>
            <w:tcW w:w="20" w:type="dxa"/>
            <w:vAlign w:val="bottom"/>
          </w:tcPr>
          <w:p>
            <w:pPr>
              <w:spacing w:after="0"/>
              <w:rPr>
                <w:sz w:val="14"/>
                <w:szCs w:val="14"/>
                <w:color w:val="auto"/>
              </w:rPr>
            </w:pPr>
          </w:p>
        </w:tc>
        <w:tc>
          <w:tcPr>
            <w:tcW w:w="8120" w:type="dxa"/>
            <w:vAlign w:val="bottom"/>
            <w:gridSpan w:val="2"/>
          </w:tcPr>
          <w:p>
            <w:pPr>
              <w:ind w:left="100"/>
              <w:spacing w:after="0"/>
              <w:rPr>
                <w:sz w:val="20"/>
                <w:szCs w:val="20"/>
                <w:color w:val="auto"/>
              </w:rPr>
            </w:pPr>
            <w:r>
              <w:rPr>
                <w:rFonts w:ascii="Arial" w:cs="Arial" w:eastAsia="Arial" w:hAnsi="Arial"/>
                <w:sz w:val="13"/>
                <w:szCs w:val="13"/>
                <w:color w:val="auto"/>
              </w:rPr>
              <w:t>Repayment of long-term debt, including redemption premium</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Payment of cash dividends</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8"/>
        </w:trPr>
        <w:tc>
          <w:tcPr>
            <w:tcW w:w="20" w:type="dxa"/>
            <w:vAlign w:val="bottom"/>
          </w:tcPr>
          <w:p>
            <w:pPr>
              <w:spacing w:after="0"/>
              <w:rPr>
                <w:sz w:val="14"/>
                <w:szCs w:val="14"/>
                <w:color w:val="auto"/>
              </w:rPr>
            </w:pPr>
          </w:p>
        </w:tc>
        <w:tc>
          <w:tcPr>
            <w:tcW w:w="8120" w:type="dxa"/>
            <w:vAlign w:val="bottom"/>
            <w:gridSpan w:val="2"/>
          </w:tcPr>
          <w:p>
            <w:pPr>
              <w:ind w:left="100"/>
              <w:spacing w:after="0"/>
              <w:rPr>
                <w:sz w:val="20"/>
                <w:szCs w:val="20"/>
                <w:color w:val="auto"/>
              </w:rPr>
            </w:pPr>
            <w:r>
              <w:rPr>
                <w:rFonts w:ascii="Arial" w:cs="Arial" w:eastAsia="Arial" w:hAnsi="Arial"/>
                <w:sz w:val="13"/>
                <w:szCs w:val="13"/>
                <w:color w:val="auto"/>
              </w:rPr>
              <w:t>Purchase of stock</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 financing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58"/>
        </w:trPr>
        <w:tc>
          <w:tcPr>
            <w:tcW w:w="20" w:type="dxa"/>
            <w:vAlign w:val="bottom"/>
            <w:tcBorders>
              <w:bottom w:val="single" w:sz="8" w:color="CCEEFF"/>
            </w:tcBorders>
          </w:tcPr>
          <w:p>
            <w:pPr>
              <w:spacing w:after="0"/>
              <w:rPr>
                <w:sz w:val="13"/>
                <w:szCs w:val="13"/>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i w:val="1"/>
                <w:iCs w:val="1"/>
                <w:color w:val="auto"/>
              </w:rPr>
              <w:t>Net cash (used in) provided by financing activities</w:t>
            </w:r>
          </w:p>
        </w:tc>
        <w:tc>
          <w:tcPr>
            <w:tcW w:w="10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(158)</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329</w:t>
            </w:r>
          </w:p>
        </w:tc>
      </w:tr>
      <w:tr>
        <w:trPr>
          <w:trHeight w:val="163"/>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EFFECT OF EXCHANGE RATE ON CASH, CASH EQUIVALENTS AND RESTRICTED CASH</w:t>
            </w: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58"/>
        </w:trPr>
        <w:tc>
          <w:tcPr>
            <w:tcW w:w="20" w:type="dxa"/>
            <w:vAlign w:val="bottom"/>
          </w:tcPr>
          <w:p>
            <w:pPr>
              <w:spacing w:after="0"/>
              <w:rPr>
                <w:sz w:val="13"/>
                <w:szCs w:val="13"/>
                <w:color w:val="auto"/>
              </w:rPr>
            </w:pPr>
          </w:p>
        </w:tc>
        <w:tc>
          <w:tcPr>
            <w:tcW w:w="8120" w:type="dxa"/>
            <w:vAlign w:val="bottom"/>
            <w:gridSpan w:val="2"/>
          </w:tcPr>
          <w:p>
            <w:pPr>
              <w:spacing w:after="0"/>
              <w:rPr>
                <w:sz w:val="20"/>
                <w:szCs w:val="20"/>
                <w:color w:val="auto"/>
              </w:rPr>
            </w:pPr>
            <w:r>
              <w:rPr>
                <w:rFonts w:ascii="Arial" w:cs="Arial" w:eastAsia="Arial" w:hAnsi="Arial"/>
                <w:sz w:val="13"/>
                <w:szCs w:val="13"/>
                <w:color w:val="auto"/>
              </w:rPr>
              <w:t>Net increase in cash, cash equivalents and restricted cash</w:t>
            </w:r>
          </w:p>
        </w:tc>
        <w:tc>
          <w:tcPr>
            <w:tcW w:w="10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293</w:t>
            </w:r>
          </w:p>
        </w:tc>
      </w:tr>
      <w:tr>
        <w:trPr>
          <w:trHeight w:val="170"/>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w:t>
            </w:r>
          </w:p>
        </w:tc>
      </w:tr>
      <w:tr>
        <w:trPr>
          <w:trHeight w:val="163"/>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1060" w:type="dxa"/>
            <w:vAlign w:val="bottom"/>
            <w:tcBorders>
              <w:bottom w:val="single" w:sz="8" w:color="auto"/>
            </w:tcBorders>
          </w:tcPr>
          <w:p>
            <w:pPr>
              <w:jc w:val="right"/>
              <w:ind w:right="948"/>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658</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936"/>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6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2020" w:type="dxa"/>
            <w:vAlign w:val="bottom"/>
            <w:tcBorders>
              <w:bottom w:val="single" w:sz="8" w:color="auto"/>
            </w:tcBorders>
          </w:tcPr>
          <w:p>
            <w:pPr>
              <w:spacing w:after="0" w:line="138" w:lineRule="exact"/>
              <w:rPr>
                <w:sz w:val="20"/>
                <w:szCs w:val="20"/>
                <w:color w:val="auto"/>
              </w:rPr>
            </w:pPr>
            <w:r>
              <w:rPr>
                <w:rFonts w:ascii="Arial" w:cs="Arial" w:eastAsia="Arial" w:hAnsi="Arial"/>
                <w:sz w:val="13"/>
                <w:szCs w:val="13"/>
                <w:b w:val="1"/>
                <w:bCs w:val="1"/>
                <w:color w:val="auto"/>
                <w:w w:val="87"/>
              </w:rPr>
              <w:t>Supplemental cash flow information:</w:t>
            </w:r>
          </w:p>
        </w:tc>
        <w:tc>
          <w:tcPr>
            <w:tcW w:w="6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paid for income taxes, net of cash received</w:t>
            </w:r>
          </w:p>
        </w:tc>
        <w:tc>
          <w:tcPr>
            <w:tcW w:w="1060" w:type="dxa"/>
            <w:vAlign w:val="bottom"/>
            <w:shd w:val="clear" w:color="auto" w:fill="CCEEFF"/>
          </w:tcPr>
          <w:p>
            <w:pPr>
              <w:jc w:val="right"/>
              <w:ind w:right="94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Arial" w:cs="Arial" w:eastAsia="Arial" w:hAnsi="Arial"/>
                <w:sz w:val="13"/>
                <w:szCs w:val="13"/>
                <w:color w:val="auto"/>
              </w:rPr>
              <w:t>Cash paid for interest, net of cash received</w:t>
            </w:r>
          </w:p>
        </w:tc>
        <w:tc>
          <w:tcPr>
            <w:tcW w:w="1060" w:type="dxa"/>
            <w:vAlign w:val="bottom"/>
          </w:tcPr>
          <w:p>
            <w:pPr>
              <w:jc w:val="right"/>
              <w:ind w:right="948"/>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Unpaid capital expenditures</w:t>
            </w:r>
          </w:p>
        </w:tc>
        <w:tc>
          <w:tcPr>
            <w:tcW w:w="1060" w:type="dxa"/>
            <w:vAlign w:val="bottom"/>
            <w:shd w:val="clear" w:color="auto" w:fill="CCEEFF"/>
          </w:tcPr>
          <w:p>
            <w:pPr>
              <w:jc w:val="right"/>
              <w:ind w:right="94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 and share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8"/>
          </w:tcPr>
          <w:p>
            <w:pPr>
              <w:ind w:left="360"/>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10"/>
                <w:szCs w:val="10"/>
                <w:color w:val="auto"/>
              </w:rPr>
            </w:pPr>
          </w:p>
        </w:tc>
        <w:tc>
          <w:tcPr>
            <w:tcW w:w="1620" w:type="dxa"/>
            <w:vAlign w:val="bottom"/>
            <w:gridSpan w:val="8"/>
          </w:tcPr>
          <w:p>
            <w:pPr>
              <w:jc w:val="center"/>
              <w:ind w:right="160"/>
              <w:spacing w:after="0"/>
              <w:rPr>
                <w:sz w:val="20"/>
                <w:szCs w:val="20"/>
                <w:color w:val="auto"/>
              </w:rPr>
            </w:pPr>
            <w:r>
              <w:rPr>
                <w:rFonts w:ascii="Arial" w:cs="Arial" w:eastAsia="Arial" w:hAnsi="Arial"/>
                <w:sz w:val="11"/>
                <w:szCs w:val="11"/>
                <w:b w:val="1"/>
                <w:bCs w:val="1"/>
                <w:color w:val="auto"/>
                <w:w w:val="93"/>
              </w:rPr>
              <w:t>Treasury Stock</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6"/>
              </w:rPr>
              <w:t>Additional</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2"/>
              </w:rPr>
              <w:t>Accumulated</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3"/>
            <w:vMerge w:val="restart"/>
          </w:tcPr>
          <w:p>
            <w:pPr>
              <w:jc w:val="center"/>
              <w:ind w:right="320"/>
              <w:spacing w:after="0" w:line="106" w:lineRule="exact"/>
              <w:rPr>
                <w:sz w:val="20"/>
                <w:szCs w:val="20"/>
                <w:color w:val="auto"/>
              </w:rPr>
            </w:pPr>
            <w:r>
              <w:rPr>
                <w:rFonts w:ascii="Arial" w:cs="Arial" w:eastAsia="Arial" w:hAnsi="Arial"/>
                <w:sz w:val="11"/>
                <w:szCs w:val="11"/>
                <w:b w:val="1"/>
                <w:bCs w:val="1"/>
                <w:color w:val="auto"/>
                <w:w w:val="92"/>
              </w:rPr>
              <w:t>Paid-in</w:t>
            </w: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restart"/>
          </w:tcPr>
          <w:p>
            <w:pPr>
              <w:ind w:left="100"/>
              <w:spacing w:after="0" w:line="106" w:lineRule="exact"/>
              <w:rPr>
                <w:sz w:val="20"/>
                <w:szCs w:val="20"/>
                <w:color w:val="auto"/>
              </w:rPr>
            </w:pPr>
            <w:r>
              <w:rPr>
                <w:rFonts w:ascii="Arial" w:cs="Arial" w:eastAsia="Arial" w:hAnsi="Arial"/>
                <w:sz w:val="11"/>
                <w:szCs w:val="11"/>
                <w:b w:val="1"/>
                <w:bCs w:val="1"/>
                <w:color w:val="auto"/>
              </w:rPr>
              <w:t>Retained</w:t>
            </w: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gridSpan w:val="3"/>
            <w:vMerge w:val="restart"/>
          </w:tcPr>
          <w:p>
            <w:pPr>
              <w:jc w:val="center"/>
              <w:ind w:right="300"/>
              <w:spacing w:after="0" w:line="106" w:lineRule="exact"/>
              <w:rPr>
                <w:sz w:val="20"/>
                <w:szCs w:val="20"/>
                <w:color w:val="auto"/>
              </w:rPr>
            </w:pPr>
            <w:r>
              <w:rPr>
                <w:rFonts w:ascii="Arial" w:cs="Arial" w:eastAsia="Arial" w:hAnsi="Arial"/>
                <w:sz w:val="11"/>
                <w:szCs w:val="11"/>
                <w:b w:val="1"/>
                <w:bCs w:val="1"/>
                <w:color w:val="auto"/>
                <w:w w:val="92"/>
              </w:rPr>
              <w:t>Comprehensive</w:t>
            </w: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restart"/>
          </w:tcPr>
          <w:p>
            <w:pPr>
              <w:jc w:val="center"/>
              <w:ind w:right="280"/>
              <w:spacing w:after="0" w:line="106" w:lineRule="exact"/>
              <w:rPr>
                <w:sz w:val="20"/>
                <w:szCs w:val="20"/>
                <w:color w:val="auto"/>
              </w:rPr>
            </w:pPr>
            <w:r>
              <w:rPr>
                <w:rFonts w:ascii="Arial" w:cs="Arial" w:eastAsia="Arial" w:hAnsi="Arial"/>
                <w:sz w:val="11"/>
                <w:szCs w:val="11"/>
                <w:b w:val="1"/>
                <w:bCs w:val="1"/>
                <w:color w:val="auto"/>
                <w:w w:val="91"/>
              </w:rPr>
              <w:t>Stockholders'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8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8"/>
              </w:rPr>
              <w:t>Capital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Earnings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5"/>
              </w:rPr>
              <w:t>Loss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61"/>
        </w:trPr>
        <w:tc>
          <w:tcPr>
            <w:tcW w:w="2720" w:type="dxa"/>
            <w:vAlign w:val="bottom"/>
            <w:tcBorders>
              <w:top w:val="single" w:sz="8" w:color="CCEEFF"/>
            </w:tcBorders>
            <w:gridSpan w:val="2"/>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Balance, December 31, 2020</w:t>
            </w: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124</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center"/>
              <w:ind w:right="16"/>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124</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17</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center"/>
              <w:ind w:right="36"/>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3"/>
                <w:szCs w:val="13"/>
                <w:b w:val="1"/>
                <w:bCs w:val="1"/>
                <w:color w:val="auto"/>
                <w:w w:val="92"/>
              </w:rPr>
              <w:t>(397)</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452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1,206</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00"/>
              <w:spacing w:after="0"/>
              <w:rPr>
                <w:sz w:val="20"/>
                <w:szCs w:val="20"/>
                <w:color w:val="auto"/>
              </w:rPr>
            </w:pPr>
            <w:r>
              <w:rPr>
                <w:rFonts w:ascii="Arial" w:cs="Arial" w:eastAsia="Arial" w:hAnsi="Arial"/>
                <w:sz w:val="13"/>
                <w:szCs w:val="13"/>
                <w:color w:val="auto"/>
              </w:rPr>
              <w:t>Net income attributed to LP</w:t>
            </w:r>
          </w:p>
        </w:tc>
        <w:tc>
          <w:tcPr>
            <w:tcW w:w="7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left="838"/>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Dividends paid ($0.16 per share)</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center"/>
              <w:ind w:left="838"/>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00"/>
              <w:spacing w:after="0"/>
              <w:rPr>
                <w:sz w:val="20"/>
                <w:szCs w:val="20"/>
                <w:color w:val="auto"/>
              </w:rPr>
            </w:pPr>
            <w:r>
              <w:rPr>
                <w:rFonts w:ascii="Arial" w:cs="Arial" w:eastAsia="Arial" w:hAnsi="Arial"/>
                <w:sz w:val="13"/>
                <w:szCs w:val="13"/>
                <w:color w:val="auto"/>
              </w:rPr>
              <w:t>Issuance of shares under stock plans</w:t>
            </w:r>
          </w:p>
        </w:tc>
        <w:tc>
          <w:tcPr>
            <w:tcW w:w="7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left="838"/>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60"/>
              <w:spacing w:after="0" w:line="134" w:lineRule="exact"/>
              <w:rPr>
                <w:sz w:val="20"/>
                <w:szCs w:val="20"/>
                <w:color w:val="auto"/>
              </w:rPr>
            </w:pPr>
            <w:r>
              <w:rPr>
                <w:rFonts w:ascii="Arial" w:cs="Arial" w:eastAsia="Arial" w:hAnsi="Arial"/>
                <w:sz w:val="13"/>
                <w:szCs w:val="13"/>
                <w:color w:val="auto"/>
                <w:w w:val="91"/>
              </w:rPr>
              <w:t>Taxes paid related to net settlement of stock-based</w:t>
            </w:r>
          </w:p>
        </w:tc>
        <w:tc>
          <w:tcPr>
            <w:tcW w:w="7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gridSpan w:val="3"/>
            <w:vMerge w:val="restart"/>
            <w:shd w:val="clear" w:color="auto" w:fill="CCEEFF"/>
          </w:tcPr>
          <w:p>
            <w:pPr>
              <w:jc w:val="center"/>
              <w:ind w:left="838"/>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awards</w:t>
            </w:r>
          </w:p>
        </w:tc>
        <w:tc>
          <w:tcPr>
            <w:tcW w:w="7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00"/>
              <w:spacing w:after="0"/>
              <w:rPr>
                <w:sz w:val="20"/>
                <w:szCs w:val="20"/>
                <w:color w:val="auto"/>
              </w:rPr>
            </w:pPr>
            <w:r>
              <w:rPr>
                <w:rFonts w:ascii="Arial" w:cs="Arial" w:eastAsia="Arial" w:hAnsi="Arial"/>
                <w:sz w:val="13"/>
                <w:szCs w:val="13"/>
                <w:color w:val="auto"/>
              </w:rPr>
              <w:t>Purchase of stock</w:t>
            </w: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left="838"/>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w w:val="99"/>
              </w:rPr>
              <w:t>Compensation expense associated with stock-</w:t>
            </w:r>
          </w:p>
        </w:tc>
        <w:tc>
          <w:tcPr>
            <w:tcW w:w="7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gridSpan w:val="3"/>
            <w:vMerge w:val="restart"/>
            <w:shd w:val="clear" w:color="auto" w:fill="CCEEFF"/>
          </w:tcPr>
          <w:p>
            <w:pPr>
              <w:jc w:val="center"/>
              <w:ind w:left="838"/>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based compensation</w:t>
            </w:r>
          </w:p>
        </w:tc>
        <w:tc>
          <w:tcPr>
            <w:tcW w:w="7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00"/>
              <w:spacing w:after="0"/>
              <w:rPr>
                <w:sz w:val="20"/>
                <w:szCs w:val="20"/>
                <w:color w:val="auto"/>
              </w:rPr>
            </w:pPr>
            <w:r>
              <w:rPr>
                <w:rFonts w:ascii="Arial" w:cs="Arial" w:eastAsia="Arial" w:hAnsi="Arial"/>
                <w:sz w:val="13"/>
                <w:szCs w:val="13"/>
                <w:color w:val="auto"/>
              </w:rPr>
              <w:t>Other comprehensive loss</w:t>
            </w:r>
          </w:p>
        </w:tc>
        <w:tc>
          <w:tcPr>
            <w:tcW w:w="7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20" w:type="dxa"/>
            <w:vAlign w:val="bottom"/>
            <w:tcBorders>
              <w:top w:val="single" w:sz="8" w:color="CCEEFF"/>
              <w:bottom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March 31, 2021</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center"/>
              <w:ind w:right="16"/>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center"/>
              <w:ind w:right="36"/>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3"/>
                <w:szCs w:val="13"/>
                <w:b w:val="1"/>
                <w:bCs w:val="1"/>
                <w:color w:val="auto"/>
                <w:w w:val="92"/>
              </w:rPr>
              <w:t>(393)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443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1,390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8"/>
          </w:tcPr>
          <w:p>
            <w:pPr>
              <w:jc w:val="center"/>
              <w:ind w:right="40"/>
              <w:spacing w:after="0"/>
              <w:rPr>
                <w:sz w:val="20"/>
                <w:szCs w:val="20"/>
                <w:color w:val="auto"/>
              </w:rPr>
            </w:pPr>
            <w:r>
              <w:rPr>
                <w:rFonts w:ascii="Arial" w:cs="Arial" w:eastAsia="Arial" w:hAnsi="Arial"/>
                <w:sz w:val="11"/>
                <w:szCs w:val="11"/>
                <w:b w:val="1"/>
                <w:bCs w:val="1"/>
                <w:color w:val="auto"/>
                <w:w w:val="91"/>
              </w:rPr>
              <w:t>Common Stock</w:t>
            </w:r>
          </w:p>
        </w:tc>
        <w:tc>
          <w:tcPr>
            <w:tcW w:w="60" w:type="dxa"/>
            <w:vAlign w:val="bottom"/>
          </w:tcPr>
          <w:p>
            <w:pPr>
              <w:spacing w:after="0"/>
              <w:rPr>
                <w:sz w:val="24"/>
                <w:szCs w:val="24"/>
                <w:color w:val="auto"/>
              </w:rPr>
            </w:pPr>
          </w:p>
        </w:tc>
        <w:tc>
          <w:tcPr>
            <w:tcW w:w="1620" w:type="dxa"/>
            <w:vAlign w:val="bottom"/>
            <w:gridSpan w:val="8"/>
          </w:tcPr>
          <w:p>
            <w:pPr>
              <w:ind w:left="44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6"/>
              </w:rPr>
              <w:t>Additional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2"/>
              </w:rPr>
              <w:t>Accumulated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3"/>
            <w:vMerge w:val="restart"/>
          </w:tcPr>
          <w:p>
            <w:pPr>
              <w:jc w:val="center"/>
              <w:ind w:right="220"/>
              <w:spacing w:after="0" w:line="106" w:lineRule="exact"/>
              <w:rPr>
                <w:sz w:val="20"/>
                <w:szCs w:val="20"/>
                <w:color w:val="auto"/>
              </w:rPr>
            </w:pPr>
            <w:r>
              <w:rPr>
                <w:rFonts w:ascii="Arial" w:cs="Arial" w:eastAsia="Arial" w:hAnsi="Arial"/>
                <w:sz w:val="11"/>
                <w:szCs w:val="11"/>
                <w:b w:val="1"/>
                <w:bCs w:val="1"/>
                <w:color w:val="auto"/>
                <w:w w:val="98"/>
              </w:rPr>
              <w:t>Paid-in</w:t>
            </w: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restart"/>
          </w:tcPr>
          <w:p>
            <w:pPr>
              <w:ind w:left="140"/>
              <w:spacing w:after="0" w:line="106" w:lineRule="exact"/>
              <w:rPr>
                <w:sz w:val="20"/>
                <w:szCs w:val="20"/>
                <w:color w:val="auto"/>
              </w:rPr>
            </w:pPr>
            <w:r>
              <w:rPr>
                <w:rFonts w:ascii="Arial" w:cs="Arial" w:eastAsia="Arial" w:hAnsi="Arial"/>
                <w:sz w:val="11"/>
                <w:szCs w:val="11"/>
                <w:b w:val="1"/>
                <w:bCs w:val="1"/>
                <w:color w:val="auto"/>
              </w:rPr>
              <w:t>Retained</w:t>
            </w: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gridSpan w:val="3"/>
            <w:vMerge w:val="restart"/>
          </w:tcPr>
          <w:p>
            <w:pPr>
              <w:jc w:val="center"/>
              <w:ind w:right="220"/>
              <w:spacing w:after="0" w:line="106" w:lineRule="exact"/>
              <w:rPr>
                <w:sz w:val="20"/>
                <w:szCs w:val="20"/>
                <w:color w:val="auto"/>
              </w:rPr>
            </w:pPr>
            <w:r>
              <w:rPr>
                <w:rFonts w:ascii="Arial" w:cs="Arial" w:eastAsia="Arial" w:hAnsi="Arial"/>
                <w:sz w:val="11"/>
                <w:szCs w:val="11"/>
                <w:b w:val="1"/>
                <w:bCs w:val="1"/>
                <w:color w:val="auto"/>
                <w:w w:val="92"/>
              </w:rPr>
              <w:t>Comprehensive</w:t>
            </w: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restart"/>
          </w:tcPr>
          <w:p>
            <w:pPr>
              <w:jc w:val="center"/>
              <w:ind w:right="160"/>
              <w:spacing w:after="0" w:line="106" w:lineRule="exact"/>
              <w:rPr>
                <w:sz w:val="20"/>
                <w:szCs w:val="20"/>
                <w:color w:val="auto"/>
              </w:rPr>
            </w:pPr>
            <w:r>
              <w:rPr>
                <w:rFonts w:ascii="Arial" w:cs="Arial" w:eastAsia="Arial" w:hAnsi="Arial"/>
                <w:sz w:val="11"/>
                <w:szCs w:val="11"/>
                <w:b w:val="1"/>
                <w:bCs w:val="1"/>
                <w:color w:val="auto"/>
                <w:w w:val="91"/>
              </w:rPr>
              <w:t>Stockholders'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3"/>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8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140"/>
              <w:spacing w:after="0"/>
              <w:rPr>
                <w:sz w:val="20"/>
                <w:szCs w:val="20"/>
                <w:color w:val="auto"/>
              </w:rPr>
            </w:pPr>
            <w:r>
              <w:rPr>
                <w:rFonts w:ascii="Arial" w:cs="Arial" w:eastAsia="Arial" w:hAnsi="Arial"/>
                <w:sz w:val="11"/>
                <w:szCs w:val="11"/>
                <w:b w:val="1"/>
                <w:bCs w:val="1"/>
                <w:color w:val="auto"/>
              </w:rPr>
              <w:t>Earnings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5"/>
              </w:rPr>
              <w:t>Loss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80" w:type="dxa"/>
            <w:vAlign w:val="bottom"/>
            <w:tcBorders>
              <w:top w:val="single" w:sz="8" w:color="CCEEFF"/>
            </w:tcBorders>
            <w:gridSpan w:val="2"/>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Balance, December 31, 2019</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130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130</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18</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(406)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454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966</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top w:val="single" w:sz="8" w:color="auto"/>
            </w:tcBorders>
            <w:gridSpan w:val="2"/>
            <w:shd w:val="clear" w:color="auto" w:fill="CCEEFF"/>
          </w:tcPr>
          <w:p>
            <w:pPr>
              <w:jc w:val="center"/>
              <w:ind w:left="878"/>
              <w:spacing w:after="0"/>
              <w:rPr>
                <w:sz w:val="20"/>
                <w:szCs w:val="20"/>
                <w:color w:val="auto"/>
              </w:rPr>
            </w:pPr>
            <w:r>
              <w:rPr>
                <w:rFonts w:ascii="Arial" w:cs="Arial" w:eastAsia="Arial" w:hAnsi="Arial"/>
                <w:sz w:val="13"/>
                <w:szCs w:val="13"/>
                <w:b w:val="1"/>
                <w:bCs w:val="1"/>
                <w:color w:val="auto"/>
                <w:w w:val="92"/>
              </w:rPr>
              <w:t>(153)</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991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20"/>
              <w:spacing w:after="0"/>
              <w:rPr>
                <w:sz w:val="20"/>
                <w:szCs w:val="20"/>
                <w:color w:val="auto"/>
              </w:rPr>
            </w:pPr>
            <w:r>
              <w:rPr>
                <w:rFonts w:ascii="Arial" w:cs="Arial" w:eastAsia="Arial" w:hAnsi="Arial"/>
                <w:sz w:val="13"/>
                <w:szCs w:val="13"/>
                <w:color w:val="auto"/>
              </w:rPr>
              <w:t>Net income attributed to LP</w:t>
            </w:r>
          </w:p>
        </w:tc>
        <w:tc>
          <w:tcPr>
            <w:tcW w:w="7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ind w:left="10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Dividends paid ($0.145 per share)</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20"/>
              <w:spacing w:after="0"/>
              <w:rPr>
                <w:sz w:val="20"/>
                <w:szCs w:val="20"/>
                <w:color w:val="auto"/>
              </w:rPr>
            </w:pPr>
            <w:r>
              <w:rPr>
                <w:rFonts w:ascii="Arial" w:cs="Arial" w:eastAsia="Arial" w:hAnsi="Arial"/>
                <w:sz w:val="13"/>
                <w:szCs w:val="13"/>
                <w:color w:val="auto"/>
              </w:rPr>
              <w:t>Issuance of shares under stock plans</w:t>
            </w:r>
          </w:p>
        </w:tc>
        <w:tc>
          <w:tcPr>
            <w:tcW w:w="7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ind w:left="10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80" w:type="dxa"/>
            <w:vAlign w:val="bottom"/>
            <w:gridSpan w:val="2"/>
            <w:shd w:val="clear" w:color="auto" w:fill="CCEEFF"/>
          </w:tcPr>
          <w:p>
            <w:pPr>
              <w:ind w:left="80"/>
              <w:spacing w:after="0" w:line="134" w:lineRule="exact"/>
              <w:rPr>
                <w:sz w:val="20"/>
                <w:szCs w:val="20"/>
                <w:color w:val="auto"/>
              </w:rPr>
            </w:pPr>
            <w:r>
              <w:rPr>
                <w:rFonts w:ascii="Arial" w:cs="Arial" w:eastAsia="Arial" w:hAnsi="Arial"/>
                <w:sz w:val="13"/>
                <w:szCs w:val="13"/>
                <w:color w:val="auto"/>
                <w:w w:val="90"/>
              </w:rPr>
              <w:t>Taxes paid related to net settlement of stock-based</w:t>
            </w:r>
          </w:p>
        </w:tc>
        <w:tc>
          <w:tcPr>
            <w:tcW w:w="7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gridSpan w:val="3"/>
            <w:vMerge w:val="restart"/>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awards</w:t>
            </w:r>
          </w:p>
        </w:tc>
        <w:tc>
          <w:tcPr>
            <w:tcW w:w="7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80" w:type="dxa"/>
            <w:vAlign w:val="bottom"/>
            <w:gridSpan w:val="2"/>
          </w:tcPr>
          <w:p>
            <w:pPr>
              <w:ind w:left="120"/>
              <w:spacing w:after="0" w:line="131" w:lineRule="exact"/>
              <w:rPr>
                <w:sz w:val="20"/>
                <w:szCs w:val="20"/>
                <w:color w:val="auto"/>
              </w:rPr>
            </w:pPr>
            <w:r>
              <w:rPr>
                <w:rFonts w:ascii="Arial" w:cs="Arial" w:eastAsia="Arial" w:hAnsi="Arial"/>
                <w:sz w:val="13"/>
                <w:szCs w:val="13"/>
                <w:color w:val="auto"/>
                <w:w w:val="87"/>
              </w:rPr>
              <w:t>Compensation expense associated with stock-based</w:t>
            </w: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8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3"/>
            <w:vMerge w:val="restart"/>
          </w:tcPr>
          <w:p>
            <w:pPr>
              <w:ind w:left="10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gridSpan w:val="2"/>
          </w:tcPr>
          <w:p>
            <w:pPr>
              <w:ind w:left="120"/>
              <w:spacing w:after="0"/>
              <w:rPr>
                <w:sz w:val="20"/>
                <w:szCs w:val="20"/>
                <w:color w:val="auto"/>
              </w:rPr>
            </w:pPr>
            <w:r>
              <w:rPr>
                <w:rFonts w:ascii="Arial" w:cs="Arial" w:eastAsia="Arial" w:hAnsi="Arial"/>
                <w:sz w:val="13"/>
                <w:szCs w:val="13"/>
                <w:color w:val="auto"/>
              </w:rPr>
              <w:t>compensation</w:t>
            </w: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80" w:type="dxa"/>
            <w:vAlign w:val="bottom"/>
            <w:gridSpan w:val="2"/>
          </w:tcPr>
          <w:p>
            <w:pPr>
              <w:ind w:left="20"/>
              <w:spacing w:after="0" w:line="146" w:lineRule="exact"/>
              <w:rPr>
                <w:sz w:val="20"/>
                <w:szCs w:val="20"/>
                <w:color w:val="auto"/>
              </w:rPr>
            </w:pPr>
            <w:r>
              <w:rPr>
                <w:rFonts w:ascii="Arial" w:cs="Arial" w:eastAsia="Arial" w:hAnsi="Arial"/>
                <w:sz w:val="13"/>
                <w:szCs w:val="13"/>
                <w:b w:val="1"/>
                <w:bCs w:val="1"/>
                <w:color w:val="auto"/>
              </w:rPr>
              <w:t>Balance, March 31, 2020</w:t>
            </w: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130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130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18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(402)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448</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983</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top w:val="single" w:sz="8" w:color="auto"/>
              <w:bottom w:val="single" w:sz="8" w:color="auto"/>
            </w:tcBorders>
            <w:gridSpan w:val="2"/>
          </w:tcPr>
          <w:p>
            <w:pPr>
              <w:jc w:val="center"/>
              <w:ind w:left="878"/>
              <w:spacing w:after="0"/>
              <w:rPr>
                <w:sz w:val="20"/>
                <w:szCs w:val="20"/>
                <w:color w:val="auto"/>
              </w:rPr>
            </w:pPr>
            <w:r>
              <w:rPr>
                <w:rFonts w:ascii="Arial" w:cs="Arial" w:eastAsia="Arial" w:hAnsi="Arial"/>
                <w:sz w:val="13"/>
                <w:szCs w:val="13"/>
                <w:b w:val="1"/>
                <w:bCs w:val="1"/>
                <w:color w:val="auto"/>
                <w:w w:val="92"/>
              </w:rPr>
              <w:t>(175)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NATURE OF OPERATIONS AND BASIS FOR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Nature of Operations</w:t>
      </w:r>
    </w:p>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Louisiana-Pacific Corporation and our subsidiaries is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In addition to our U.S. operations, the Company also maintains manufacturing facilities in Canada, Chile, and Brazil through foreign subsidiaries, and operates facilities through joint ventures. The principal customers for our building solutions are retailers, wholesalers, and homebuilding and industrial businesses in North America and South America, with limited sales to Asia, Australia, and Europe. References to "LP," "the Company," "we," "our," and "us" refer to Louisiana-Pacific Corporation and its consolidated subsidiaries as a whole.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Presentation</w:t>
      </w:r>
    </w:p>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In the opinion of management, all adjustments considered necessary for a fair presentation have been included and are of a normal and recurring nature. These Condensed Consolidated Financial Statements and Notes hereto should be read in conjunction with our Annual Report on Form 10-K for the fiscal year ended December 31, 2020, filed with the SEC on February 18, 2021 (2020 Annual Report on Form 10-K). Results of operations for interim periods are not necessarily indicative of results to be expected for an entire year. All dollar amounts are shown in millions except per share.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Policies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December 2019, the FASB issued ASU No. 2019-12, Simplifying the Accounting for Income Taxes (Topic 740). This ASU simplifies the accounting for income taxes by, among other things, eliminating certain existing exceptions related to the general approach in ASC 740 relating to franchise taxes, reducing complexity in the interim-period accounting for year-to-date loss limitations and changes in tax laws, and clarifying the accounting for transactions outside of business combination that result in a step-up in the tax basis of goodwill. The Company adopted ASU 2019-12 effective as of January 1, 2021. There was no impact on our Condensed Consolidated Financial Statements upon adoption.</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REVENUE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following table presents our reportable segment revenues, disaggregated by revenue source. We disaggregate revenue from contracts with customers into major product lines. We have determined that disaggregating revenue into these categories achieves the disclosure objective to depict how the nature, amount, timing, and uncertainty of revenue and cash flows are affected by economic factors.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As noted in the segment reporting information in Note 18 below, our reportable segments are Siding, Oriented Strand Board (OSB), Engineered Wood Products (EWP), and South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80" w:type="dxa"/>
            <w:vAlign w:val="bottom"/>
            <w:gridSpan w:val="9"/>
          </w:tcPr>
          <w:p>
            <w:pPr>
              <w:spacing w:after="0"/>
              <w:rPr>
                <w:sz w:val="20"/>
                <w:szCs w:val="20"/>
                <w:color w:val="auto"/>
              </w:rPr>
            </w:pPr>
            <w:r>
              <w:rPr>
                <w:rFonts w:ascii="Arial" w:cs="Arial" w:eastAsia="Arial" w:hAnsi="Arial"/>
                <w:sz w:val="13"/>
                <w:szCs w:val="13"/>
                <w:b w:val="1"/>
                <w:bCs w:val="1"/>
                <w:color w:val="auto"/>
              </w:rPr>
              <w:t>Three Months Ended March 31, 2021</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2740" w:type="dxa"/>
            <w:vAlign w:val="bottom"/>
            <w:gridSpan w:val="4"/>
          </w:tcPr>
          <w:p>
            <w:pPr>
              <w:spacing w:after="0"/>
              <w:rPr>
                <w:sz w:val="20"/>
                <w:szCs w:val="20"/>
                <w:color w:val="auto"/>
              </w:rPr>
            </w:pPr>
            <w:r>
              <w:rPr>
                <w:rFonts w:ascii="Arial" w:cs="Arial" w:eastAsia="Arial" w:hAnsi="Arial"/>
                <w:sz w:val="13"/>
                <w:szCs w:val="13"/>
                <w:b w:val="1"/>
                <w:bCs w:val="1"/>
                <w:color w:val="auto"/>
              </w:rPr>
              <w:t>By product type and family:</w:t>
            </w:r>
          </w:p>
        </w:tc>
        <w:tc>
          <w:tcPr>
            <w:tcW w:w="22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3"/>
                <w:szCs w:val="13"/>
                <w:b w:val="1"/>
                <w:bCs w:val="1"/>
                <w:color w:val="auto"/>
              </w:rPr>
              <w:t>Siding</w:t>
            </w:r>
          </w:p>
        </w:tc>
        <w:tc>
          <w:tcPr>
            <w:tcW w:w="240" w:type="dxa"/>
            <w:vAlign w:val="bottom"/>
          </w:tcPr>
          <w:p>
            <w:pPr>
              <w:spacing w:after="0"/>
              <w:rPr>
                <w:sz w:val="15"/>
                <w:szCs w:val="15"/>
                <w:color w:val="auto"/>
              </w:rPr>
            </w:pPr>
          </w:p>
        </w:tc>
        <w:tc>
          <w:tcPr>
            <w:tcW w:w="980" w:type="dxa"/>
            <w:vAlign w:val="bottom"/>
            <w:gridSpan w:val="3"/>
          </w:tcPr>
          <w:p>
            <w:pPr>
              <w:ind w:left="180"/>
              <w:spacing w:after="0"/>
              <w:rPr>
                <w:sz w:val="20"/>
                <w:szCs w:val="20"/>
                <w:color w:val="auto"/>
              </w:rPr>
            </w:pPr>
            <w:r>
              <w:rPr>
                <w:rFonts w:ascii="Arial" w:cs="Arial" w:eastAsia="Arial" w:hAnsi="Arial"/>
                <w:sz w:val="13"/>
                <w:szCs w:val="13"/>
                <w:b w:val="1"/>
                <w:bCs w:val="1"/>
                <w:color w:val="auto"/>
              </w:rPr>
              <w:t>OSB</w:t>
            </w:r>
          </w:p>
        </w:tc>
        <w:tc>
          <w:tcPr>
            <w:tcW w:w="24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EWP</w:t>
            </w:r>
          </w:p>
        </w:tc>
        <w:tc>
          <w:tcPr>
            <w:tcW w:w="10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Arial" w:cs="Arial" w:eastAsia="Arial" w:hAnsi="Arial"/>
                <w:sz w:val="13"/>
                <w:szCs w:val="13"/>
                <w:b w:val="1"/>
                <w:bCs w:val="1"/>
                <w:color w:val="auto"/>
              </w:rPr>
              <w:t>South America</w:t>
            </w: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Inter-segment</w:t>
            </w:r>
          </w:p>
        </w:tc>
        <w:tc>
          <w:tcPr>
            <w:tcW w:w="24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Arial" w:cs="Arial" w:eastAsia="Arial" w:hAnsi="Arial"/>
                <w:sz w:val="13"/>
                <w:szCs w:val="13"/>
                <w:b w:val="1"/>
                <w:bCs w:val="1"/>
                <w:color w:val="auto"/>
              </w:rPr>
              <w:t>Total</w:t>
            </w:r>
          </w:p>
        </w:tc>
      </w:tr>
      <w:tr>
        <w:trPr>
          <w:trHeight w:val="132"/>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auto"/>
            </w:tcBorders>
            <w:gridSpan w:val="2"/>
            <w:shd w:val="clear" w:color="auto" w:fill="CCEEFF"/>
          </w:tcPr>
          <w:p>
            <w:pPr>
              <w:spacing w:after="0" w:line="120" w:lineRule="exact"/>
              <w:rPr>
                <w:sz w:val="20"/>
                <w:szCs w:val="20"/>
                <w:color w:val="auto"/>
              </w:rPr>
            </w:pPr>
            <w:r>
              <w:rPr>
                <w:rFonts w:ascii="Arial" w:cs="Arial" w:eastAsia="Arial" w:hAnsi="Arial"/>
                <w:sz w:val="13"/>
                <w:szCs w:val="13"/>
                <w:color w:val="auto"/>
                <w:w w:val="84"/>
              </w:rPr>
              <w:t>Value-add</w:t>
            </w:r>
          </w:p>
        </w:tc>
        <w:tc>
          <w:tcPr>
            <w:tcW w:w="22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2740" w:type="dxa"/>
            <w:vAlign w:val="bottom"/>
            <w:gridSpan w:val="4"/>
          </w:tcPr>
          <w:p>
            <w:pPr>
              <w:ind w:left="100"/>
              <w:spacing w:after="0" w:line="170" w:lineRule="exact"/>
              <w:rPr>
                <w:sz w:val="20"/>
                <w:szCs w:val="20"/>
                <w:color w:val="auto"/>
              </w:rPr>
            </w:pPr>
            <w:r>
              <w:rPr>
                <w:rFonts w:ascii="Arial" w:cs="Arial" w:eastAsia="Arial" w:hAnsi="Arial"/>
                <w:sz w:val="13"/>
                <w:szCs w:val="13"/>
                <w:color w:val="auto"/>
              </w:rPr>
              <w:t>SmartSide</w:t>
            </w:r>
            <w:r>
              <w:rPr>
                <w:rFonts w:ascii="Arial" w:cs="Arial" w:eastAsia="Arial" w:hAnsi="Arial"/>
                <w:sz w:val="16"/>
                <w:szCs w:val="16"/>
                <w:color w:val="auto"/>
                <w:vertAlign w:val="superscript"/>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283</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3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293</w:t>
            </w:r>
          </w:p>
        </w:tc>
      </w:tr>
      <w:tr>
        <w:trPr>
          <w:trHeight w:val="170"/>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OSB - Structural Solutions</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3"/>
                <w:szCs w:val="13"/>
                <w:color w:val="auto"/>
              </w:rPr>
              <w:t>I-Joist</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LVL</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68"/>
        </w:trPr>
        <w:tc>
          <w:tcPr>
            <w:tcW w:w="2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gridSpan w:val="4"/>
          </w:tcPr>
          <w:p>
            <w:pPr>
              <w:ind w:left="100"/>
              <w:spacing w:after="0"/>
              <w:rPr>
                <w:sz w:val="20"/>
                <w:szCs w:val="20"/>
                <w:color w:val="auto"/>
              </w:rPr>
            </w:pPr>
            <w:r>
              <w:rPr>
                <w:rFonts w:ascii="Arial" w:cs="Arial" w:eastAsia="Arial" w:hAnsi="Arial"/>
                <w:sz w:val="13"/>
                <w:szCs w:val="13"/>
                <w:color w:val="auto"/>
              </w:rPr>
              <w:t>LSL</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163"/>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w:t>
            </w:r>
          </w:p>
        </w:tc>
      </w:tr>
      <w:tr>
        <w:trPr>
          <w:trHeight w:val="138"/>
        </w:trPr>
        <w:tc>
          <w:tcPr>
            <w:tcW w:w="20" w:type="dxa"/>
            <w:vAlign w:val="bottom"/>
          </w:tcPr>
          <w:p>
            <w:pPr>
              <w:spacing w:after="0"/>
              <w:rPr>
                <w:sz w:val="11"/>
                <w:szCs w:val="11"/>
                <w:color w:val="auto"/>
              </w:rPr>
            </w:pPr>
          </w:p>
        </w:tc>
        <w:tc>
          <w:tcPr>
            <w:tcW w:w="2740" w:type="dxa"/>
            <w:vAlign w:val="bottom"/>
            <w:gridSpan w:val="4"/>
          </w:tcPr>
          <w:p>
            <w:pPr>
              <w:spacing w:after="0" w:line="138" w:lineRule="exact"/>
              <w:rPr>
                <w:sz w:val="20"/>
                <w:szCs w:val="20"/>
                <w:color w:val="auto"/>
              </w:rPr>
            </w:pPr>
            <w:r>
              <w:rPr>
                <w:rFonts w:ascii="Arial" w:cs="Arial" w:eastAsia="Arial" w:hAnsi="Arial"/>
                <w:sz w:val="13"/>
                <w:szCs w:val="13"/>
                <w:color w:val="auto"/>
              </w:rPr>
              <w:t>Commodity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OSB - commodity</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r>
      <w:tr>
        <w:trPr>
          <w:trHeight w:val="168"/>
        </w:trPr>
        <w:tc>
          <w:tcPr>
            <w:tcW w:w="2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gridSpan w:val="4"/>
          </w:tcPr>
          <w:p>
            <w:pPr>
              <w:ind w:left="100"/>
              <w:spacing w:after="0"/>
              <w:rPr>
                <w:sz w:val="20"/>
                <w:szCs w:val="20"/>
                <w:color w:val="auto"/>
              </w:rPr>
            </w:pPr>
            <w:r>
              <w:rPr>
                <w:rFonts w:ascii="Arial" w:cs="Arial" w:eastAsia="Arial" w:hAnsi="Arial"/>
                <w:sz w:val="13"/>
                <w:szCs w:val="13"/>
                <w:color w:val="auto"/>
              </w:rPr>
              <w:t>Plywood</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163"/>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r>
      <w:tr>
        <w:trPr>
          <w:trHeight w:val="118"/>
        </w:trPr>
        <w:tc>
          <w:tcPr>
            <w:tcW w:w="20" w:type="dxa"/>
            <w:vAlign w:val="bottom"/>
          </w:tcPr>
          <w:p>
            <w:pPr>
              <w:spacing w:after="0"/>
              <w:rPr>
                <w:sz w:val="10"/>
                <w:szCs w:val="10"/>
                <w:color w:val="auto"/>
              </w:rPr>
            </w:pPr>
          </w:p>
        </w:tc>
        <w:tc>
          <w:tcPr>
            <w:tcW w:w="2740" w:type="dxa"/>
            <w:vAlign w:val="bottom"/>
            <w:gridSpan w:val="4"/>
          </w:tcPr>
          <w:p>
            <w:pPr>
              <w:spacing w:after="0" w:line="118" w:lineRule="exact"/>
              <w:rPr>
                <w:sz w:val="20"/>
                <w:szCs w:val="20"/>
                <w:color w:val="auto"/>
              </w:rPr>
            </w:pPr>
            <w:r>
              <w:rPr>
                <w:rFonts w:ascii="Arial" w:cs="Arial" w:eastAsia="Arial" w:hAnsi="Arial"/>
                <w:sz w:val="13"/>
                <w:szCs w:val="13"/>
                <w:color w:val="auto"/>
              </w:rPr>
              <w:t>Other</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3"/>
        </w:trPr>
        <w:tc>
          <w:tcPr>
            <w:tcW w:w="20" w:type="dxa"/>
            <w:vAlign w:val="bottom"/>
            <w:shd w:val="clear" w:color="auto" w:fill="CCEEFF"/>
          </w:tcPr>
          <w:p>
            <w:pPr>
              <w:spacing w:after="0"/>
              <w:rPr>
                <w:sz w:val="15"/>
                <w:szCs w:val="15"/>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Other products</w:t>
            </w: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285</w:t>
            </w:r>
          </w:p>
        </w:tc>
        <w:tc>
          <w:tcPr>
            <w:tcW w:w="14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539</w:t>
            </w:r>
          </w:p>
        </w:tc>
        <w:tc>
          <w:tcPr>
            <w:tcW w:w="14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123</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53</w:t>
            </w:r>
          </w:p>
        </w:tc>
        <w:tc>
          <w:tcPr>
            <w:tcW w:w="14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Pr>
          <w:p>
            <w:pPr>
              <w:ind w:left="680"/>
              <w:spacing w:after="0"/>
              <w:rPr>
                <w:sz w:val="20"/>
                <w:szCs w:val="20"/>
                <w:color w:val="auto"/>
              </w:rPr>
            </w:pPr>
            <w:r>
              <w:rPr>
                <w:rFonts w:ascii="Arial" w:cs="Arial" w:eastAsia="Arial" w:hAnsi="Arial"/>
                <w:sz w:val="13"/>
                <w:szCs w:val="13"/>
                <w:color w:val="auto"/>
              </w:rPr>
              <w:t>18</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1,017</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80" w:type="dxa"/>
            <w:vAlign w:val="bottom"/>
            <w:gridSpan w:val="9"/>
          </w:tcPr>
          <w:p>
            <w:pPr>
              <w:spacing w:after="0"/>
              <w:rPr>
                <w:sz w:val="20"/>
                <w:szCs w:val="20"/>
                <w:color w:val="auto"/>
              </w:rPr>
            </w:pPr>
            <w:r>
              <w:rPr>
                <w:rFonts w:ascii="Arial" w:cs="Arial" w:eastAsia="Arial" w:hAnsi="Arial"/>
                <w:sz w:val="13"/>
                <w:szCs w:val="13"/>
                <w:b w:val="1"/>
                <w:bCs w:val="1"/>
                <w:color w:val="auto"/>
              </w:rPr>
              <w:t>Three Months Ended March 31, 2020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2740" w:type="dxa"/>
            <w:vAlign w:val="bottom"/>
            <w:gridSpan w:val="4"/>
          </w:tcPr>
          <w:p>
            <w:pPr>
              <w:spacing w:after="0"/>
              <w:rPr>
                <w:sz w:val="20"/>
                <w:szCs w:val="20"/>
                <w:color w:val="auto"/>
              </w:rPr>
            </w:pPr>
            <w:r>
              <w:rPr>
                <w:rFonts w:ascii="Arial" w:cs="Arial" w:eastAsia="Arial" w:hAnsi="Arial"/>
                <w:sz w:val="13"/>
                <w:szCs w:val="13"/>
                <w:b w:val="1"/>
                <w:bCs w:val="1"/>
                <w:color w:val="auto"/>
              </w:rPr>
              <w:t>By product type and family:</w:t>
            </w:r>
          </w:p>
        </w:tc>
        <w:tc>
          <w:tcPr>
            <w:tcW w:w="22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3"/>
                <w:szCs w:val="13"/>
                <w:b w:val="1"/>
                <w:bCs w:val="1"/>
                <w:color w:val="auto"/>
              </w:rPr>
              <w:t>Siding</w:t>
            </w:r>
          </w:p>
        </w:tc>
        <w:tc>
          <w:tcPr>
            <w:tcW w:w="240" w:type="dxa"/>
            <w:vAlign w:val="bottom"/>
          </w:tcPr>
          <w:p>
            <w:pPr>
              <w:spacing w:after="0"/>
              <w:rPr>
                <w:sz w:val="15"/>
                <w:szCs w:val="15"/>
                <w:color w:val="auto"/>
              </w:rPr>
            </w:pPr>
          </w:p>
        </w:tc>
        <w:tc>
          <w:tcPr>
            <w:tcW w:w="980" w:type="dxa"/>
            <w:vAlign w:val="bottom"/>
            <w:gridSpan w:val="3"/>
          </w:tcPr>
          <w:p>
            <w:pPr>
              <w:ind w:left="180"/>
              <w:spacing w:after="0"/>
              <w:rPr>
                <w:sz w:val="20"/>
                <w:szCs w:val="20"/>
                <w:color w:val="auto"/>
              </w:rPr>
            </w:pPr>
            <w:r>
              <w:rPr>
                <w:rFonts w:ascii="Arial" w:cs="Arial" w:eastAsia="Arial" w:hAnsi="Arial"/>
                <w:sz w:val="13"/>
                <w:szCs w:val="13"/>
                <w:b w:val="1"/>
                <w:bCs w:val="1"/>
                <w:color w:val="auto"/>
              </w:rPr>
              <w:t>OSB</w:t>
            </w:r>
          </w:p>
        </w:tc>
        <w:tc>
          <w:tcPr>
            <w:tcW w:w="24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EWP</w:t>
            </w:r>
          </w:p>
        </w:tc>
        <w:tc>
          <w:tcPr>
            <w:tcW w:w="10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Arial" w:cs="Arial" w:eastAsia="Arial" w:hAnsi="Arial"/>
                <w:sz w:val="13"/>
                <w:szCs w:val="13"/>
                <w:b w:val="1"/>
                <w:bCs w:val="1"/>
                <w:color w:val="auto"/>
              </w:rPr>
              <w:t>South America</w:t>
            </w: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Inter-segment</w:t>
            </w:r>
          </w:p>
        </w:tc>
        <w:tc>
          <w:tcPr>
            <w:tcW w:w="24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Arial" w:cs="Arial" w:eastAsia="Arial" w:hAnsi="Arial"/>
                <w:sz w:val="13"/>
                <w:szCs w:val="13"/>
                <w:b w:val="1"/>
                <w:bCs w:val="1"/>
                <w:color w:val="auto"/>
              </w:rPr>
              <w:t>Total</w:t>
            </w:r>
          </w:p>
        </w:tc>
      </w:tr>
      <w:tr>
        <w:trPr>
          <w:trHeight w:val="132"/>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auto"/>
            </w:tcBorders>
            <w:gridSpan w:val="2"/>
            <w:shd w:val="clear" w:color="auto" w:fill="CCEEFF"/>
          </w:tcPr>
          <w:p>
            <w:pPr>
              <w:spacing w:after="0" w:line="120" w:lineRule="exact"/>
              <w:rPr>
                <w:sz w:val="20"/>
                <w:szCs w:val="20"/>
                <w:color w:val="auto"/>
              </w:rPr>
            </w:pPr>
            <w:r>
              <w:rPr>
                <w:rFonts w:ascii="Arial" w:cs="Arial" w:eastAsia="Arial" w:hAnsi="Arial"/>
                <w:sz w:val="13"/>
                <w:szCs w:val="13"/>
                <w:color w:val="auto"/>
                <w:w w:val="84"/>
              </w:rPr>
              <w:t>Value-add</w:t>
            </w:r>
          </w:p>
        </w:tc>
        <w:tc>
          <w:tcPr>
            <w:tcW w:w="22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3"/>
                <w:szCs w:val="13"/>
                <w:color w:val="auto"/>
              </w:rPr>
              <w:t>SmartSide</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191</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3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194</w:t>
            </w: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Fiber siding</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3"/>
                <w:szCs w:val="13"/>
                <w:color w:val="auto"/>
              </w:rPr>
              <w:t>OSB - Structural Solutions</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136</w:t>
            </w: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I-Joist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3"/>
                <w:szCs w:val="13"/>
                <w:color w:val="auto"/>
              </w:rPr>
              <w:t>LVL</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70"/>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LSL</w:t>
            </w: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434</w:t>
            </w:r>
          </w:p>
        </w:tc>
      </w:tr>
      <w:tr>
        <w:trPr>
          <w:trHeight w:val="140"/>
        </w:trPr>
        <w:tc>
          <w:tcPr>
            <w:tcW w:w="20" w:type="dxa"/>
            <w:vAlign w:val="bottom"/>
            <w:shd w:val="clear" w:color="auto" w:fill="CCEEFF"/>
          </w:tcPr>
          <w:p>
            <w:pPr>
              <w:spacing w:after="0"/>
              <w:rPr>
                <w:sz w:val="12"/>
                <w:szCs w:val="12"/>
                <w:color w:val="auto"/>
              </w:rPr>
            </w:pPr>
          </w:p>
        </w:tc>
        <w:tc>
          <w:tcPr>
            <w:tcW w:w="2740" w:type="dxa"/>
            <w:vAlign w:val="bottom"/>
            <w:gridSpan w:val="4"/>
            <w:shd w:val="clear" w:color="auto" w:fill="CCEEFF"/>
          </w:tcPr>
          <w:p>
            <w:pPr>
              <w:spacing w:after="0" w:line="140" w:lineRule="exact"/>
              <w:rPr>
                <w:sz w:val="20"/>
                <w:szCs w:val="20"/>
                <w:color w:val="auto"/>
              </w:rPr>
            </w:pPr>
            <w:r>
              <w:rPr>
                <w:rFonts w:ascii="Arial" w:cs="Arial" w:eastAsia="Arial" w:hAnsi="Arial"/>
                <w:sz w:val="13"/>
                <w:szCs w:val="13"/>
                <w:color w:val="auto"/>
              </w:rPr>
              <w:t>Commodity</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32"/>
        </w:trPr>
        <w:tc>
          <w:tcPr>
            <w:tcW w:w="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3"/>
                <w:szCs w:val="13"/>
                <w:color w:val="auto"/>
              </w:rPr>
              <w:t>OSB - commodity</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170"/>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Plywood</w:t>
            </w: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w:t>
            </w: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138"/>
        </w:trPr>
        <w:tc>
          <w:tcPr>
            <w:tcW w:w="20" w:type="dxa"/>
            <w:vAlign w:val="bottom"/>
          </w:tcPr>
          <w:p>
            <w:pPr>
              <w:spacing w:after="0"/>
              <w:rPr>
                <w:sz w:val="11"/>
                <w:szCs w:val="11"/>
                <w:color w:val="auto"/>
              </w:rPr>
            </w:pPr>
          </w:p>
        </w:tc>
        <w:tc>
          <w:tcPr>
            <w:tcW w:w="2740" w:type="dxa"/>
            <w:vAlign w:val="bottom"/>
            <w:gridSpan w:val="4"/>
          </w:tcPr>
          <w:p>
            <w:pPr>
              <w:spacing w:after="0" w:line="138" w:lineRule="exact"/>
              <w:rPr>
                <w:sz w:val="20"/>
                <w:szCs w:val="20"/>
                <w:color w:val="auto"/>
              </w:rPr>
            </w:pPr>
            <w:r>
              <w:rPr>
                <w:rFonts w:ascii="Arial" w:cs="Arial" w:eastAsia="Arial" w:hAnsi="Arial"/>
                <w:sz w:val="13"/>
                <w:szCs w:val="13"/>
                <w:color w:val="auto"/>
              </w:rPr>
              <w:t>Other</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CanExel siding</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8"/>
        </w:trPr>
        <w:tc>
          <w:tcPr>
            <w:tcW w:w="2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gridSpan w:val="4"/>
          </w:tcPr>
          <w:p>
            <w:pPr>
              <w:ind w:left="100"/>
              <w:spacing w:after="0"/>
              <w:rPr>
                <w:sz w:val="20"/>
                <w:szCs w:val="20"/>
                <w:color w:val="auto"/>
              </w:rPr>
            </w:pPr>
            <w:r>
              <w:rPr>
                <w:rFonts w:ascii="Arial" w:cs="Arial" w:eastAsia="Arial" w:hAnsi="Arial"/>
                <w:sz w:val="13"/>
                <w:szCs w:val="13"/>
                <w:color w:val="auto"/>
              </w:rPr>
              <w:t>Other products</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r>
      <w:tr>
        <w:trPr>
          <w:trHeight w:val="180"/>
        </w:trPr>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Revenue is recognized when obligations under the terms of a contract (i.e., purchase orders) with our customers are satisfied; generally, this occurs with the transfer of control of our products at a point in time. Revenue is measured as the amount of consideration we expect to receive in exchange for transferring goods. The shipping cost incurred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2"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color w:val="auto"/>
        </w:rPr>
        <w:t>us to deliver products to our customers is recorded in cost of sales. The expected costs associated with our warranties continue to be recognized as an expense when the products are sold.</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businesses routinely incur customer program costs to obtain favorable product placement, to promote sales of products, and to maintain competitive pricing. Customer program costs and incentives, including rebates and promotion and volume allowances, are accounted for as deductions from net sales at the time the program is initiated. These reductions from revenue are recorded at the time of sale or the implementation of the program based on management’s best estimates. Estimates are based on historical and projected experience for each type of program or customer. Volume allowances are accrued based on management’s estimates of customer volume achievement and other factors incorporated into customer agreements, such as new product purchases, store sell-through, and merchandising support. Management adjusts accruals when circumstances indicate (typically as a result of a change in volume expectations).</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EARNINGS PER SHARE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Basic earnings per share is based upon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(SSARs), restricted stock units, and performance stock units) be excluded from the calculation of diluted earnings per share for the periods in which losses are reported because the effect is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basic and diluted earnings per share (in millions,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40" w:type="dxa"/>
            <w:vAlign w:val="bottom"/>
          </w:tcPr>
          <w:p>
            <w:pPr>
              <w:spacing w:after="0"/>
              <w:rPr>
                <w:sz w:val="14"/>
                <w:szCs w:val="14"/>
                <w:color w:val="auto"/>
              </w:rPr>
            </w:pPr>
          </w:p>
        </w:tc>
        <w:tc>
          <w:tcPr>
            <w:tcW w:w="3040" w:type="dxa"/>
            <w:vAlign w:val="bottom"/>
            <w:gridSpan w:val="4"/>
          </w:tcPr>
          <w:p>
            <w:pPr>
              <w:jc w:val="right"/>
              <w:ind w:right="336"/>
              <w:spacing w:after="0"/>
              <w:rPr>
                <w:sz w:val="20"/>
                <w:szCs w:val="20"/>
                <w:color w:val="auto"/>
              </w:rPr>
            </w:pPr>
            <w:r>
              <w:rPr>
                <w:rFonts w:ascii="Arial" w:cs="Arial" w:eastAsia="Arial" w:hAnsi="Arial"/>
                <w:sz w:val="13"/>
                <w:szCs w:val="13"/>
                <w:b w:val="1"/>
                <w:bCs w:val="1"/>
                <w:color w:val="auto"/>
              </w:rPr>
              <w:t>Three Months Ended March 31,</w:t>
            </w:r>
          </w:p>
        </w:tc>
        <w:tc>
          <w:tcPr>
            <w:tcW w:w="500" w:type="dxa"/>
            <w:vAlign w:val="bottom"/>
          </w:tcPr>
          <w:p>
            <w:pPr>
              <w:spacing w:after="0"/>
              <w:rPr>
                <w:sz w:val="14"/>
                <w:szCs w:val="14"/>
                <w:color w:val="auto"/>
              </w:rPr>
            </w:pPr>
          </w:p>
        </w:tc>
      </w:tr>
      <w:tr>
        <w:trPr>
          <w:trHeight w:val="172"/>
        </w:trPr>
        <w:tc>
          <w:tcPr>
            <w:tcW w:w="77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r>
      <w:tr>
        <w:trPr>
          <w:trHeight w:val="152"/>
        </w:trPr>
        <w:tc>
          <w:tcPr>
            <w:tcW w:w="7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attributed to LP</w:t>
            </w:r>
          </w:p>
        </w:tc>
        <w:tc>
          <w:tcPr>
            <w:tcW w:w="1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68"/>
        </w:trPr>
        <w:tc>
          <w:tcPr>
            <w:tcW w:w="7740" w:type="dxa"/>
            <w:vAlign w:val="bottom"/>
          </w:tcPr>
          <w:p>
            <w:pPr>
              <w:ind w:left="120"/>
              <w:spacing w:after="0"/>
              <w:rPr>
                <w:sz w:val="20"/>
                <w:szCs w:val="20"/>
                <w:color w:val="auto"/>
              </w:rPr>
            </w:pPr>
            <w:r>
              <w:rPr>
                <w:rFonts w:ascii="Arial" w:cs="Arial" w:eastAsia="Arial" w:hAnsi="Arial"/>
                <w:sz w:val="13"/>
                <w:szCs w:val="13"/>
                <w:color w:val="auto"/>
              </w:rPr>
              <w:t>Weighted average common shares outstanding - basic</w:t>
            </w:r>
          </w:p>
        </w:tc>
        <w:tc>
          <w:tcPr>
            <w:tcW w:w="1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112</w:t>
            </w:r>
          </w:p>
        </w:tc>
      </w:tr>
      <w:tr>
        <w:trPr>
          <w:trHeight w:val="172"/>
        </w:trPr>
        <w:tc>
          <w:tcPr>
            <w:tcW w:w="7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Dilutive effect of employee stock plans</w:t>
            </w:r>
          </w:p>
        </w:tc>
        <w:tc>
          <w:tcPr>
            <w:tcW w:w="12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58"/>
        </w:trPr>
        <w:tc>
          <w:tcPr>
            <w:tcW w:w="7740" w:type="dxa"/>
            <w:vAlign w:val="bottom"/>
          </w:tcPr>
          <w:p>
            <w:pPr>
              <w:ind w:left="20"/>
              <w:spacing w:after="0"/>
              <w:rPr>
                <w:sz w:val="20"/>
                <w:szCs w:val="20"/>
                <w:color w:val="auto"/>
              </w:rPr>
            </w:pPr>
            <w:r>
              <w:rPr>
                <w:rFonts w:ascii="Arial" w:cs="Arial" w:eastAsia="Arial" w:hAnsi="Arial"/>
                <w:sz w:val="13"/>
                <w:szCs w:val="13"/>
                <w:color w:val="auto"/>
              </w:rPr>
              <w:t>Shares used for diluted earnings per share</w:t>
            </w:r>
          </w:p>
        </w:tc>
        <w:tc>
          <w:tcPr>
            <w:tcW w:w="1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33"/>
        </w:trPr>
        <w:tc>
          <w:tcPr>
            <w:tcW w:w="774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Earnings per share:</w:t>
            </w:r>
          </w:p>
        </w:tc>
        <w:tc>
          <w:tcPr>
            <w:tcW w:w="1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70"/>
        </w:trPr>
        <w:tc>
          <w:tcPr>
            <w:tcW w:w="7740" w:type="dxa"/>
            <w:vAlign w:val="bottom"/>
          </w:tcPr>
          <w:p>
            <w:pPr>
              <w:ind w:left="120"/>
              <w:spacing w:after="0"/>
              <w:rPr>
                <w:sz w:val="20"/>
                <w:szCs w:val="20"/>
                <w:color w:val="auto"/>
              </w:rPr>
            </w:pPr>
            <w:r>
              <w:rPr>
                <w:rFonts w:ascii="Arial" w:cs="Arial" w:eastAsia="Arial" w:hAnsi="Arial"/>
                <w:sz w:val="13"/>
                <w:szCs w:val="13"/>
                <w:color w:val="auto"/>
              </w:rPr>
              <w:t>Basic earnings</w:t>
            </w:r>
          </w:p>
        </w:tc>
        <w:tc>
          <w:tcPr>
            <w:tcW w:w="1220" w:type="dxa"/>
            <w:vAlign w:val="bottom"/>
            <w:tcBorders>
              <w:bottom w:val="single" w:sz="8" w:color="auto"/>
            </w:tcBorders>
          </w:tcPr>
          <w:p>
            <w:pPr>
              <w:jc w:val="right"/>
              <w:ind w:right="10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ind w:right="10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0.29</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75"/>
        </w:trPr>
        <w:tc>
          <w:tcPr>
            <w:tcW w:w="7740" w:type="dxa"/>
            <w:vAlign w:val="bottom"/>
            <w:tcBorders>
              <w:bottom w:val="single" w:sz="8" w:color="CCEEFF"/>
            </w:tcBorders>
            <w:shd w:val="clear" w:color="auto" w:fill="CCEEFF"/>
          </w:tcPr>
          <w:p>
            <w:pPr>
              <w:ind w:left="120"/>
              <w:spacing w:after="0" w:line="148" w:lineRule="exact"/>
              <w:rPr>
                <w:sz w:val="20"/>
                <w:szCs w:val="20"/>
                <w:color w:val="auto"/>
              </w:rPr>
            </w:pPr>
            <w:r>
              <w:rPr>
                <w:rFonts w:ascii="Arial" w:cs="Arial" w:eastAsia="Arial" w:hAnsi="Arial"/>
                <w:sz w:val="13"/>
                <w:szCs w:val="13"/>
                <w:color w:val="auto"/>
              </w:rPr>
              <w:t>Diluted earnings</w:t>
            </w:r>
          </w:p>
        </w:tc>
        <w:tc>
          <w:tcPr>
            <w:tcW w:w="122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FAIR VALUE MEASUREMENTS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2" w:name="page13"/>
    <w:bookmarkEnd w:id="12"/>
    <w:p>
      <w:pPr>
        <w:jc w:val="both"/>
        <w:spacing w:after="0" w:line="321" w:lineRule="auto"/>
        <w:rPr>
          <w:sz w:val="20"/>
          <w:szCs w:val="20"/>
          <w:color w:val="auto"/>
        </w:rPr>
      </w:pPr>
      <w:r>
        <w:rPr>
          <w:rFonts w:ascii="Arial" w:cs="Arial" w:eastAsia="Arial" w:hAnsi="Arial"/>
          <w:sz w:val="13"/>
          <w:szCs w:val="13"/>
          <w:color w:val="auto"/>
        </w:rPr>
        <w:t>Trading securities consist of rabbi trust financial assets, which are recorded in other assets in our Condensed Consolidated Balance Sheets. The assets of the rabbi trust are invested in mutual funds and are reported at fair value based on active market quotations, which represent Level 1 inputs. The assets of the rabbi trust were $5 million at March 31, 2021, and December 31, 2020.</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estimated our 3.625% Senior Notes due in 2029 (2029 Senior Notes) to have a fair value of $342 million as of March 31, 2021, based upon market quotations. Our 2029 Senior Notes and other long-term debt are categorized as Level 1 in the U.S. GAAP fair value hierarchy. Fair values are based on trading activity among the Company’s lenders and the average bid and ask price as determined using published rates.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There were no outstanding amounts borrowed under our Amended Credit Facility as of March 31, 2021.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Carrying amounts reported on the balance sheet for cash and cash equivalents, accounts receivables, and accounts payable approximate fair value due to the short-term maturity of these items.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RECEIVABLES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Receivables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16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rPr>
              <w:t>March 31, 2021</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December 31, 2020</w:t>
            </w:r>
          </w:p>
        </w:tc>
      </w:tr>
      <w:tr>
        <w:trPr>
          <w:trHeight w:val="17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receivables</w:t>
            </w:r>
          </w:p>
        </w:tc>
        <w:tc>
          <w:tcPr>
            <w:tcW w:w="1640" w:type="dxa"/>
            <w:vAlign w:val="bottom"/>
            <w:shd w:val="clear" w:color="auto" w:fill="CCEEFF"/>
          </w:tcPr>
          <w:p>
            <w:pPr>
              <w:jc w:val="right"/>
              <w:ind w:right="1492"/>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180"/>
        </w:trPr>
        <w:tc>
          <w:tcPr>
            <w:tcW w:w="7160" w:type="dxa"/>
            <w:vAlign w:val="bottom"/>
          </w:tcPr>
          <w:p>
            <w:pPr>
              <w:ind w:left="20"/>
              <w:spacing w:after="0"/>
              <w:rPr>
                <w:sz w:val="20"/>
                <w:szCs w:val="20"/>
                <w:color w:val="auto"/>
              </w:rPr>
            </w:pPr>
            <w:r>
              <w:rPr>
                <w:rFonts w:ascii="Arial" w:cs="Arial" w:eastAsia="Arial" w:hAnsi="Arial"/>
                <w:sz w:val="14"/>
                <w:szCs w:val="14"/>
                <w:color w:val="auto"/>
              </w:rPr>
              <w:t>Income tax receivable</w:t>
            </w:r>
          </w:p>
        </w:tc>
        <w:tc>
          <w:tcPr>
            <w:tcW w:w="16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1"/>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receivables</w:t>
            </w:r>
          </w:p>
        </w:tc>
        <w:tc>
          <w:tcPr>
            <w:tcW w:w="16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Allowance for doubtful accounts</w:t>
            </w:r>
          </w:p>
        </w:tc>
        <w:tc>
          <w:tcPr>
            <w:tcW w:w="1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shd w:val="clear" w:color="auto" w:fill="CCEEFF"/>
          </w:tcPr>
          <w:p>
            <w:pPr>
              <w:jc w:val="right"/>
              <w:ind w:right="1492"/>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Trade receivables are primarily generated by sales of our products to our wholesale and retail customers. Other receivables as of March 31, 2021, and December 31, 2020, primarily consist of sales tax receivables, vendor rebates, a receivable associated with an affiliate, and other miscellaneous receivables.</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INVENTORIES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Inventories are valued at the lower of cost or net realizable value. Inventory cost includes materials, labor, and operating overhead. The major types of inventories are as follows (work in process is not material and is included in Semi-finished inventory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16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rPr>
              <w:t>March 31, 2021</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December 31, 2020</w:t>
            </w:r>
          </w:p>
        </w:tc>
      </w:tr>
      <w:tr>
        <w:trPr>
          <w:trHeight w:val="17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Logs</w:t>
            </w:r>
          </w:p>
        </w:tc>
        <w:tc>
          <w:tcPr>
            <w:tcW w:w="1640" w:type="dxa"/>
            <w:vAlign w:val="bottom"/>
            <w:shd w:val="clear" w:color="auto" w:fill="CCEEFF"/>
          </w:tcPr>
          <w:p>
            <w:pPr>
              <w:jc w:val="right"/>
              <w:ind w:right="1472"/>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80"/>
        </w:trPr>
        <w:tc>
          <w:tcPr>
            <w:tcW w:w="7160" w:type="dxa"/>
            <w:vAlign w:val="bottom"/>
          </w:tcPr>
          <w:p>
            <w:pPr>
              <w:ind w:left="20"/>
              <w:spacing w:after="0"/>
              <w:rPr>
                <w:sz w:val="20"/>
                <w:szCs w:val="20"/>
                <w:color w:val="auto"/>
              </w:rPr>
            </w:pPr>
            <w:r>
              <w:rPr>
                <w:rFonts w:ascii="Arial" w:cs="Arial" w:eastAsia="Arial" w:hAnsi="Arial"/>
                <w:sz w:val="14"/>
                <w:szCs w:val="14"/>
                <w:color w:val="auto"/>
              </w:rPr>
              <w:t>Other raw materials</w:t>
            </w:r>
          </w:p>
        </w:tc>
        <w:tc>
          <w:tcPr>
            <w:tcW w:w="16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81"/>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Semi-finished inventory</w:t>
            </w:r>
          </w:p>
        </w:tc>
        <w:tc>
          <w:tcPr>
            <w:tcW w:w="16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Finished products</w:t>
            </w:r>
          </w:p>
        </w:tc>
        <w:tc>
          <w:tcPr>
            <w:tcW w:w="1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r>
      <w:tr>
        <w:trPr>
          <w:trHeight w:val="196"/>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shd w:val="clear" w:color="auto" w:fill="CCEEFF"/>
          </w:tcPr>
          <w:p>
            <w:pPr>
              <w:jc w:val="right"/>
              <w:ind w:right="1472"/>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GOODWILL AND OTHER INTANGIBLES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Goodwill and indefinite-lived intangible assets are not amortized and are subject to assessment for impairment by applying a fair value based test on an annual basis or more frequently, if circumstances indicate a potential impairment. The Company’s annual assessment date is October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8"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Changes in goodwill and other intangible assets as of March 31, 2021, are provided in the following table: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Timber licenses</w:t>
            </w:r>
            <w:r>
              <w:rPr>
                <w:rFonts w:ascii="Arial" w:cs="Arial" w:eastAsia="Arial" w:hAnsi="Arial"/>
                <w:sz w:val="18"/>
                <w:szCs w:val="18"/>
                <w:b w:val="1"/>
                <w:bCs w:val="1"/>
                <w:color w:val="auto"/>
                <w:w w:val="97"/>
                <w:vertAlign w:val="superscript"/>
              </w:rPr>
              <w:t>1</w:t>
            </w:r>
          </w:p>
        </w:tc>
        <w:tc>
          <w:tcPr>
            <w:tcW w:w="240" w:type="dxa"/>
            <w:vAlign w:val="bottom"/>
          </w:tcPr>
          <w:p>
            <w:pPr>
              <w:spacing w:after="0"/>
              <w:rPr>
                <w:sz w:val="14"/>
                <w:szCs w:val="14"/>
                <w:color w:val="auto"/>
              </w:rPr>
            </w:pPr>
          </w:p>
        </w:tc>
        <w:tc>
          <w:tcPr>
            <w:tcW w:w="104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4"/>
                <w:szCs w:val="14"/>
                <w:color w:val="auto"/>
              </w:rPr>
            </w:pPr>
          </w:p>
        </w:tc>
        <w:tc>
          <w:tcPr>
            <w:tcW w:w="1100" w:type="dxa"/>
            <w:vAlign w:val="bottom"/>
          </w:tcPr>
          <w:p>
            <w:pPr>
              <w:jc w:val="center"/>
              <w:ind w:right="109"/>
              <w:spacing w:after="0"/>
              <w:rPr>
                <w:sz w:val="20"/>
                <w:szCs w:val="20"/>
                <w:color w:val="auto"/>
              </w:rPr>
            </w:pPr>
            <w:r>
              <w:rPr>
                <w:rFonts w:ascii="Arial" w:cs="Arial" w:eastAsia="Arial" w:hAnsi="Arial"/>
                <w:sz w:val="14"/>
                <w:szCs w:val="14"/>
                <w:b w:val="1"/>
                <w:bCs w:val="1"/>
                <w:color w:val="auto"/>
                <w:w w:val="90"/>
              </w:rPr>
              <w:t>Developed</w:t>
            </w:r>
          </w:p>
        </w:tc>
        <w:tc>
          <w:tcPr>
            <w:tcW w:w="220" w:type="dxa"/>
            <w:vAlign w:val="bottom"/>
          </w:tcPr>
          <w:p>
            <w:pPr>
              <w:spacing w:after="0"/>
              <w:rPr>
                <w:sz w:val="14"/>
                <w:szCs w:val="14"/>
                <w:color w:val="auto"/>
              </w:rPr>
            </w:pPr>
          </w:p>
        </w:tc>
        <w:tc>
          <w:tcPr>
            <w:tcW w:w="122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Trademarks</w:t>
            </w:r>
          </w:p>
        </w:tc>
        <w:tc>
          <w:tcPr>
            <w:tcW w:w="0" w:type="dxa"/>
            <w:vAlign w:val="bottom"/>
          </w:tcPr>
          <w:p>
            <w:pPr>
              <w:spacing w:after="0"/>
              <w:rPr>
                <w:sz w:val="1"/>
                <w:szCs w:val="1"/>
                <w:color w:val="auto"/>
              </w:rPr>
            </w:pPr>
          </w:p>
        </w:tc>
      </w:tr>
      <w:tr>
        <w:trPr>
          <w:trHeight w:val="180"/>
        </w:trPr>
        <w:tc>
          <w:tcPr>
            <w:tcW w:w="5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6"/>
              </w:rPr>
              <w:t>Technology</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4"/>
                <w:szCs w:val="14"/>
                <w:color w:val="auto"/>
              </w:rPr>
              <w:t>34</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w w:val="93"/>
              </w:rPr>
              <w:t>(1)</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w w:val="93"/>
              </w:rPr>
              <w:t>(1)</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March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33</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7"/>
          <w:szCs w:val="7"/>
          <w:color w:val="auto"/>
        </w:rPr>
        <w:t>1</w:t>
      </w:r>
      <w:r>
        <w:rPr>
          <w:rFonts w:ascii="Arial" w:cs="Arial" w:eastAsia="Arial" w:hAnsi="Arial"/>
          <w:sz w:val="11"/>
          <w:szCs w:val="11"/>
          <w:color w:val="auto"/>
        </w:rPr>
        <w:t>Timber licenses are included in Timber and timberlands on the Condensed Consolidated Balance Sheets.</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REDEEMABLE NONCONTROLLING INTEREST</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Redeemable noncontrolling interest is interest in subsidiaries that is redeemable outside of our control either for cash or other assets. These interests are classified as mezzanine equity and measured at the greater of estimated redemption value or carrying value at the end of each reporting period. Net loss attributed to noncontrolling interest is recorded in the Condensed Consolidated Statements of Income. Any adjustments to the redemption value of redeemable noncontrolling interest are recognized in either net income or through accumulated paid-in capital, depending on the nature of the underlying security (preferred or common units).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40" w:type="dxa"/>
            <w:vAlign w:val="bottom"/>
            <w:gridSpan w:val="2"/>
          </w:tcPr>
          <w:p>
            <w:pPr>
              <w:spacing w:after="0"/>
              <w:rPr>
                <w:sz w:val="20"/>
                <w:szCs w:val="20"/>
                <w:color w:val="auto"/>
              </w:rPr>
            </w:pPr>
            <w:r>
              <w:rPr>
                <w:rFonts w:ascii="Arial" w:cs="Arial" w:eastAsia="Arial" w:hAnsi="Arial"/>
                <w:sz w:val="14"/>
                <w:szCs w:val="14"/>
                <w:color w:val="auto"/>
              </w:rPr>
              <w:t>The components of redeemable noncontrolling interest are as follows:</w:t>
            </w:r>
          </w:p>
        </w:tc>
        <w:tc>
          <w:tcPr>
            <w:tcW w:w="1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 December 31, 2020</w:t>
            </w:r>
          </w:p>
        </w:tc>
        <w:tc>
          <w:tcPr>
            <w:tcW w:w="16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 attributed to noncontrolling interest</w:t>
            </w:r>
          </w:p>
        </w:tc>
        <w:tc>
          <w:tcPr>
            <w:tcW w:w="16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Ending balance March 31, 2021</w:t>
            </w:r>
          </w:p>
        </w:tc>
        <w:tc>
          <w:tcPr>
            <w:tcW w:w="16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NOTE 9. LONG-TERM DEBT</w:t>
            </w:r>
          </w:p>
        </w:tc>
        <w:tc>
          <w:tcPr>
            <w:tcW w:w="1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64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640" w:type="dxa"/>
            <w:vAlign w:val="bottom"/>
            <w:gridSpan w:val="2"/>
          </w:tcPr>
          <w:p>
            <w:pPr>
              <w:spacing w:after="0"/>
              <w:rPr>
                <w:sz w:val="20"/>
                <w:szCs w:val="20"/>
                <w:color w:val="auto"/>
              </w:rPr>
            </w:pPr>
            <w:r>
              <w:rPr>
                <w:rFonts w:ascii="Arial" w:cs="Arial" w:eastAsia="Arial" w:hAnsi="Arial"/>
                <w:sz w:val="14"/>
                <w:szCs w:val="14"/>
                <w:color w:val="auto"/>
              </w:rPr>
              <w:t>The following table summarizes our outstanding debt:</w:t>
            </w: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2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March 31, 2021</w:t>
            </w: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550"/>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2029 Senior Notes</w:t>
            </w:r>
          </w:p>
        </w:tc>
        <w:tc>
          <w:tcPr>
            <w:tcW w:w="1660" w:type="dxa"/>
            <w:vAlign w:val="bottom"/>
            <w:shd w:val="clear" w:color="auto" w:fill="CCEEFF"/>
          </w:tcPr>
          <w:p>
            <w:pPr>
              <w:jc w:val="right"/>
              <w:ind w:right="1492"/>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2024 Senior Notes</w:t>
            </w:r>
          </w:p>
        </w:tc>
        <w:tc>
          <w:tcPr>
            <w:tcW w:w="16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Amended Credit Facility</w:t>
            </w:r>
          </w:p>
        </w:tc>
        <w:tc>
          <w:tcPr>
            <w:tcW w:w="16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Financing leases</w:t>
            </w:r>
          </w:p>
        </w:tc>
        <w:tc>
          <w:tcPr>
            <w:tcW w:w="16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Unamortized debt costs</w:t>
            </w:r>
          </w:p>
        </w:tc>
        <w:tc>
          <w:tcPr>
            <w:tcW w:w="16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Total</w:t>
            </w:r>
          </w:p>
        </w:tc>
        <w:tc>
          <w:tcPr>
            <w:tcW w:w="1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Less: current portion</w:t>
            </w:r>
          </w:p>
        </w:tc>
        <w:tc>
          <w:tcPr>
            <w:tcW w:w="16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ind w:left="520"/>
              <w:spacing w:after="0"/>
              <w:rPr>
                <w:sz w:val="20"/>
                <w:szCs w:val="20"/>
                <w:color w:val="auto"/>
              </w:rPr>
            </w:pPr>
            <w:r>
              <w:rPr>
                <w:rFonts w:ascii="Arial" w:cs="Arial" w:eastAsia="Arial" w:hAnsi="Arial"/>
                <w:sz w:val="14"/>
                <w:szCs w:val="14"/>
                <w:color w:val="auto"/>
              </w:rPr>
              <w:t>Long-term portion</w:t>
            </w:r>
          </w:p>
        </w:tc>
        <w:tc>
          <w:tcPr>
            <w:tcW w:w="1660" w:type="dxa"/>
            <w:vAlign w:val="bottom"/>
            <w:tcBorders>
              <w:top w:val="single" w:sz="8" w:color="auto"/>
              <w:bottom w:val="single" w:sz="8" w:color="auto"/>
            </w:tcBorders>
          </w:tcPr>
          <w:p>
            <w:pPr>
              <w:jc w:val="right"/>
              <w:ind w:right="1492"/>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Senior notes</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In March 2021, we issued $350 million aggregate principal amount of the 3.625% Senior Notes, which mature March 15, 2029 (2029 Senior Notes). We may redeem the 2029 Senior Notes, in whole or in part, prior to March 15, 2024, at a redemption price equal to 100% of the principal amount thereof plus a “make-whole” premium set forth in the indenture governing our 2029 Senior Notes, plus accrued and unpaid interest, if any, to, but not including, the date of redemption. On or after March 15, 2024, we may, at our option on one or more occasions, redeem all or any portion of these notes at the redemption prices set forth in the indenture governing the 2029 Senior Notes, plus accrued and unpaid interest, if any, to, but not including, the date of redemption. The indenture governing the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8" w:right="319" w:bottom="1440" w:gutter="0" w:footer="0" w:header="0"/>
        </w:sectPr>
      </w:pPr>
    </w:p>
    <w:bookmarkStart w:id="14" w:name="page15"/>
    <w:bookmarkEnd w:id="14"/>
    <w:p>
      <w:pPr>
        <w:jc w:val="both"/>
        <w:spacing w:after="0" w:line="265" w:lineRule="auto"/>
        <w:rPr>
          <w:sz w:val="20"/>
          <w:szCs w:val="20"/>
          <w:color w:val="auto"/>
        </w:rPr>
      </w:pPr>
      <w:r>
        <w:rPr>
          <w:rFonts w:ascii="Arial" w:cs="Arial" w:eastAsia="Arial" w:hAnsi="Arial"/>
          <w:sz w:val="13"/>
          <w:szCs w:val="13"/>
          <w:color w:val="auto"/>
        </w:rPr>
        <w:t>Senior Notes contains certain covenants that, among other things, limit our ability to grant liens to secure indebtedness, engage in sale and leaseback transactions and merge or consolidate or sell all or substantially all of our assets. If we are subject to a "change of control," as defined in the indenture, we are required to offer to repurchase the 2029 Senior Notes at a purchase price equal to 101% of the principal amount thereof plus accrued and unpaid interest, if any, thereon to, but not including, the date of purchase. The indenture governing the 2029 Senior Notes contains customary events of default, including failure to make required payments on the 2029 Senior Notes, failure to comply with certain agreements or covenants contained in the indenture, failure to pay or acceleration of certain other indebtedness and certain events of bankruptcy and insolvency. An event of default in the indenture allows either the indenture trustee or the holders of at least 25% in aggregate principal amount of the then-outstanding 2029 Senior Notes to accelerate, or in certain cases, automatically causes the acceleration of, the amounts due under the 2029 Senior Notes.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In September 2016, LP issued $350 million aggregate principal amount Senior Notes due 2024 (2024 Senior Notes). In February 2021, LP delivered to holders of the 2024 Senior Notes a conditional notice of redemption to redeem on March 27, 2021 all of the 2024 Senior Notes outstanding at a redemption price of 102.438% of the principal amount thereof plus accrued and unpaid interest to, but not including, the redemption date. The redemption notice became irrevocable on March 11, 2021, and the 2024 Senior Notes were fully redeemed on March 27, 2021. In connection with this redemption, LP recorded an early debt extinguishment charge of $11 million, recorded within Other non-operating items on the Condensed Consolidated Statements of Income, which included $9 million of redemption premium and $2 million of unamortized debt costs associated with these notes.</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Deferred debt costs are amortized over the life of the related debt using a straight-line basis which approximates the effective interest method. These costs are a direct deduction from the carrying amount related to the debt liability. If the debt is retired early, the related unamortized deferred financing costs are written off in the period the debt is retired to other non-operating income (expense). During the three months ended March 31, 2021, $2 million of deferred debt costs were written off in association with the 2024 Senior Notes extinguishment, and we paid $4 million in debt issuance costs that will be deferred and amortized over the life of the 2029 Senior Notes.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facility</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In May 2020, we entered into two amendments to our revolving credit facility, dated as of June 27, 2019 (Credit Facility), with American AgCredit, PCA, as administrative agent and CoBank, ACB, as letter of credit issuer, (as amended, the Amended Credit Facility). The Amended Credit Facility provides for revolving credit facilities in the aggregate principal amount of up to $550 million, with a $60 million sub-limit for letters of credit. The initial $350 million revolving facility provided pursuant to the Credit Facility (Revolving A Loan) terminates, and all loans made thereunder become due, in June 2024. The incremental $200 million revolving facility provided pursuant to the Amended Credit Facility in May 2020 (Revolving B Loan) terminates, and all loans made thereunder become due in May 2023. LP has granted a security interest in substantially all of its personal property to secure the Amended Credit Facility, and certain of LP’s existing and future wholly-owned domestic subsidiaries may guaranty our obligations under the Amended Credit Facility and, subject to certain limited exceptions, provide security through a security interest in substantially all the personal property of these subsidiaries. There are no outstanding amounts borrowed under the Amended Credit Facility as of March 31, 2021.</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Revolving borrowings under the Amended Credit Facility accrue interest, at our option, at either a “base rate” plus a margin of 0.875% to 2.000% for Revolving A Loans and 1.125% to 2.250% for Revolving B Loans or LIBOR plus a margin of 1.875% to 3.000% for Revolving A Loans and 2.125% to 3.250% for Revolving B Loans. The Amended Credit Facility also includes an unused commitment fee, due quarterly, ranging from 0.3% to 0.6% for both Revolving A Loans and Revolving B Loans. The applicable margins and fees within these ranges are based on our ratio of consolidated EBITDA to cash interest charges. The “base rate” is the highest of (i) the Federal funds rate plus 0.5%, (ii) the U.S. prime rate, and (iii) one-month LIBOR plus 1.0%.</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Amended Credit Facility contains various restrictive covenants and customary events of default, the occurrence of which could result in the acceleration of our obligation to repay the indebtedness outstanding thereunder. The Amended Credit Facility also contains financial covenants that require us and our consolidated subsidiaries to have, as of the end of each quarter, (i) a capitalization ratio (i.e., funded debt less unrestricted cash to total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color w:val="auto"/>
        </w:rPr>
        <w:t>of no more than 57.5% and (ii) a minimum consolidated net worth of at least $475 million plus 70% of consolidated net income after December 31, 2019, without a deduction for net losses.</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March 2020, LP entered into a letter of credit facility agreement (Letter of Credit Facility) with Bank of America, N.A., which provides for the funding of letters of credit up to an aggregate outstanding amount of $20 million, which may be secured by certain cash collateral of LP. The Letter of Credit Facility includes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Amended Credit Facility, including capitalization ratio and minimum net worth covenants. As of March 31, 2021, we secured $13 million of outstanding letters of credit with cash collateral, included in Restricted cash in our Condensed Consolidated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As of March 31, 2021, we were in compliance with all financial covenants under the Amended Credit Facility.</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INCOME TAXES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For interim periods, we recognize income tax expense by applying the estimated annual effective income tax rate to year-to-date results unless this method does not result in a reliable estimate of year-to-date income tax expense. Each period, the income tax accrual is adjusted to the latest estimate, and the difference from the previously accrued year-to-date balance is adjusted to the current quarter. Changes in profitability estimates in various jurisdictions will impact our quarterly effective income tax rates.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tax provision for income taxes for the three months ended March 31, 2021 and 2020, reflected an estimated annual tax rate of 25% and 26%, respectively, excluding discrete items discussed below. The total effective tax rate for the three months ended March 31, 2021, was 23% compared to 22% for the comparable period in 2020.</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recognized a net discrete tax benefit of $5 million and $2 million during the three months ended March 31, 2021 and 2020, respectively, with the most significant benefit related to excess tax benefits from stock-based compensation for both periods.</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STOCK-BASED COMPENSATION</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stock award plans for key employees and directors, which provide for awards of stock options, SSARs, restricted stock, restricted stock units, and performance stock units are granted. In addition, we offer an employee stock purchase plan to employees.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During the three months ended March 31,2021, we granted awards of 200,065 restricted stock units and 121,749 performance stock units, at an average grant date fair value of $43.39 per share.</w:t>
      </w:r>
    </w:p>
    <w:p>
      <w:pPr>
        <w:spacing w:after="0" w:line="211"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recognized $1 million and $2 million in stock-based compensation expense for the three months ended March 31, 2021 and 2020, respectively. At March 31, 2021, there was $22 million of unrecognized stock-based compensation expense related to unvested performance stock units, restricted stock units, and SSARs attributable to future service that had not yet been recognized.</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0"/>
        </w:trPr>
        <w:tc>
          <w:tcPr>
            <w:tcW w:w="6640" w:type="dxa"/>
            <w:vAlign w:val="bottom"/>
          </w:tcPr>
          <w:p>
            <w:pPr>
              <w:spacing w:after="0"/>
              <w:rPr>
                <w:sz w:val="20"/>
                <w:szCs w:val="20"/>
                <w:color w:val="auto"/>
              </w:rPr>
            </w:pPr>
            <w:r>
              <w:rPr>
                <w:rFonts w:ascii="Arial" w:cs="Arial" w:eastAsia="Arial" w:hAnsi="Arial"/>
                <w:sz w:val="14"/>
                <w:szCs w:val="14"/>
                <w:color w:val="auto"/>
              </w:rPr>
              <w:t>We maintain reserves for various contingent liabilities as follows:</w:t>
            </w:r>
          </w:p>
        </w:tc>
        <w:tc>
          <w:tcPr>
            <w:tcW w:w="1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76"/>
        </w:trPr>
        <w:tc>
          <w:tcPr>
            <w:tcW w:w="664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March 31, 2021</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December 31, 2020</w:t>
            </w:r>
          </w:p>
        </w:tc>
      </w:tr>
      <w:tr>
        <w:trPr>
          <w:trHeight w:val="171"/>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Environmental reserves</w:t>
            </w:r>
          </w:p>
        </w:tc>
        <w:tc>
          <w:tcPr>
            <w:tcW w:w="1820" w:type="dxa"/>
            <w:vAlign w:val="bottom"/>
            <w:shd w:val="clear" w:color="auto" w:fill="CCEEFF"/>
          </w:tcPr>
          <w:p>
            <w:pPr>
              <w:jc w:val="right"/>
              <w:ind w:right="166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94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14</w:t>
            </w:r>
          </w:p>
        </w:tc>
      </w:tr>
      <w:tr>
        <w:trPr>
          <w:trHeight w:val="180"/>
        </w:trPr>
        <w:tc>
          <w:tcPr>
            <w:tcW w:w="6640" w:type="dxa"/>
            <w:vAlign w:val="bottom"/>
          </w:tcPr>
          <w:p>
            <w:pPr>
              <w:ind w:left="20"/>
              <w:spacing w:after="0"/>
              <w:rPr>
                <w:sz w:val="20"/>
                <w:szCs w:val="20"/>
                <w:color w:val="auto"/>
              </w:rPr>
            </w:pPr>
            <w:r>
              <w:rPr>
                <w:rFonts w:ascii="Arial" w:cs="Arial" w:eastAsia="Arial" w:hAnsi="Arial"/>
                <w:sz w:val="14"/>
                <w:szCs w:val="14"/>
                <w:color w:val="auto"/>
              </w:rPr>
              <w:t>Other reserves</w:t>
            </w:r>
          </w:p>
        </w:tc>
        <w:tc>
          <w:tcPr>
            <w:tcW w:w="182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940" w:type="dxa"/>
            <w:vAlign w:val="bottom"/>
          </w:tcPr>
          <w:p>
            <w:pPr>
              <w:ind w:left="1740"/>
              <w:spacing w:after="0"/>
              <w:rPr>
                <w:sz w:val="20"/>
                <w:szCs w:val="20"/>
                <w:color w:val="auto"/>
              </w:rPr>
            </w:pPr>
            <w:r>
              <w:rPr>
                <w:rFonts w:ascii="Arial" w:cs="Arial" w:eastAsia="Arial" w:hAnsi="Arial"/>
                <w:sz w:val="14"/>
                <w:szCs w:val="14"/>
                <w:color w:val="auto"/>
              </w:rPr>
              <w:t>—</w:t>
            </w:r>
          </w:p>
        </w:tc>
      </w:tr>
      <w:tr>
        <w:trPr>
          <w:trHeight w:val="171"/>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contingencies</w:t>
            </w:r>
          </w:p>
        </w:tc>
        <w:tc>
          <w:tcPr>
            <w:tcW w:w="18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4"/>
                <w:szCs w:val="14"/>
                <w:color w:val="auto"/>
              </w:rPr>
              <w:t>14</w:t>
            </w:r>
          </w:p>
        </w:tc>
      </w:tr>
      <w:tr>
        <w:trPr>
          <w:trHeight w:val="180"/>
        </w:trPr>
        <w:tc>
          <w:tcPr>
            <w:tcW w:w="6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Current portion (included in Accrued liabilities)</w:t>
            </w:r>
          </w:p>
        </w:tc>
        <w:tc>
          <w:tcPr>
            <w:tcW w:w="1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w w:val="93"/>
              </w:rPr>
              <w:t>(1)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ind w:left="1760"/>
              <w:spacing w:after="0"/>
              <w:rPr>
                <w:sz w:val="20"/>
                <w:szCs w:val="20"/>
                <w:color w:val="auto"/>
              </w:rPr>
            </w:pPr>
            <w:r>
              <w:rPr>
                <w:rFonts w:ascii="Arial" w:cs="Arial" w:eastAsia="Arial" w:hAnsi="Arial"/>
                <w:sz w:val="14"/>
                <w:szCs w:val="14"/>
                <w:color w:val="auto"/>
                <w:w w:val="93"/>
              </w:rPr>
              <w:t>(1)</w:t>
            </w:r>
          </w:p>
        </w:tc>
      </w:tr>
      <w:tr>
        <w:trPr>
          <w:trHeight w:val="19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Long-term portion (included in Other long-term liabilities)</w:t>
            </w:r>
          </w:p>
        </w:tc>
        <w:tc>
          <w:tcPr>
            <w:tcW w:w="1820" w:type="dxa"/>
            <w:vAlign w:val="bottom"/>
            <w:tcBorders>
              <w:bottom w:val="single" w:sz="8" w:color="auto"/>
            </w:tcBorders>
            <w:shd w:val="clear" w:color="auto" w:fill="CCEEFF"/>
          </w:tcPr>
          <w:p>
            <w:pPr>
              <w:jc w:val="right"/>
              <w:ind w:right="166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4"/>
                <w:szCs w:val="14"/>
                <w:color w:val="auto"/>
              </w:rPr>
              <w:t>13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Matters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 However, no estimate of the range of any such change can be made at this time.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Proceedings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From time to time, we and our subsidiaries are parties to certain legal proceedings. Based on the information currently available, management believes the resolution of such proceedings will not have a material adverse effect on our financial position, results of operations, cash flows, or liquidity.</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IMPAIRMENT OF LONG-LIVED ASSETS</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review the carrying values of our long-lived assets for potential impairments and believe we have adequate support for the carrying value of our long-lived assets. If demand and pricing for our products fall to levels significantly below cycle average demand and pricing, or should we decide to invest capital in alternative projects, or should changes occur related to our wood supply for our mills, it is possible that future impairment charges will be required. As of March 31, 2021, there were no indications of impairment.</w:t>
      </w:r>
    </w:p>
    <w:p>
      <w:pPr>
        <w:jc w:val="both"/>
        <w:spacing w:after="0" w:line="266" w:lineRule="auto"/>
        <w:rPr>
          <w:sz w:val="20"/>
          <w:szCs w:val="20"/>
          <w:color w:val="auto"/>
        </w:rPr>
      </w:pPr>
      <w:r>
        <w:rPr>
          <w:rFonts w:ascii="Arial" w:cs="Arial" w:eastAsia="Arial" w:hAnsi="Arial"/>
          <w:sz w:val="14"/>
          <w:szCs w:val="14"/>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7" w:name="page18"/>
    <w:bookmarkEnd w:id="17"/>
    <w:p>
      <w:pPr>
        <w:spacing w:after="0" w:line="281" w:lineRule="auto"/>
        <w:rPr>
          <w:sz w:val="20"/>
          <w:szCs w:val="20"/>
          <w:color w:val="auto"/>
        </w:rPr>
      </w:pPr>
      <w:r>
        <w:rPr>
          <w:rFonts w:ascii="Arial" w:cs="Arial" w:eastAsia="Arial" w:hAnsi="Arial"/>
          <w:sz w:val="14"/>
          <w:szCs w:val="14"/>
          <w:color w:val="auto"/>
        </w:rPr>
        <w:t>disposition and to estimate the net sales proceeds, which may be less than previous estimates of undiscounted future net cash flows, we may be required to record impairment charges in connection with decisions to dispose of assets.</w:t>
      </w:r>
    </w:p>
    <w:p>
      <w:pPr>
        <w:spacing w:after="0" w:line="15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During the three months ended March 31, 2020, we recorded $5 million in pre-tax impairment charges primarily related to our fiber producing assets at a Siding facility. Additionally, we recorded $2 million in pre-tax impairment charges related to the reclassification of our East River facility as held-for-sale during the three months ended March 31, 2020.</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PRODUCT WARRANTIES</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months ended March 31, 2021, and 2020, is summarized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71"/>
        </w:trPr>
        <w:tc>
          <w:tcPr>
            <w:tcW w:w="78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240" w:type="dxa"/>
            <w:vAlign w:val="bottom"/>
            <w:shd w:val="clear" w:color="auto" w:fill="CCEEFF"/>
          </w:tcPr>
          <w:p>
            <w:pPr>
              <w:jc w:val="right"/>
              <w:ind w:right="108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06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center"/>
              <w:ind w:left="189"/>
              <w:spacing w:after="0"/>
              <w:rPr>
                <w:sz w:val="20"/>
                <w:szCs w:val="20"/>
                <w:color w:val="auto"/>
              </w:rPr>
            </w:pPr>
            <w:r>
              <w:rPr>
                <w:rFonts w:ascii="Arial" w:cs="Arial" w:eastAsia="Arial" w:hAnsi="Arial"/>
                <w:sz w:val="14"/>
                <w:szCs w:val="14"/>
                <w:color w:val="auto"/>
                <w:w w:val="76"/>
              </w:rPr>
              <w:t>8</w:t>
            </w:r>
          </w:p>
        </w:tc>
      </w:tr>
      <w:tr>
        <w:trPr>
          <w:trHeight w:val="180"/>
        </w:trPr>
        <w:tc>
          <w:tcPr>
            <w:tcW w:w="7820" w:type="dxa"/>
            <w:vAlign w:val="bottom"/>
          </w:tcPr>
          <w:p>
            <w:pPr>
              <w:ind w:left="20"/>
              <w:spacing w:after="0"/>
              <w:rPr>
                <w:sz w:val="20"/>
                <w:szCs w:val="20"/>
                <w:color w:val="auto"/>
              </w:rPr>
            </w:pPr>
            <w:r>
              <w:rPr>
                <w:rFonts w:ascii="Arial" w:cs="Arial" w:eastAsia="Arial" w:hAnsi="Arial"/>
                <w:sz w:val="14"/>
                <w:szCs w:val="14"/>
                <w:color w:val="auto"/>
              </w:rPr>
              <w:t>Accrued to expense</w:t>
            </w:r>
          </w:p>
        </w:tc>
        <w:tc>
          <w:tcPr>
            <w:tcW w:w="12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5"/>
                <w:szCs w:val="15"/>
                <w:color w:val="auto"/>
              </w:rPr>
            </w:pPr>
          </w:p>
        </w:tc>
        <w:tc>
          <w:tcPr>
            <w:tcW w:w="440" w:type="dxa"/>
            <w:vAlign w:val="bottom"/>
          </w:tcPr>
          <w:p>
            <w:pPr>
              <w:jc w:val="center"/>
              <w:ind w:left="189"/>
              <w:spacing w:after="0"/>
              <w:rPr>
                <w:sz w:val="20"/>
                <w:szCs w:val="20"/>
                <w:color w:val="auto"/>
              </w:rPr>
            </w:pPr>
            <w:r>
              <w:rPr>
                <w:rFonts w:ascii="Arial" w:cs="Arial" w:eastAsia="Arial" w:hAnsi="Arial"/>
                <w:sz w:val="14"/>
                <w:szCs w:val="14"/>
                <w:color w:val="auto"/>
                <w:w w:val="76"/>
              </w:rPr>
              <w:t>1</w:t>
            </w:r>
          </w:p>
        </w:tc>
      </w:tr>
      <w:tr>
        <w:trPr>
          <w:trHeight w:val="18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made</w:t>
            </w:r>
          </w:p>
        </w:tc>
        <w:tc>
          <w:tcPr>
            <w:tcW w:w="12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spacing w:after="0"/>
              <w:rPr>
                <w:sz w:val="15"/>
                <w:szCs w:val="15"/>
                <w:color w:val="auto"/>
              </w:rPr>
            </w:pPr>
          </w:p>
        </w:tc>
        <w:tc>
          <w:tcPr>
            <w:tcW w:w="440" w:type="dxa"/>
            <w:vAlign w:val="bottom"/>
            <w:shd w:val="clear" w:color="auto" w:fill="CCEEFF"/>
          </w:tcPr>
          <w:p>
            <w:pPr>
              <w:jc w:val="center"/>
              <w:ind w:left="169"/>
              <w:spacing w:after="0"/>
              <w:rPr>
                <w:sz w:val="20"/>
                <w:szCs w:val="20"/>
                <w:color w:val="auto"/>
              </w:rPr>
            </w:pPr>
            <w:r>
              <w:rPr>
                <w:rFonts w:ascii="Arial" w:cs="Arial" w:eastAsia="Arial" w:hAnsi="Arial"/>
                <w:sz w:val="14"/>
                <w:szCs w:val="14"/>
                <w:color w:val="auto"/>
                <w:w w:val="93"/>
              </w:rPr>
              <w:t>(1)</w:t>
            </w:r>
          </w:p>
        </w:tc>
      </w:tr>
      <w:tr>
        <w:trPr>
          <w:trHeight w:val="171"/>
        </w:trPr>
        <w:tc>
          <w:tcPr>
            <w:tcW w:w="7820" w:type="dxa"/>
            <w:vAlign w:val="bottom"/>
          </w:tcPr>
          <w:p>
            <w:pPr>
              <w:ind w:left="20"/>
              <w:spacing w:after="0"/>
              <w:rPr>
                <w:sz w:val="20"/>
                <w:szCs w:val="20"/>
                <w:color w:val="auto"/>
              </w:rPr>
            </w:pPr>
            <w:r>
              <w:rPr>
                <w:rFonts w:ascii="Arial" w:cs="Arial" w:eastAsia="Arial" w:hAnsi="Arial"/>
                <w:sz w:val="14"/>
                <w:szCs w:val="14"/>
                <w:color w:val="auto"/>
              </w:rPr>
              <w:t>Total warranty reserves</w:t>
            </w:r>
          </w:p>
        </w:tc>
        <w:tc>
          <w:tcPr>
            <w:tcW w:w="12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center"/>
              <w:ind w:left="189"/>
              <w:spacing w:after="0"/>
              <w:rPr>
                <w:sz w:val="20"/>
                <w:szCs w:val="20"/>
                <w:color w:val="auto"/>
              </w:rPr>
            </w:pPr>
            <w:r>
              <w:rPr>
                <w:rFonts w:ascii="Arial" w:cs="Arial" w:eastAsia="Arial" w:hAnsi="Arial"/>
                <w:sz w:val="14"/>
                <w:szCs w:val="14"/>
                <w:color w:val="auto"/>
                <w:w w:val="76"/>
              </w:rPr>
              <w:t>8</w:t>
            </w:r>
          </w:p>
        </w:tc>
      </w:tr>
      <w:tr>
        <w:trPr>
          <w:trHeight w:val="181"/>
        </w:trPr>
        <w:tc>
          <w:tcPr>
            <w:tcW w:w="7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Current portion of warranty reserves (included in Other current liabilities)</w:t>
            </w:r>
          </w:p>
        </w:tc>
        <w:tc>
          <w:tcPr>
            <w:tcW w:w="12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center"/>
              <w:ind w:left="169"/>
              <w:spacing w:after="0"/>
              <w:rPr>
                <w:sz w:val="20"/>
                <w:szCs w:val="20"/>
                <w:color w:val="auto"/>
              </w:rPr>
            </w:pPr>
            <w:r>
              <w:rPr>
                <w:rFonts w:ascii="Arial" w:cs="Arial" w:eastAsia="Arial" w:hAnsi="Arial"/>
                <w:sz w:val="14"/>
                <w:szCs w:val="14"/>
                <w:color w:val="auto"/>
                <w:w w:val="93"/>
              </w:rPr>
              <w:t>(2)</w:t>
            </w:r>
          </w:p>
        </w:tc>
      </w:tr>
      <w:tr>
        <w:trPr>
          <w:trHeight w:val="171"/>
        </w:trPr>
        <w:tc>
          <w:tcPr>
            <w:tcW w:w="7820" w:type="dxa"/>
            <w:vAlign w:val="bottom"/>
          </w:tcPr>
          <w:p>
            <w:pPr>
              <w:ind w:left="280"/>
              <w:spacing w:after="0"/>
              <w:rPr>
                <w:sz w:val="20"/>
                <w:szCs w:val="20"/>
                <w:color w:val="auto"/>
              </w:rPr>
            </w:pPr>
            <w:r>
              <w:rPr>
                <w:rFonts w:ascii="Arial" w:cs="Arial" w:eastAsia="Arial" w:hAnsi="Arial"/>
                <w:sz w:val="14"/>
                <w:szCs w:val="14"/>
                <w:color w:val="auto"/>
              </w:rPr>
              <w:t>Long-term portion of warranty reserves (included in Other long-term liabilities)</w:t>
            </w:r>
          </w:p>
        </w:tc>
        <w:tc>
          <w:tcPr>
            <w:tcW w:w="1240" w:type="dxa"/>
            <w:vAlign w:val="bottom"/>
            <w:tcBorders>
              <w:bottom w:val="single" w:sz="8" w:color="auto"/>
            </w:tcBorders>
          </w:tcPr>
          <w:p>
            <w:pPr>
              <w:jc w:val="right"/>
              <w:ind w:right="108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ind w:right="106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auto"/>
                <w:w w:val="76"/>
              </w:rPr>
              <w:t>6</w:t>
            </w:r>
          </w:p>
        </w:tc>
      </w:tr>
      <w:tr>
        <w:trPr>
          <w:trHeight w:val="20"/>
        </w:trPr>
        <w:tc>
          <w:tcPr>
            <w:tcW w:w="7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continue to monitor warranty and other claims associated with these products and believe as of March 31, 2021, that the warranty reserve balances associated with these matters are adequate to cover future warranty payments. However, it is possible that additional changes may be required in the future.</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DEFINED BENEFIT PENSION PLANS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net periodic pension cost for our defined benefit pension and postretirement plans during the three months ended March 31, 2021, and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71"/>
        </w:trPr>
        <w:tc>
          <w:tcPr>
            <w:tcW w:w="78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1240" w:type="dxa"/>
            <w:vAlign w:val="bottom"/>
            <w:shd w:val="clear" w:color="auto" w:fill="CCEEFF"/>
          </w:tcPr>
          <w:p>
            <w:pPr>
              <w:jc w:val="right"/>
              <w:ind w:right="108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06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7820" w:type="dxa"/>
            <w:vAlign w:val="bottom"/>
          </w:tcPr>
          <w:p>
            <w:pPr>
              <w:ind w:left="20"/>
              <w:spacing w:after="0" w:line="181" w:lineRule="exact"/>
              <w:rPr>
                <w:sz w:val="20"/>
                <w:szCs w:val="20"/>
                <w:color w:val="auto"/>
              </w:rPr>
            </w:pPr>
            <w:r>
              <w:rPr>
                <w:rFonts w:ascii="Arial" w:cs="Arial" w:eastAsia="Arial" w:hAnsi="Arial"/>
                <w:sz w:val="14"/>
                <w:szCs w:val="14"/>
                <w:color w:val="auto"/>
              </w:rPr>
              <w:t>Other components of net periodic pension cost</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0"/>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cost</w:t>
            </w:r>
          </w:p>
        </w:tc>
        <w:tc>
          <w:tcPr>
            <w:tcW w:w="12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7820" w:type="dxa"/>
            <w:vAlign w:val="bottom"/>
          </w:tcPr>
          <w:p>
            <w:pPr>
              <w:ind w:left="120"/>
              <w:spacing w:after="0"/>
              <w:rPr>
                <w:sz w:val="20"/>
                <w:szCs w:val="20"/>
                <w:color w:val="auto"/>
              </w:rPr>
            </w:pPr>
            <w:r>
              <w:rPr>
                <w:rFonts w:ascii="Arial" w:cs="Arial" w:eastAsia="Arial" w:hAnsi="Arial"/>
                <w:sz w:val="14"/>
                <w:szCs w:val="14"/>
                <w:color w:val="auto"/>
              </w:rPr>
              <w:t>Expected return on plan assets</w:t>
            </w:r>
          </w:p>
        </w:tc>
        <w:tc>
          <w:tcPr>
            <w:tcW w:w="1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1"/>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prior service cost</w:t>
            </w:r>
          </w:p>
        </w:tc>
        <w:tc>
          <w:tcPr>
            <w:tcW w:w="12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Amortization of net loss</w:t>
            </w:r>
          </w:p>
        </w:tc>
        <w:tc>
          <w:tcPr>
            <w:tcW w:w="1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periodic pension cost</w:t>
            </w:r>
          </w:p>
        </w:tc>
        <w:tc>
          <w:tcPr>
            <w:tcW w:w="1240" w:type="dxa"/>
            <w:vAlign w:val="bottom"/>
            <w:tcBorders>
              <w:bottom w:val="single" w:sz="8" w:color="auto"/>
            </w:tcBorders>
            <w:shd w:val="clear" w:color="auto" w:fill="CCEEFF"/>
          </w:tcPr>
          <w:p>
            <w:pPr>
              <w:jc w:val="right"/>
              <w:ind w:right="108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2"/>
          <w:szCs w:val="12"/>
          <w:color w:val="auto"/>
          <w:vertAlign w:val="superscript"/>
        </w:rPr>
        <w:t>1</w:t>
      </w:r>
      <w:r>
        <w:rPr>
          <w:rFonts w:ascii="Arial" w:cs="Arial" w:eastAsia="Arial" w:hAnsi="Arial"/>
          <w:sz w:val="10"/>
          <w:szCs w:val="10"/>
          <w:color w:val="auto"/>
        </w:rPr>
        <w:t>Other components of net periodic pension cost are included in Other non-operating items on our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20"/>
                <w:szCs w:val="20"/>
                <w:color w:val="auto"/>
              </w:rPr>
            </w:pPr>
            <w:r>
              <w:rPr>
                <w:rFonts w:ascii="Arial" w:cs="Arial" w:eastAsia="Arial" w:hAnsi="Arial"/>
                <w:sz w:val="14"/>
                <w:szCs w:val="14"/>
                <w:b w:val="1"/>
                <w:bCs w:val="1"/>
                <w:color w:val="auto"/>
              </w:rPr>
              <w:t>NOTE 16. ACCUMULATED COMPREHENSIVE INCOME (LOSS)</w:t>
            </w: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61"/>
        </w:trPr>
        <w:tc>
          <w:tcPr>
            <w:tcW w:w="8940" w:type="dxa"/>
            <w:vAlign w:val="bottom"/>
            <w:gridSpan w:val="2"/>
          </w:tcPr>
          <w:p>
            <w:pPr>
              <w:spacing w:after="0"/>
              <w:rPr>
                <w:sz w:val="20"/>
                <w:szCs w:val="20"/>
                <w:color w:val="auto"/>
              </w:rPr>
            </w:pPr>
            <w:r>
              <w:rPr>
                <w:rFonts w:ascii="Arial" w:cs="Arial" w:eastAsia="Arial" w:hAnsi="Arial"/>
                <w:sz w:val="14"/>
                <w:szCs w:val="14"/>
                <w:color w:val="auto"/>
              </w:rPr>
              <w:t>Other comprehensive income activity, net of tax, is provided in the following table for the three months ended March 31, 2021, and 2020: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76"/>
        </w:trPr>
        <w:tc>
          <w:tcPr>
            <w:tcW w:w="7740" w:type="dxa"/>
            <w:vAlign w:val="bottom"/>
          </w:tcPr>
          <w:p>
            <w:pPr>
              <w:spacing w:after="0"/>
              <w:rPr>
                <w:sz w:val="24"/>
                <w:szCs w:val="24"/>
                <w:color w:val="auto"/>
              </w:rPr>
            </w:pPr>
          </w:p>
        </w:tc>
        <w:tc>
          <w:tcPr>
            <w:tcW w:w="302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r>
      <w:tr>
        <w:trPr>
          <w:trHeight w:val="171"/>
        </w:trPr>
        <w:tc>
          <w:tcPr>
            <w:tcW w:w="77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4"/>
                <w:szCs w:val="14"/>
                <w:color w:val="auto"/>
              </w:rPr>
            </w:pPr>
          </w:p>
        </w:tc>
      </w:tr>
      <w:tr>
        <w:trPr>
          <w:trHeight w:val="160"/>
        </w:trPr>
        <w:tc>
          <w:tcPr>
            <w:tcW w:w="774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b w:val="1"/>
                <w:bCs w:val="1"/>
                <w:color w:val="auto"/>
              </w:rPr>
              <w:t>Pension</w:t>
            </w:r>
            <w:r>
              <w:rPr>
                <w:rFonts w:ascii="Arial" w:cs="Arial" w:eastAsia="Arial" w:hAnsi="Arial"/>
                <w:sz w:val="18"/>
                <w:szCs w:val="18"/>
                <w:b w:val="1"/>
                <w:bCs w:val="1"/>
                <w:color w:val="auto"/>
                <w:vertAlign w:val="superscript"/>
              </w:rPr>
              <w:t>1</w:t>
            </w:r>
          </w:p>
        </w:tc>
        <w:tc>
          <w:tcPr>
            <w:tcW w:w="1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80"/>
        </w:trPr>
        <w:tc>
          <w:tcPr>
            <w:tcW w:w="7740" w:type="dxa"/>
            <w:vAlign w:val="bottom"/>
          </w:tcPr>
          <w:p>
            <w:pPr>
              <w:ind w:left="20"/>
              <w:spacing w:after="0"/>
              <w:rPr>
                <w:sz w:val="20"/>
                <w:szCs w:val="20"/>
                <w:color w:val="auto"/>
              </w:rPr>
            </w:pPr>
            <w:r>
              <w:rPr>
                <w:rFonts w:ascii="Arial" w:cs="Arial" w:eastAsia="Arial" w:hAnsi="Arial"/>
                <w:sz w:val="14"/>
                <w:szCs w:val="14"/>
                <w:color w:val="auto"/>
              </w:rPr>
              <w:t>Balance at beginning of period</w:t>
            </w:r>
          </w:p>
        </w:tc>
        <w:tc>
          <w:tcPr>
            <w:tcW w:w="1200" w:type="dxa"/>
            <w:vAlign w:val="bottom"/>
          </w:tcPr>
          <w:p>
            <w:pPr>
              <w:jc w:val="right"/>
              <w:ind w:right="104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1200" w:type="dxa"/>
            <w:vAlign w:val="bottom"/>
          </w:tcPr>
          <w:p>
            <w:pPr>
              <w:jc w:val="right"/>
              <w:ind w:right="104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81"/>
        </w:trPr>
        <w:tc>
          <w:tcPr>
            <w:tcW w:w="77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Amounts reclassified from accumulated other comprehensive loss to income </w:t>
            </w:r>
            <w:r>
              <w:rPr>
                <w:rFonts w:ascii="Arial" w:cs="Arial" w:eastAsia="Arial" w:hAnsi="Arial"/>
                <w:sz w:val="18"/>
                <w:szCs w:val="18"/>
                <w:color w:val="auto"/>
                <w:vertAlign w:val="superscript"/>
              </w:rPr>
              <w:t>2</w:t>
            </w:r>
          </w:p>
        </w:tc>
        <w:tc>
          <w:tcPr>
            <w:tcW w:w="1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1"/>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comprehensive income</w:t>
            </w:r>
          </w:p>
        </w:tc>
        <w:tc>
          <w:tcPr>
            <w:tcW w:w="12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71"/>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12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60"/>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Translation Adjustments</w:t>
            </w: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8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8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Translation adjustments</w:t>
            </w:r>
          </w:p>
        </w:tc>
        <w:tc>
          <w:tcPr>
            <w:tcW w:w="1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71"/>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12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60"/>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8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7740" w:type="dxa"/>
            <w:vAlign w:val="bottom"/>
          </w:tcPr>
          <w:p>
            <w:pPr>
              <w:ind w:left="20"/>
              <w:spacing w:after="0"/>
              <w:rPr>
                <w:sz w:val="20"/>
                <w:szCs w:val="20"/>
                <w:color w:val="auto"/>
              </w:rPr>
            </w:pPr>
            <w:r>
              <w:rPr>
                <w:rFonts w:ascii="Arial" w:cs="Arial" w:eastAsia="Arial" w:hAnsi="Arial"/>
                <w:sz w:val="14"/>
                <w:szCs w:val="14"/>
                <w:color w:val="auto"/>
              </w:rPr>
              <w:t>Unrealized gains on securities, net of reversals</w:t>
            </w:r>
          </w:p>
        </w:tc>
        <w:tc>
          <w:tcPr>
            <w:tcW w:w="1200" w:type="dxa"/>
            <w:vAlign w:val="bottom"/>
          </w:tcPr>
          <w:p>
            <w:pPr>
              <w:spacing w:after="0"/>
              <w:rPr>
                <w:sz w:val="15"/>
                <w:szCs w:val="15"/>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12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color w:val="auto"/>
              </w:rPr>
              <w:t>Accumulated other comprehensive loss, end of period</w:t>
            </w:r>
          </w:p>
        </w:tc>
        <w:tc>
          <w:tcPr>
            <w:tcW w:w="1200" w:type="dxa"/>
            <w:vAlign w:val="bottom"/>
            <w:tcBorders>
              <w:bottom w:val="single" w:sz="8" w:color="auto"/>
            </w:tcBorders>
          </w:tcPr>
          <w:p>
            <w:pPr>
              <w:jc w:val="right"/>
              <w:ind w:right="104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ind w:right="104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r>
      <w:tr>
        <w:trPr>
          <w:trHeight w:val="20"/>
        </w:trPr>
        <w:tc>
          <w:tcPr>
            <w:tcW w:w="7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60" w:hanging="55"/>
        <w:spacing w:after="0"/>
        <w:tabs>
          <w:tab w:leader="none" w:pos="60" w:val="left"/>
        </w:tabs>
        <w:numPr>
          <w:ilvl w:val="0"/>
          <w:numId w:val="4"/>
        </w:numPr>
        <w:rPr>
          <w:rFonts w:ascii="Arial" w:cs="Arial" w:eastAsia="Arial" w:hAnsi="Arial"/>
          <w:sz w:val="7"/>
          <w:szCs w:val="7"/>
          <w:color w:val="auto"/>
        </w:rPr>
      </w:pPr>
      <w:r>
        <w:rPr>
          <w:rFonts w:ascii="Arial" w:cs="Arial" w:eastAsia="Arial" w:hAnsi="Arial"/>
          <w:sz w:val="11"/>
          <w:szCs w:val="11"/>
          <w:color w:val="auto"/>
        </w:rPr>
        <w:t>Amounts are presented net of tax.</w:t>
      </w:r>
    </w:p>
    <w:p>
      <w:pPr>
        <w:spacing w:after="0" w:line="11" w:lineRule="exact"/>
        <w:rPr>
          <w:sz w:val="20"/>
          <w:szCs w:val="20"/>
          <w:color w:val="auto"/>
        </w:rPr>
      </w:pPr>
    </w:p>
    <w:p>
      <w:pPr>
        <w:ind w:left="60" w:hanging="55"/>
        <w:spacing w:after="0"/>
        <w:tabs>
          <w:tab w:leader="none" w:pos="60" w:val="left"/>
        </w:tabs>
        <w:numPr>
          <w:ilvl w:val="0"/>
          <w:numId w:val="5"/>
        </w:numPr>
        <w:rPr>
          <w:rFonts w:ascii="Arial" w:cs="Arial" w:eastAsia="Arial" w:hAnsi="Arial"/>
          <w:sz w:val="7"/>
          <w:szCs w:val="7"/>
          <w:color w:val="auto"/>
        </w:rPr>
      </w:pPr>
      <w:r>
        <w:rPr>
          <w:rFonts w:ascii="Arial" w:cs="Arial" w:eastAsia="Arial" w:hAnsi="Arial"/>
          <w:sz w:val="11"/>
          <w:szCs w:val="11"/>
          <w:color w:val="auto"/>
        </w:rPr>
        <w:t>Amounts of actuarial loss and prior service cost are components of net periodic benefit cost.</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OTHER OPERATING AND NON-OPERATING INCOME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operating credits and charges, net</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three months ended March 31, 2021, we recorded a gain of $1 million related to the sale of assets previously classified as held for sale, offset by other expenses including severance associated with certain reorganizations within the corporate office.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March 31, 2020, we recorded a charge of $2 million related to severance associated with certain reorganizations within the corporate office.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non-operating items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three months ended March 31, 2021, we recorded an early debt extinguishment charge of $11 million related to the redemption of our 2024 Senior Notes, offset by a foreign currency gain of $1 million.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March 31, 2020, we recorded a foreign currency gain of $6 million, offset by $1 million of net periodic pension cost.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SELECTED SEGMENT DATA</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operate in four segments: Siding, OSB, EWP, and South America. Our business units have been aggregated into these four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676910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9" w:name="page20"/>
    <w:bookmarkEnd w:id="19"/>
    <w:p>
      <w:pPr>
        <w:jc w:val="both"/>
        <w:spacing w:after="0" w:line="262" w:lineRule="auto"/>
        <w:rPr>
          <w:sz w:val="20"/>
          <w:szCs w:val="20"/>
          <w:color w:val="auto"/>
        </w:rPr>
      </w:pPr>
      <w:r>
        <w:rPr>
          <w:rFonts w:ascii="Arial" w:cs="Arial" w:eastAsia="Arial" w:hAnsi="Arial"/>
          <w:sz w:val="14"/>
          <w:szCs w:val="14"/>
          <w:color w:val="auto"/>
        </w:rPr>
        <w:t>We evaluate the performance of our business segments based on net sales and Adjusted EBITDA. Accordingly, our chief operating decision maker evaluates performance and allocates resources based primarily on net sales and Adjusted EBITDA for our business segments. Adjusted EBITDA is a non-GAAP financial measure and is defined as income attributed to LP before interest expense, provision for income taxes, depreciation and amortization, and excludes stock-based compensation expense, loss on impairment attributed to LP, product-line discontinuance charges, other operating credits and charges, net, loss on early debt extinguishment, investment income, and other non-operating items.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Information about our product segments is as follows:</w:t>
            </w: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8300" w:type="dxa"/>
            <w:vAlign w:val="bottom"/>
          </w:tcPr>
          <w:p>
            <w:pPr>
              <w:spacing w:after="0"/>
              <w:rPr>
                <w:sz w:val="23"/>
                <w:szCs w:val="23"/>
                <w:color w:val="auto"/>
              </w:rPr>
            </w:pPr>
          </w:p>
        </w:tc>
        <w:tc>
          <w:tcPr>
            <w:tcW w:w="2560" w:type="dxa"/>
            <w:vAlign w:val="bottom"/>
            <w:gridSpan w:val="4"/>
          </w:tcPr>
          <w:p>
            <w:pPr>
              <w:jc w:val="right"/>
              <w:ind w:right="34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83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89"/>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sales</w:t>
            </w: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30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Siding</w:t>
            </w: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OSB</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EWP</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South America</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Arial" w:cs="Arial" w:eastAsia="Arial" w:hAnsi="Arial"/>
                <w:sz w:val="14"/>
                <w:szCs w:val="14"/>
                <w:color w:val="auto"/>
              </w:rPr>
              <w:t>Intersegment sales</w:t>
            </w:r>
          </w:p>
        </w:tc>
        <w:tc>
          <w:tcPr>
            <w:tcW w:w="96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3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Total sales</w:t>
            </w:r>
          </w:p>
        </w:tc>
        <w:tc>
          <w:tcPr>
            <w:tcW w:w="96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585</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PROFIT BY SEGMENT</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30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Add (deduct):</w:t>
            </w: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attributed to noncontrolling interest</w:t>
            </w: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Income attributed to LP</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Loss on impairment attributed to LP</w:t>
            </w:r>
          </w:p>
        </w:tc>
        <w:tc>
          <w:tcPr>
            <w:tcW w:w="96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operating credits and charges, net</w:t>
            </w:r>
          </w:p>
        </w:tc>
        <w:tc>
          <w:tcPr>
            <w:tcW w:w="9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Loss on early debt extinguishment</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96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non-operating items</w:t>
            </w: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8300" w:type="dxa"/>
            <w:vAlign w:val="bottom"/>
          </w:tcPr>
          <w:p>
            <w:pPr>
              <w:ind w:left="120"/>
              <w:spacing w:after="0"/>
              <w:rPr>
                <w:sz w:val="20"/>
                <w:szCs w:val="20"/>
                <w:color w:val="auto"/>
              </w:rPr>
            </w:pPr>
            <w:r>
              <w:rPr>
                <w:rFonts w:ascii="Arial" w:cs="Arial" w:eastAsia="Arial" w:hAnsi="Arial"/>
                <w:sz w:val="14"/>
                <w:szCs w:val="14"/>
                <w:b w:val="1"/>
                <w:bCs w:val="1"/>
                <w:color w:val="auto"/>
              </w:rPr>
              <w:t>Adjusted EBITDA</w:t>
            </w:r>
          </w:p>
        </w:tc>
        <w:tc>
          <w:tcPr>
            <w:tcW w:w="9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461</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Siding</w:t>
            </w:r>
          </w:p>
        </w:tc>
        <w:tc>
          <w:tcPr>
            <w:tcW w:w="960" w:type="dxa"/>
            <w:vAlign w:val="bottom"/>
          </w:tcPr>
          <w:p>
            <w:pPr>
              <w:jc w:val="right"/>
              <w:ind w:right="809"/>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1020" w:type="dxa"/>
            <w:vAlign w:val="bottom"/>
          </w:tcPr>
          <w:p>
            <w:pPr>
              <w:jc w:val="right"/>
              <w:ind w:right="869"/>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OSB</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EWP</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1"/>
        </w:trPr>
        <w:tc>
          <w:tcPr>
            <w:tcW w:w="8300" w:type="dxa"/>
            <w:vAlign w:val="bottom"/>
          </w:tcPr>
          <w:p>
            <w:pPr>
              <w:ind w:left="120"/>
              <w:spacing w:after="0"/>
              <w:rPr>
                <w:sz w:val="20"/>
                <w:szCs w:val="20"/>
                <w:color w:val="auto"/>
              </w:rPr>
            </w:pPr>
            <w:r>
              <w:rPr>
                <w:rFonts w:ascii="Arial" w:cs="Arial" w:eastAsia="Arial" w:hAnsi="Arial"/>
                <w:sz w:val="14"/>
                <w:szCs w:val="14"/>
                <w:b w:val="1"/>
                <w:bCs w:val="1"/>
                <w:color w:val="auto"/>
              </w:rPr>
              <w:t>Adjusted EBITDA</w:t>
            </w:r>
          </w:p>
        </w:tc>
        <w:tc>
          <w:tcPr>
            <w:tcW w:w="9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461</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3"/>
        </w:trPr>
        <w:tc>
          <w:tcPr>
            <w:tcW w:w="8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8"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NOTE 19. SUBSEQUENT EVENT</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the first quarter of 2020, the Board of Directors authorized the repurchase of $200 million of LP's common stock (the "Share Repurchase Program"). In the fourth quarter of 2020, the Board of Directors authorized the expansion of the Share Repurchase Program under which LP may repurchase up to an additional $300 million of shares of LP’s common stock. Subsequent to March 31, 2021 through May 5, 2021, we paid $146 million to repurchase 2.3 million shares of LP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statements that are forward-looking statements that are based on the beliefs of our management, as well as assumptions made by, and information currently available to our management.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General</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To serve these markets, we operate in four segments: Siding, OSB, EWP, and South America.</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February 2021, we announced (i) that LSL production will cease during 2021 in connection with the conversion of the Houlton, Maine facility from LSL and OSB production to Siding production and (ii) our decision to explore strategic alternatives with respect to the Company's remaining EWP segment, including a possible sale in whole or in part.</w:t>
      </w:r>
    </w:p>
    <w:p>
      <w:pPr>
        <w:spacing w:after="0" w:line="15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COVID-19 pandemic did not materially impact our results of operations for the three months ended March 31, 2021, but continues to have a significant adverse effect on many sectors of the economy and the overall financial condition in the U.S. LP is continuing to follow national, state and local health and safety guidelines and is running full mill operating schedules as of March 31, 2021. However, the duration of the COVID-19 pandemic, the actions to contain the pandemic and mitigate its impacts, and the effects on our operations cannot be reasonably estimated.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Demand for our Building Products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Demand for our products correlates positively with new home construction and repair and remodeling activity in North America, which historically have been characterized by significant cyclicality. The U.S. Department of Census reported on April 16, 2021, that actual single housing starts were 21% higher in the first quarter of 2021 as compared to the same period in 2020. Repair and remodeling activity is difficult to reasonably measure, but many indications, including the substantial increase in LP’s retail sales, suggest that it grew significantly in the first quarter of 2021 as compared to the corresponding period in the prior year.</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Although housing market demand has recently been very strong, future economic conditions in the United States and the demand for homes remain uncertain due to continuing COVID-19-related disruptions, government directives, actions and economic relief efforts related thereto, and the impact of these actions on the economy, employment levels, consumer confidence, and financial markets, among other things. The potential effect of these factors on our future operational and financial performance is highly uncertain. As a result, our past performance may not be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800735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color w:val="auto"/>
        </w:rPr>
        <w:t>Supply and Demand for OSB</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OSB is sold as a commodity for which sales prices fluctuate daily based on market factors over which we have little or no control. We cannot predict whether the prices of our OSB products will remain at current levels or increase or decrease in the future.</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additional factors affecting our results, refer to the "Overview" within our Management's Discussion and Analysis of Financial Condition and Results of Operations and “Risk Factors” contained in our 2020 Annual Report on Form 10-K, and to “About Forward-Looking Statements” in this quarterly report on Form 10-Q.</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Critical Accounting Policies and Significant Estimates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Note 1 of the Notes to the Consolidated Financial Statements included in our 2020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Non-GAAP Financial Measures and Other Key Performance Indicators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income attributed to LP before interest expense, provision for income taxes, depreciation and amortization, and excludes stock-based compensation expense, loss on impairment attributed to LP, product-line discontinuance charges, other operating credits and charges, net, loss on early debt extinguishment, investment income, and other non-operating items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excluding loss on impairment attributed to LP, product-line discontinuance charges, interest expense outside of normal operations, other operating credits and charges, net, loss on early debt extinguishment, gain (loss) on acquisition, and adjusts for a normalized tax rate as Adjusted Income (Adjusted Income). We also disclose Adjusted Diluted EPS, calculated as Adjusted Income divided by diluted shares outstanding. We believe that Adjusted Diluted EPS and Adjusted Income are useful measures for evaluating our ability to generate earnings and that providing this measure should allow interested persons to more readily compare the earnings for past and future periods.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Neither Adjusted EBITDA, Adjusted Income, nor Adjusted Diluted EPS is a substitute for the U.S. GAAP measure of net income or for any other U.S. GAAP measures of operating performance. It should be noted that other companies may present similarly-titled measures differently and therefore, as presented by us, these measures may not be comparable to similarly-titled measures reported by other companies. Adjusted EBITDA, Adjusted Income, and Adjusted Diluted EPS have material limitations as performance measures because they exclude items that are actually incurred or experienced in connection with the operations of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significant items by operating segment and reconciles Net income to Adjusted EBITDA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814705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0"/>
        </w:trPr>
        <w:tc>
          <w:tcPr>
            <w:tcW w:w="8300" w:type="dxa"/>
            <w:vAlign w:val="bottom"/>
          </w:tcPr>
          <w:p>
            <w:pPr>
              <w:spacing w:after="0"/>
              <w:rPr>
                <w:sz w:val="15"/>
                <w:szCs w:val="15"/>
                <w:color w:val="auto"/>
              </w:rPr>
            </w:pPr>
          </w:p>
        </w:tc>
        <w:tc>
          <w:tcPr>
            <w:tcW w:w="2600" w:type="dxa"/>
            <w:vAlign w:val="bottom"/>
            <w:gridSpan w:val="4"/>
          </w:tcPr>
          <w:p>
            <w:pPr>
              <w:jc w:val="right"/>
              <w:ind w:right="38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r>
      <w:tr>
        <w:trPr>
          <w:trHeight w:val="184"/>
        </w:trPr>
        <w:tc>
          <w:tcPr>
            <w:tcW w:w="83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29"/>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6"/>
                <w:szCs w:val="16"/>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000" w:type="dxa"/>
            <w:vAlign w:val="bottom"/>
            <w:shd w:val="clear" w:color="auto" w:fill="CCEEFF"/>
          </w:tcPr>
          <w:p>
            <w:pPr>
              <w:jc w:val="right"/>
              <w:ind w:right="849"/>
              <w:spacing w:after="0"/>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09"/>
              <w:spacing w:after="0"/>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Add (deduct):</w:t>
            </w: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attributed to noncontrolling interest</w:t>
            </w:r>
          </w:p>
        </w:tc>
        <w:tc>
          <w:tcPr>
            <w:tcW w:w="10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300" w:type="dxa"/>
            <w:vAlign w:val="bottom"/>
          </w:tcPr>
          <w:p>
            <w:pPr>
              <w:ind w:left="120"/>
              <w:spacing w:after="0"/>
              <w:rPr>
                <w:sz w:val="20"/>
                <w:szCs w:val="20"/>
                <w:color w:val="auto"/>
              </w:rPr>
            </w:pPr>
            <w:r>
              <w:rPr>
                <w:rFonts w:ascii="Arial" w:cs="Arial" w:eastAsia="Arial" w:hAnsi="Arial"/>
                <w:sz w:val="14"/>
                <w:szCs w:val="14"/>
                <w:color w:val="auto"/>
              </w:rPr>
              <w:t>Income attributed to LP</w:t>
            </w: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Loss on impairment attributed to LP</w:t>
            </w:r>
          </w:p>
        </w:tc>
        <w:tc>
          <w:tcPr>
            <w:tcW w:w="10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operating credits and charges, net</w:t>
            </w:r>
          </w:p>
        </w:tc>
        <w:tc>
          <w:tcPr>
            <w:tcW w:w="10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Loss on early debt extinguishment</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10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non-operating items</w:t>
            </w:r>
          </w:p>
        </w:tc>
        <w:tc>
          <w:tcPr>
            <w:tcW w:w="10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71"/>
        </w:trPr>
        <w:tc>
          <w:tcPr>
            <w:tcW w:w="8300" w:type="dxa"/>
            <w:vAlign w:val="bottom"/>
          </w:tcPr>
          <w:p>
            <w:pPr>
              <w:ind w:left="120"/>
              <w:spacing w:after="0"/>
              <w:rPr>
                <w:sz w:val="20"/>
                <w:szCs w:val="20"/>
                <w:color w:val="auto"/>
              </w:rPr>
            </w:pPr>
            <w:r>
              <w:rPr>
                <w:rFonts w:ascii="Arial" w:cs="Arial" w:eastAsia="Arial" w:hAnsi="Arial"/>
                <w:sz w:val="14"/>
                <w:szCs w:val="14"/>
                <w:b w:val="1"/>
                <w:bCs w:val="1"/>
                <w:color w:val="auto"/>
              </w:rPr>
              <w:t>Adjusted EBITDA</w:t>
            </w:r>
          </w:p>
        </w:tc>
        <w:tc>
          <w:tcPr>
            <w:tcW w:w="100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461</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63"/>
        </w:trPr>
        <w:tc>
          <w:tcPr>
            <w:tcW w:w="8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Siding</w:t>
            </w:r>
          </w:p>
        </w:tc>
        <w:tc>
          <w:tcPr>
            <w:tcW w:w="1000" w:type="dxa"/>
            <w:vAlign w:val="bottom"/>
          </w:tcPr>
          <w:p>
            <w:pPr>
              <w:jc w:val="right"/>
              <w:ind w:right="849"/>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1060" w:type="dxa"/>
            <w:vAlign w:val="bottom"/>
          </w:tcPr>
          <w:p>
            <w:pPr>
              <w:jc w:val="right"/>
              <w:ind w:right="909"/>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OSB</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EWP</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10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71"/>
        </w:trPr>
        <w:tc>
          <w:tcPr>
            <w:tcW w:w="8300" w:type="dxa"/>
            <w:vAlign w:val="bottom"/>
          </w:tcPr>
          <w:p>
            <w:pPr>
              <w:ind w:left="120"/>
              <w:spacing w:after="0"/>
              <w:rPr>
                <w:sz w:val="20"/>
                <w:szCs w:val="20"/>
                <w:color w:val="auto"/>
              </w:rPr>
            </w:pPr>
            <w:r>
              <w:rPr>
                <w:rFonts w:ascii="Arial" w:cs="Arial" w:eastAsia="Arial" w:hAnsi="Arial"/>
                <w:sz w:val="14"/>
                <w:szCs w:val="14"/>
                <w:b w:val="1"/>
                <w:bCs w:val="1"/>
                <w:color w:val="auto"/>
              </w:rPr>
              <w:t>Adjusted EBITDA</w:t>
            </w:r>
          </w:p>
        </w:tc>
        <w:tc>
          <w:tcPr>
            <w:tcW w:w="100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461</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b w:val="1"/>
                <w:bCs w:val="1"/>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r>
      <w:tr>
        <w:trPr>
          <w:trHeight w:val="20"/>
        </w:trPr>
        <w:tc>
          <w:tcPr>
            <w:tcW w:w="8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352"/>
        </w:trPr>
        <w:tc>
          <w:tcPr>
            <w:tcW w:w="8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49"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0"/>
        </w:trPr>
        <w:tc>
          <w:tcPr>
            <w:tcW w:w="8300" w:type="dxa"/>
            <w:vAlign w:val="bottom"/>
          </w:tcPr>
          <w:p>
            <w:pPr>
              <w:spacing w:after="0"/>
              <w:rPr>
                <w:sz w:val="20"/>
                <w:szCs w:val="20"/>
                <w:color w:val="auto"/>
              </w:rPr>
            </w:pPr>
            <w:r>
              <w:rPr>
                <w:rFonts w:ascii="Arial" w:cs="Arial" w:eastAsia="Arial" w:hAnsi="Arial"/>
                <w:sz w:val="14"/>
                <w:szCs w:val="14"/>
                <w:color w:val="auto"/>
                <w:w w:val="98"/>
              </w:rPr>
              <w:t>The following table provides the reconciliation of Net income to Adjusted Income (dollar amounts in millions, except earnings per share):</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62"/>
        </w:trPr>
        <w:tc>
          <w:tcPr>
            <w:tcW w:w="8300" w:type="dxa"/>
            <w:vAlign w:val="bottom"/>
          </w:tcPr>
          <w:p>
            <w:pPr>
              <w:spacing w:after="0"/>
              <w:rPr>
                <w:sz w:val="22"/>
                <w:szCs w:val="22"/>
                <w:color w:val="auto"/>
              </w:rPr>
            </w:pPr>
          </w:p>
        </w:tc>
        <w:tc>
          <w:tcPr>
            <w:tcW w:w="2540" w:type="dxa"/>
            <w:vAlign w:val="bottom"/>
            <w:gridSpan w:val="4"/>
          </w:tcPr>
          <w:p>
            <w:pPr>
              <w:jc w:val="right"/>
              <w:ind w:right="32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22"/>
                <w:szCs w:val="22"/>
                <w:color w:val="auto"/>
              </w:rPr>
            </w:pPr>
          </w:p>
        </w:tc>
      </w:tr>
      <w:tr>
        <w:trPr>
          <w:trHeight w:val="184"/>
        </w:trPr>
        <w:tc>
          <w:tcPr>
            <w:tcW w:w="83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669"/>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49"/>
              <w:spacing w:after="0"/>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Add (deduct):</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attributed to noncontrolling interest</w:t>
            </w:r>
          </w:p>
        </w:tc>
        <w:tc>
          <w:tcPr>
            <w:tcW w:w="9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300" w:type="dxa"/>
            <w:vAlign w:val="bottom"/>
          </w:tcPr>
          <w:p>
            <w:pPr>
              <w:ind w:left="120"/>
              <w:spacing w:after="0"/>
              <w:rPr>
                <w:sz w:val="20"/>
                <w:szCs w:val="20"/>
                <w:color w:val="auto"/>
              </w:rPr>
            </w:pPr>
            <w:r>
              <w:rPr>
                <w:rFonts w:ascii="Arial" w:cs="Arial" w:eastAsia="Arial" w:hAnsi="Arial"/>
                <w:sz w:val="14"/>
                <w:szCs w:val="14"/>
                <w:color w:val="auto"/>
              </w:rPr>
              <w:t>Income attributed to LP</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impairment attributed to LP</w:t>
            </w:r>
          </w:p>
        </w:tc>
        <w:tc>
          <w:tcPr>
            <w:tcW w:w="9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Other operating credits and charges, net</w:t>
            </w:r>
          </w:p>
        </w:tc>
        <w:tc>
          <w:tcPr>
            <w:tcW w:w="9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early debt extinguishment</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Reported tax provision</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income before tax</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Normalized tax provision at 25%</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96"/>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Adjusted Income</w:t>
            </w: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320</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300" w:type="dxa"/>
            <w:vAlign w:val="bottom"/>
          </w:tcPr>
          <w:p>
            <w:pPr>
              <w:ind w:left="20"/>
              <w:spacing w:after="0" w:line="143" w:lineRule="exact"/>
              <w:rPr>
                <w:sz w:val="20"/>
                <w:szCs w:val="20"/>
                <w:color w:val="auto"/>
              </w:rPr>
            </w:pPr>
            <w:r>
              <w:rPr>
                <w:rFonts w:ascii="Arial" w:cs="Arial" w:eastAsia="Arial" w:hAnsi="Arial"/>
                <w:sz w:val="14"/>
                <w:szCs w:val="14"/>
                <w:color w:val="auto"/>
              </w:rPr>
              <w:t>Diluted shares outstanding</w:t>
            </w:r>
          </w:p>
        </w:tc>
        <w:tc>
          <w:tcPr>
            <w:tcW w:w="9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107</w:t>
            </w:r>
          </w:p>
        </w:tc>
        <w:tc>
          <w:tcPr>
            <w:tcW w:w="1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113</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88"/>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Adjusted Diluted EPS</w:t>
            </w: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3.01</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0.34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In addition, management monitors certain key performance indicators to evaluate our business performance, which include our Overall Equipment Effectiveness (OEE) and our sales volume relative to housing starts, as provided by reports from the U.S. Department of Census. These key performance indicators are further described on page 35 of this quarterly report on Form 10-Q and are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Results of Operations</w:t>
      </w:r>
    </w:p>
    <w:p>
      <w:pPr>
        <w:spacing w:after="0" w:line="204"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Our results of operations are separately discussed below for each of our segments, as well as for the “Other” category, which comprises other products that are not individually significant. See Note 18 of the Notes to the Condensed Consolidated Financial Statements included in Item 1 of this quarterly report on Form 10-Q for further information regarding our segments.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SIDING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Siding segment serves diverse end markets with a broad product offering including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SmartSide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Trim &amp; Siding,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SmartSide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ExpertFinish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prefinished siding, and LP Outdoor Building Solutions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for premium outdoor buildings. Our SmartSide products consist of a full line of engineered wood siding, trim, soffit, and fascia.</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Segment sales, Adjusted EBITDA, and Adjusted EBITDA margin for this segment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95"/>
              </w:rPr>
              <w:t>Three Months Ended March 31,</w:t>
            </w:r>
          </w:p>
        </w:tc>
        <w:tc>
          <w:tcPr>
            <w:tcW w:w="940" w:type="dxa"/>
            <w:vAlign w:val="bottom"/>
            <w:tcBorders>
              <w:bottom w:val="single" w:sz="8" w:color="auto"/>
            </w:tcBorders>
          </w:tcPr>
          <w:p>
            <w:pPr>
              <w:spacing w:after="0"/>
              <w:rPr>
                <w:sz w:val="14"/>
                <w:szCs w:val="14"/>
                <w:color w:val="auto"/>
              </w:rPr>
            </w:pPr>
          </w:p>
        </w:tc>
      </w:tr>
      <w:tr>
        <w:trPr>
          <w:trHeight w:val="160"/>
        </w:trPr>
        <w:tc>
          <w:tcPr>
            <w:tcW w:w="74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Change</w:t>
            </w:r>
          </w:p>
        </w:tc>
      </w:tr>
      <w:tr>
        <w:trPr>
          <w:trHeight w:val="163"/>
        </w:trPr>
        <w:tc>
          <w:tcPr>
            <w:tcW w:w="7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sales</w:t>
            </w:r>
          </w:p>
        </w:tc>
        <w:tc>
          <w:tcPr>
            <w:tcW w:w="800" w:type="dxa"/>
            <w:vAlign w:val="bottom"/>
            <w:shd w:val="clear" w:color="auto" w:fill="CCEEFF"/>
          </w:tcPr>
          <w:p>
            <w:pPr>
              <w:jc w:val="right"/>
              <w:ind w:right="687"/>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60" w:type="dxa"/>
            <w:vAlign w:val="bottom"/>
            <w:gridSpan w:val="3"/>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800" w:type="dxa"/>
            <w:vAlign w:val="bottom"/>
          </w:tcPr>
          <w:p>
            <w:pPr>
              <w:jc w:val="right"/>
              <w:ind w:right="687"/>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90</w:t>
            </w:r>
          </w:p>
        </w:tc>
        <w:tc>
          <w:tcPr>
            <w:tcW w:w="1060" w:type="dxa"/>
            <w:vAlign w:val="bottom"/>
            <w:gridSpan w:val="3"/>
          </w:tcPr>
          <w:p>
            <w:pPr>
              <w:jc w:val="right"/>
              <w:ind w:right="656"/>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96"/>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116 %</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8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264"/>
        </w:trPr>
        <w:tc>
          <w:tcPr>
            <w:tcW w:w="7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auto"/>
        </w:rPr>
        <w:t>Sales in this segment by product line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ind w:left="200"/>
              <w:spacing w:after="0"/>
              <w:rPr>
                <w:sz w:val="20"/>
                <w:szCs w:val="20"/>
                <w:color w:val="auto"/>
              </w:rPr>
            </w:pPr>
            <w:r>
              <w:rPr>
                <w:rFonts w:ascii="Arial" w:cs="Arial" w:eastAsia="Arial" w:hAnsi="Arial"/>
                <w:sz w:val="13"/>
                <w:szCs w:val="13"/>
                <w:b w:val="1"/>
                <w:bCs w:val="1"/>
                <w:color w:val="auto"/>
                <w:w w:val="93"/>
              </w:rPr>
              <w:t>Three Months Ended March 31,</w:t>
            </w:r>
          </w:p>
        </w:tc>
        <w:tc>
          <w:tcPr>
            <w:tcW w:w="920" w:type="dxa"/>
            <w:vAlign w:val="bottom"/>
            <w:tcBorders>
              <w:bottom w:val="single" w:sz="8" w:color="auto"/>
            </w:tcBorders>
          </w:tcPr>
          <w:p>
            <w:pPr>
              <w:spacing w:after="0"/>
              <w:rPr>
                <w:sz w:val="14"/>
                <w:szCs w:val="14"/>
                <w:color w:val="auto"/>
              </w:rPr>
            </w:pPr>
          </w:p>
        </w:tc>
      </w:tr>
      <w:tr>
        <w:trPr>
          <w:trHeight w:val="160"/>
        </w:trPr>
        <w:tc>
          <w:tcPr>
            <w:tcW w:w="75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Change</w:t>
            </w:r>
          </w:p>
        </w:tc>
      </w:tr>
      <w:tr>
        <w:trPr>
          <w:trHeight w:val="163"/>
        </w:trPr>
        <w:tc>
          <w:tcPr>
            <w:tcW w:w="75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SmartSide</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49 %</w:t>
            </w:r>
          </w:p>
        </w:tc>
      </w:tr>
      <w:tr>
        <w:trPr>
          <w:trHeight w:val="168"/>
        </w:trPr>
        <w:tc>
          <w:tcPr>
            <w:tcW w:w="7560" w:type="dxa"/>
            <w:vAlign w:val="bottom"/>
          </w:tcPr>
          <w:p>
            <w:pPr>
              <w:ind w:left="20"/>
              <w:spacing w:after="0"/>
              <w:rPr>
                <w:sz w:val="20"/>
                <w:szCs w:val="20"/>
                <w:color w:val="auto"/>
              </w:rPr>
            </w:pPr>
            <w:r>
              <w:rPr>
                <w:rFonts w:ascii="Arial" w:cs="Arial" w:eastAsia="Arial" w:hAnsi="Arial"/>
                <w:sz w:val="13"/>
                <w:szCs w:val="13"/>
                <w:color w:val="auto"/>
              </w:rPr>
              <w:t>Fiber siding</w:t>
            </w:r>
          </w:p>
        </w:tc>
        <w:tc>
          <w:tcPr>
            <w:tcW w:w="7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 %</w:t>
            </w:r>
          </w:p>
        </w:tc>
      </w:tr>
      <w:tr>
        <w:trPr>
          <w:trHeight w:val="172"/>
        </w:trPr>
        <w:tc>
          <w:tcPr>
            <w:tcW w:w="7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7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 %</w:t>
            </w:r>
          </w:p>
        </w:tc>
      </w:tr>
      <w:tr>
        <w:trPr>
          <w:trHeight w:val="158"/>
        </w:trPr>
        <w:tc>
          <w:tcPr>
            <w:tcW w:w="7560" w:type="dxa"/>
            <w:vAlign w:val="bottom"/>
          </w:tcPr>
          <w:p>
            <w:pPr>
              <w:ind w:left="280"/>
              <w:spacing w:after="0" w:line="146" w:lineRule="exact"/>
              <w:rPr>
                <w:sz w:val="20"/>
                <w:szCs w:val="20"/>
                <w:color w:val="auto"/>
              </w:rPr>
            </w:pPr>
            <w:r>
              <w:rPr>
                <w:rFonts w:ascii="Arial" w:cs="Arial" w:eastAsia="Arial" w:hAnsi="Arial"/>
                <w:sz w:val="13"/>
                <w:szCs w:val="13"/>
                <w:color w:val="auto"/>
              </w:rPr>
              <w:t>Total</w:t>
            </w:r>
          </w:p>
        </w:tc>
        <w:tc>
          <w:tcPr>
            <w:tcW w:w="7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285</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212</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35 %</w:t>
            </w:r>
          </w:p>
        </w:tc>
      </w:tr>
      <w:tr>
        <w:trPr>
          <w:trHeight w:val="20"/>
        </w:trPr>
        <w:tc>
          <w:tcPr>
            <w:tcW w:w="7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Percent changes in average sales prices and unit shipments for the three months ended March 31, 2021, compared to the three months ended March 31, 2020,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20" w:type="dxa"/>
            <w:vAlign w:val="bottom"/>
          </w:tcPr>
          <w:p>
            <w:pPr>
              <w:spacing w:after="0"/>
              <w:rPr>
                <w:sz w:val="13"/>
                <w:szCs w:val="13"/>
                <w:color w:val="auto"/>
              </w:rPr>
            </w:pPr>
          </w:p>
        </w:tc>
        <w:tc>
          <w:tcPr>
            <w:tcW w:w="3300" w:type="dxa"/>
            <w:vAlign w:val="bottom"/>
            <w:gridSpan w:val="4"/>
          </w:tcPr>
          <w:p>
            <w:pPr>
              <w:jc w:val="center"/>
              <w:ind w:left="416"/>
              <w:spacing w:after="0"/>
              <w:rPr>
                <w:sz w:val="20"/>
                <w:szCs w:val="20"/>
                <w:color w:val="auto"/>
              </w:rPr>
            </w:pPr>
            <w:r>
              <w:rPr>
                <w:rFonts w:ascii="Arial" w:cs="Arial" w:eastAsia="Arial" w:hAnsi="Arial"/>
                <w:sz w:val="13"/>
                <w:szCs w:val="13"/>
                <w:b w:val="1"/>
                <w:bCs w:val="1"/>
                <w:color w:val="auto"/>
                <w:w w:val="90"/>
              </w:rPr>
              <w:t>Three Months Ended March 31,</w:t>
            </w:r>
          </w:p>
        </w:tc>
        <w:tc>
          <w:tcPr>
            <w:tcW w:w="460" w:type="dxa"/>
            <w:vAlign w:val="bottom"/>
          </w:tcPr>
          <w:p>
            <w:pPr>
              <w:spacing w:after="0"/>
              <w:rPr>
                <w:sz w:val="13"/>
                <w:szCs w:val="13"/>
                <w:color w:val="auto"/>
              </w:rPr>
            </w:pPr>
          </w:p>
        </w:tc>
      </w:tr>
      <w:tr>
        <w:trPr>
          <w:trHeight w:val="168"/>
        </w:trPr>
        <w:tc>
          <w:tcPr>
            <w:tcW w:w="752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816"/>
              <w:spacing w:after="0"/>
              <w:rPr>
                <w:sz w:val="20"/>
                <w:szCs w:val="20"/>
                <w:color w:val="auto"/>
              </w:rPr>
            </w:pPr>
            <w:r>
              <w:rPr>
                <w:rFonts w:ascii="Arial" w:cs="Arial" w:eastAsia="Arial" w:hAnsi="Arial"/>
                <w:sz w:val="13"/>
                <w:szCs w:val="13"/>
                <w:b w:val="1"/>
                <w:bCs w:val="1"/>
                <w:color w:val="auto"/>
                <w:w w:val="85"/>
              </w:rPr>
              <w:t>2021 versus 2020</w:t>
            </w:r>
          </w:p>
        </w:tc>
        <w:tc>
          <w:tcPr>
            <w:tcW w:w="460" w:type="dxa"/>
            <w:vAlign w:val="bottom"/>
            <w:tcBorders>
              <w:bottom w:val="single" w:sz="8" w:color="auto"/>
            </w:tcBorders>
          </w:tcPr>
          <w:p>
            <w:pPr>
              <w:spacing w:after="0"/>
              <w:rPr>
                <w:sz w:val="14"/>
                <w:szCs w:val="14"/>
                <w:color w:val="auto"/>
              </w:rPr>
            </w:pPr>
          </w:p>
        </w:tc>
      </w:tr>
      <w:tr>
        <w:trPr>
          <w:trHeight w:val="124"/>
        </w:trPr>
        <w:tc>
          <w:tcPr>
            <w:tcW w:w="7520" w:type="dxa"/>
            <w:vAlign w:val="bottom"/>
          </w:tcPr>
          <w:p>
            <w:pPr>
              <w:spacing w:after="0"/>
              <w:rPr>
                <w:sz w:val="10"/>
                <w:szCs w:val="10"/>
                <w:color w:val="auto"/>
              </w:rPr>
            </w:pPr>
          </w:p>
        </w:tc>
        <w:tc>
          <w:tcPr>
            <w:tcW w:w="1340" w:type="dxa"/>
            <w:vAlign w:val="bottom"/>
          </w:tcPr>
          <w:p>
            <w:pPr>
              <w:ind w:left="600"/>
              <w:spacing w:after="0" w:line="124" w:lineRule="exact"/>
              <w:rPr>
                <w:sz w:val="20"/>
                <w:szCs w:val="20"/>
                <w:color w:val="auto"/>
              </w:rPr>
            </w:pPr>
            <w:r>
              <w:rPr>
                <w:rFonts w:ascii="Arial" w:cs="Arial" w:eastAsia="Arial" w:hAnsi="Arial"/>
                <w:sz w:val="13"/>
                <w:szCs w:val="13"/>
                <w:color w:val="auto"/>
                <w:w w:val="99"/>
              </w:rPr>
              <w:t>Average Net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jc w:val="center"/>
              <w:ind w:left="416"/>
              <w:spacing w:after="0" w:line="124" w:lineRule="exact"/>
              <w:rPr>
                <w:sz w:val="20"/>
                <w:szCs w:val="20"/>
                <w:color w:val="auto"/>
              </w:rPr>
            </w:pPr>
            <w:r>
              <w:rPr>
                <w:rFonts w:ascii="Arial" w:cs="Arial" w:eastAsia="Arial" w:hAnsi="Arial"/>
                <w:sz w:val="13"/>
                <w:szCs w:val="13"/>
                <w:color w:val="auto"/>
                <w:w w:val="94"/>
              </w:rPr>
              <w:t>Unit</w:t>
            </w:r>
          </w:p>
        </w:tc>
        <w:tc>
          <w:tcPr>
            <w:tcW w:w="460" w:type="dxa"/>
            <w:vAlign w:val="bottom"/>
          </w:tcPr>
          <w:p>
            <w:pPr>
              <w:spacing w:after="0"/>
              <w:rPr>
                <w:sz w:val="10"/>
                <w:szCs w:val="10"/>
                <w:color w:val="auto"/>
              </w:rPr>
            </w:pPr>
          </w:p>
        </w:tc>
      </w:tr>
      <w:tr>
        <w:trPr>
          <w:trHeight w:val="164"/>
        </w:trPr>
        <w:tc>
          <w:tcPr>
            <w:tcW w:w="75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Selling Price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color w:val="auto"/>
                <w:w w:val="87"/>
              </w:rPr>
              <w:t>Shipments</w:t>
            </w:r>
          </w:p>
        </w:tc>
        <w:tc>
          <w:tcPr>
            <w:tcW w:w="460" w:type="dxa"/>
            <w:vAlign w:val="bottom"/>
            <w:tcBorders>
              <w:bottom w:val="single" w:sz="8" w:color="auto"/>
            </w:tcBorders>
          </w:tcPr>
          <w:p>
            <w:pPr>
              <w:spacing w:after="0"/>
              <w:rPr>
                <w:sz w:val="14"/>
                <w:szCs w:val="14"/>
                <w:color w:val="auto"/>
              </w:rPr>
            </w:pPr>
          </w:p>
        </w:tc>
      </w:tr>
      <w:tr>
        <w:trPr>
          <w:trHeight w:val="163"/>
        </w:trPr>
        <w:tc>
          <w:tcPr>
            <w:tcW w:w="7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SmartSide</w:t>
            </w:r>
          </w:p>
        </w:tc>
        <w:tc>
          <w:tcPr>
            <w:tcW w:w="13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39 %</w:t>
            </w:r>
          </w:p>
        </w:tc>
      </w:tr>
    </w:tbl>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Siding net sales increased by $73 million (or 35%) for the three months ended March 31, 2021, compared to the corresponding period in 2020. The increase is primarily due to the SmartSide revenue increase of 49% (39% volume, 7% price) for the three months ended March 31, 2021.</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Adjusted EBITDA increased year over year by $48 million for the three months ended March 31, 2021, primarily due to the increased SmartSide revenue, partially offset by a decrease in fiber sales and an increase in freight costs.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OSB</w:t>
      </w:r>
    </w:p>
    <w:p>
      <w:pPr>
        <w:spacing w:after="0" w:line="195" w:lineRule="exact"/>
        <w:rPr>
          <w:sz w:val="20"/>
          <w:szCs w:val="20"/>
          <w:color w:val="auto"/>
        </w:rPr>
      </w:pPr>
    </w:p>
    <w:p>
      <w:pPr>
        <w:jc w:val="both"/>
        <w:spacing w:after="0" w:line="218" w:lineRule="auto"/>
        <w:rPr>
          <w:sz w:val="20"/>
          <w:szCs w:val="20"/>
          <w:color w:val="auto"/>
        </w:rPr>
      </w:pPr>
      <w:r>
        <w:rPr>
          <w:rFonts w:ascii="Arial" w:cs="Arial" w:eastAsia="Arial" w:hAnsi="Arial"/>
          <w:sz w:val="14"/>
          <w:szCs w:val="14"/>
          <w:color w:val="auto"/>
        </w:rPr>
        <w:t>The OSB segment manufactures and distributes OSB structural panel products including our value-added OSB portfolio known as LP Structural Solutions (which includes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TechShield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Radiant Barrier, LP WeatherLogic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Air &amp; Water Barrier, LP Legacy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Premium Sub-Flooring, and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FlameBlock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Fire-Rated Sheathing) and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TopNotch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Sub-Flooring. OSB is manufactured using wood strands arranged in layers and bonded with resins.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Segment sales, Adjusted EBITDA, and Adjusted EBITDA Margin for this segment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95"/>
              </w:rPr>
              <w:t>Three Months Ended March 31,</w:t>
            </w:r>
          </w:p>
        </w:tc>
        <w:tc>
          <w:tcPr>
            <w:tcW w:w="940" w:type="dxa"/>
            <w:vAlign w:val="bottom"/>
            <w:tcBorders>
              <w:bottom w:val="single" w:sz="8" w:color="auto"/>
            </w:tcBorders>
          </w:tcPr>
          <w:p>
            <w:pPr>
              <w:spacing w:after="0"/>
              <w:rPr>
                <w:sz w:val="14"/>
                <w:szCs w:val="14"/>
                <w:color w:val="auto"/>
              </w:rPr>
            </w:pPr>
          </w:p>
        </w:tc>
      </w:tr>
      <w:tr>
        <w:trPr>
          <w:trHeight w:val="160"/>
        </w:trPr>
        <w:tc>
          <w:tcPr>
            <w:tcW w:w="74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Change</w:t>
            </w:r>
          </w:p>
        </w:tc>
      </w:tr>
      <w:tr>
        <w:trPr>
          <w:trHeight w:val="163"/>
        </w:trPr>
        <w:tc>
          <w:tcPr>
            <w:tcW w:w="7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sales</w:t>
            </w:r>
          </w:p>
        </w:tc>
        <w:tc>
          <w:tcPr>
            <w:tcW w:w="800" w:type="dxa"/>
            <w:vAlign w:val="bottom"/>
            <w:shd w:val="clear" w:color="auto" w:fill="CCEEFF"/>
          </w:tcPr>
          <w:p>
            <w:pPr>
              <w:jc w:val="right"/>
              <w:ind w:right="687"/>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60" w:type="dxa"/>
            <w:vAlign w:val="bottom"/>
            <w:gridSpan w:val="3"/>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145 %</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800" w:type="dxa"/>
            <w:vAlign w:val="bottom"/>
          </w:tcPr>
          <w:p>
            <w:pPr>
              <w:jc w:val="right"/>
              <w:ind w:right="687"/>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354</w:t>
            </w:r>
          </w:p>
        </w:tc>
        <w:tc>
          <w:tcPr>
            <w:tcW w:w="1060" w:type="dxa"/>
            <w:vAlign w:val="bottom"/>
            <w:gridSpan w:val="3"/>
          </w:tcPr>
          <w:p>
            <w:pPr>
              <w:jc w:val="right"/>
              <w:ind w:right="656"/>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96"/>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909 %</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8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66 %</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318"/>
        </w:trPr>
        <w:tc>
          <w:tcPr>
            <w:tcW w:w="7420" w:type="dxa"/>
            <w:vAlign w:val="bottom"/>
          </w:tcPr>
          <w:p>
            <w:pPr>
              <w:spacing w:after="0"/>
              <w:rPr>
                <w:sz w:val="20"/>
                <w:szCs w:val="20"/>
                <w:color w:val="auto"/>
              </w:rPr>
            </w:pPr>
            <w:r>
              <w:rPr>
                <w:rFonts w:ascii="Arial" w:cs="Arial" w:eastAsia="Arial" w:hAnsi="Arial"/>
                <w:sz w:val="14"/>
                <w:szCs w:val="14"/>
                <w:color w:val="auto"/>
              </w:rPr>
              <w:t>Sales in this segment by product line were as follows: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ind w:left="200"/>
              <w:spacing w:after="0"/>
              <w:rPr>
                <w:sz w:val="20"/>
                <w:szCs w:val="20"/>
                <w:color w:val="auto"/>
              </w:rPr>
            </w:pPr>
            <w:r>
              <w:rPr>
                <w:rFonts w:ascii="Arial" w:cs="Arial" w:eastAsia="Arial" w:hAnsi="Arial"/>
                <w:sz w:val="13"/>
                <w:szCs w:val="13"/>
                <w:b w:val="1"/>
                <w:bCs w:val="1"/>
                <w:color w:val="auto"/>
                <w:w w:val="93"/>
              </w:rPr>
              <w:t>Three Months Ended March 31,</w:t>
            </w: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60"/>
        </w:trPr>
        <w:tc>
          <w:tcPr>
            <w:tcW w:w="75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Change</w:t>
            </w:r>
          </w:p>
        </w:tc>
        <w:tc>
          <w:tcPr>
            <w:tcW w:w="140" w:type="dxa"/>
            <w:vAlign w:val="bottom"/>
            <w:tcBorders>
              <w:bottom w:val="single" w:sz="8" w:color="auto"/>
            </w:tcBorders>
          </w:tcPr>
          <w:p>
            <w:pPr>
              <w:spacing w:after="0"/>
              <w:rPr>
                <w:sz w:val="13"/>
                <w:szCs w:val="13"/>
                <w:color w:val="auto"/>
              </w:rPr>
            </w:pPr>
          </w:p>
        </w:tc>
      </w:tr>
      <w:tr>
        <w:trPr>
          <w:trHeight w:val="163"/>
        </w:trPr>
        <w:tc>
          <w:tcPr>
            <w:tcW w:w="75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OSB - commodity</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r>
      <w:tr>
        <w:trPr>
          <w:trHeight w:val="168"/>
        </w:trPr>
        <w:tc>
          <w:tcPr>
            <w:tcW w:w="7560" w:type="dxa"/>
            <w:vAlign w:val="bottom"/>
          </w:tcPr>
          <w:p>
            <w:pPr>
              <w:ind w:left="20"/>
              <w:spacing w:after="0"/>
              <w:rPr>
                <w:sz w:val="20"/>
                <w:szCs w:val="20"/>
                <w:color w:val="auto"/>
              </w:rPr>
            </w:pPr>
            <w:r>
              <w:rPr>
                <w:rFonts w:ascii="Arial" w:cs="Arial" w:eastAsia="Arial" w:hAnsi="Arial"/>
                <w:sz w:val="13"/>
                <w:szCs w:val="13"/>
                <w:color w:val="auto"/>
              </w:rPr>
              <w:t>OSB - Structural Solutions</w:t>
            </w:r>
          </w:p>
        </w:tc>
        <w:tc>
          <w:tcPr>
            <w:tcW w:w="7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147</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r>
      <w:tr>
        <w:trPr>
          <w:trHeight w:val="172"/>
        </w:trPr>
        <w:tc>
          <w:tcPr>
            <w:tcW w:w="7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7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 %</w:t>
            </w:r>
          </w:p>
        </w:tc>
      </w:tr>
      <w:tr>
        <w:trPr>
          <w:trHeight w:val="158"/>
        </w:trPr>
        <w:tc>
          <w:tcPr>
            <w:tcW w:w="7560" w:type="dxa"/>
            <w:vAlign w:val="bottom"/>
          </w:tcPr>
          <w:p>
            <w:pPr>
              <w:ind w:left="280"/>
              <w:spacing w:after="0" w:line="146" w:lineRule="exact"/>
              <w:rPr>
                <w:sz w:val="20"/>
                <w:szCs w:val="20"/>
                <w:color w:val="auto"/>
              </w:rPr>
            </w:pPr>
            <w:r>
              <w:rPr>
                <w:rFonts w:ascii="Arial" w:cs="Arial" w:eastAsia="Arial" w:hAnsi="Arial"/>
                <w:sz w:val="13"/>
                <w:szCs w:val="13"/>
                <w:color w:val="auto"/>
              </w:rPr>
              <w:t>Total</w:t>
            </w:r>
          </w:p>
        </w:tc>
        <w:tc>
          <w:tcPr>
            <w:tcW w:w="7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220</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145 %</w:t>
            </w:r>
          </w:p>
        </w:tc>
      </w:tr>
      <w:tr>
        <w:trPr>
          <w:trHeight w:val="20"/>
        </w:trPr>
        <w:tc>
          <w:tcPr>
            <w:tcW w:w="7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248"/>
        </w:trPr>
        <w:tc>
          <w:tcPr>
            <w:tcW w:w="7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2"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auto"/>
        </w:rPr>
        <w:t>Percent changes in average sales prices and unit shipments for the three months ended March 31, 2021, compared to the three months ended March 31, 2020,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3"/>
                <w:szCs w:val="13"/>
                <w:color w:val="auto"/>
              </w:rPr>
            </w:pPr>
          </w:p>
        </w:tc>
        <w:tc>
          <w:tcPr>
            <w:tcW w:w="3280" w:type="dxa"/>
            <w:vAlign w:val="bottom"/>
            <w:gridSpan w:val="4"/>
          </w:tcPr>
          <w:p>
            <w:pPr>
              <w:jc w:val="center"/>
              <w:ind w:left="436"/>
              <w:spacing w:after="0"/>
              <w:rPr>
                <w:sz w:val="20"/>
                <w:szCs w:val="20"/>
                <w:color w:val="auto"/>
              </w:rPr>
            </w:pPr>
            <w:r>
              <w:rPr>
                <w:rFonts w:ascii="Arial" w:cs="Arial" w:eastAsia="Arial" w:hAnsi="Arial"/>
                <w:sz w:val="13"/>
                <w:szCs w:val="13"/>
                <w:b w:val="1"/>
                <w:bCs w:val="1"/>
                <w:color w:val="auto"/>
                <w:w w:val="90"/>
              </w:rPr>
              <w:t>Three Months Ended March 31,</w:t>
            </w:r>
          </w:p>
        </w:tc>
        <w:tc>
          <w:tcPr>
            <w:tcW w:w="500" w:type="dxa"/>
            <w:vAlign w:val="bottom"/>
          </w:tcPr>
          <w:p>
            <w:pPr>
              <w:spacing w:after="0"/>
              <w:rPr>
                <w:sz w:val="13"/>
                <w:szCs w:val="13"/>
                <w:color w:val="auto"/>
              </w:rPr>
            </w:pPr>
          </w:p>
        </w:tc>
      </w:tr>
      <w:tr>
        <w:trPr>
          <w:trHeight w:val="168"/>
        </w:trPr>
        <w:tc>
          <w:tcPr>
            <w:tcW w:w="75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756"/>
              <w:spacing w:after="0"/>
              <w:rPr>
                <w:sz w:val="20"/>
                <w:szCs w:val="20"/>
                <w:color w:val="auto"/>
              </w:rPr>
            </w:pPr>
            <w:r>
              <w:rPr>
                <w:rFonts w:ascii="Arial" w:cs="Arial" w:eastAsia="Arial" w:hAnsi="Arial"/>
                <w:sz w:val="13"/>
                <w:szCs w:val="13"/>
                <w:b w:val="1"/>
                <w:bCs w:val="1"/>
                <w:color w:val="auto"/>
                <w:w w:val="85"/>
              </w:rPr>
              <w:t>2021 versus 2020</w:t>
            </w:r>
          </w:p>
        </w:tc>
        <w:tc>
          <w:tcPr>
            <w:tcW w:w="500" w:type="dxa"/>
            <w:vAlign w:val="bottom"/>
            <w:tcBorders>
              <w:bottom w:val="single" w:sz="8" w:color="auto"/>
            </w:tcBorders>
          </w:tcPr>
          <w:p>
            <w:pPr>
              <w:spacing w:after="0"/>
              <w:rPr>
                <w:sz w:val="14"/>
                <w:szCs w:val="14"/>
                <w:color w:val="auto"/>
              </w:rPr>
            </w:pPr>
          </w:p>
        </w:tc>
      </w:tr>
      <w:tr>
        <w:trPr>
          <w:trHeight w:val="124"/>
        </w:trPr>
        <w:tc>
          <w:tcPr>
            <w:tcW w:w="7500" w:type="dxa"/>
            <w:vAlign w:val="bottom"/>
          </w:tcPr>
          <w:p>
            <w:pPr>
              <w:spacing w:after="0"/>
              <w:rPr>
                <w:sz w:val="10"/>
                <w:szCs w:val="10"/>
                <w:color w:val="auto"/>
              </w:rPr>
            </w:pPr>
          </w:p>
        </w:tc>
        <w:tc>
          <w:tcPr>
            <w:tcW w:w="1340" w:type="dxa"/>
            <w:vAlign w:val="bottom"/>
          </w:tcPr>
          <w:p>
            <w:pPr>
              <w:ind w:left="600"/>
              <w:spacing w:after="0" w:line="124" w:lineRule="exact"/>
              <w:rPr>
                <w:sz w:val="20"/>
                <w:szCs w:val="20"/>
                <w:color w:val="auto"/>
              </w:rPr>
            </w:pPr>
            <w:r>
              <w:rPr>
                <w:rFonts w:ascii="Arial" w:cs="Arial" w:eastAsia="Arial" w:hAnsi="Arial"/>
                <w:sz w:val="13"/>
                <w:szCs w:val="13"/>
                <w:color w:val="auto"/>
                <w:w w:val="99"/>
              </w:rPr>
              <w:t>Average Net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center"/>
              <w:ind w:left="456"/>
              <w:spacing w:after="0" w:line="124" w:lineRule="exact"/>
              <w:rPr>
                <w:sz w:val="20"/>
                <w:szCs w:val="20"/>
                <w:color w:val="auto"/>
              </w:rPr>
            </w:pPr>
            <w:r>
              <w:rPr>
                <w:rFonts w:ascii="Arial" w:cs="Arial" w:eastAsia="Arial" w:hAnsi="Arial"/>
                <w:sz w:val="13"/>
                <w:szCs w:val="13"/>
                <w:color w:val="auto"/>
                <w:w w:val="94"/>
              </w:rPr>
              <w:t>Unit</w:t>
            </w:r>
          </w:p>
        </w:tc>
        <w:tc>
          <w:tcPr>
            <w:tcW w:w="500" w:type="dxa"/>
            <w:vAlign w:val="bottom"/>
          </w:tcPr>
          <w:p>
            <w:pPr>
              <w:spacing w:after="0"/>
              <w:rPr>
                <w:sz w:val="10"/>
                <w:szCs w:val="10"/>
                <w:color w:val="auto"/>
              </w:rPr>
            </w:pPr>
          </w:p>
        </w:tc>
      </w:tr>
      <w:tr>
        <w:trPr>
          <w:trHeight w:val="164"/>
        </w:trPr>
        <w:tc>
          <w:tcPr>
            <w:tcW w:w="75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w w:val="99"/>
              </w:rPr>
              <w:t>Selling Price</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ind w:left="456"/>
              <w:spacing w:after="0"/>
              <w:rPr>
                <w:sz w:val="20"/>
                <w:szCs w:val="20"/>
                <w:color w:val="auto"/>
              </w:rPr>
            </w:pPr>
            <w:r>
              <w:rPr>
                <w:rFonts w:ascii="Arial" w:cs="Arial" w:eastAsia="Arial" w:hAnsi="Arial"/>
                <w:sz w:val="13"/>
                <w:szCs w:val="13"/>
                <w:color w:val="auto"/>
                <w:w w:val="87"/>
              </w:rPr>
              <w:t>Shipments</w:t>
            </w:r>
          </w:p>
        </w:tc>
        <w:tc>
          <w:tcPr>
            <w:tcW w:w="500" w:type="dxa"/>
            <w:vAlign w:val="bottom"/>
            <w:tcBorders>
              <w:bottom w:val="single" w:sz="8" w:color="auto"/>
            </w:tcBorders>
          </w:tcPr>
          <w:p>
            <w:pPr>
              <w:spacing w:after="0"/>
              <w:rPr>
                <w:sz w:val="14"/>
                <w:szCs w:val="14"/>
                <w:color w:val="auto"/>
              </w:rPr>
            </w:pPr>
          </w:p>
        </w:tc>
      </w:tr>
      <w:tr>
        <w:trPr>
          <w:trHeight w:val="163"/>
        </w:trPr>
        <w:tc>
          <w:tcPr>
            <w:tcW w:w="75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OSB - commodity</w:t>
            </w: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190 %</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5"/>
        </w:trPr>
        <w:tc>
          <w:tcPr>
            <w:tcW w:w="8840" w:type="dxa"/>
            <w:vAlign w:val="bottom"/>
            <w:gridSpan w:val="2"/>
          </w:tcPr>
          <w:p>
            <w:pPr>
              <w:ind w:left="20"/>
              <w:spacing w:after="0"/>
              <w:rPr>
                <w:sz w:val="20"/>
                <w:szCs w:val="20"/>
                <w:color w:val="auto"/>
              </w:rPr>
            </w:pPr>
            <w:r>
              <w:rPr>
                <w:rFonts w:ascii="Arial" w:cs="Arial" w:eastAsia="Arial" w:hAnsi="Arial"/>
                <w:sz w:val="13"/>
                <w:szCs w:val="13"/>
                <w:color w:val="auto"/>
              </w:rPr>
              <w:t>OSB - Structural Solutions</w:t>
            </w:r>
          </w:p>
        </w:tc>
        <w:tc>
          <w:tcPr>
            <w:tcW w:w="500" w:type="dxa"/>
            <w:vAlign w:val="bottom"/>
          </w:tcPr>
          <w:p>
            <w:pPr>
              <w:jc w:val="right"/>
              <w:spacing w:after="0"/>
              <w:rPr>
                <w:sz w:val="20"/>
                <w:szCs w:val="20"/>
                <w:color w:val="auto"/>
              </w:rPr>
            </w:pPr>
            <w:r>
              <w:rPr>
                <w:rFonts w:ascii="Arial" w:cs="Arial" w:eastAsia="Arial" w:hAnsi="Arial"/>
                <w:sz w:val="13"/>
                <w:szCs w:val="13"/>
                <w:color w:val="auto"/>
              </w:rPr>
              <w:t>139 %</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1 %</w:t>
            </w:r>
          </w:p>
        </w:tc>
      </w:tr>
    </w:tbl>
    <w:p>
      <w:pPr>
        <w:spacing w:after="0" w:line="15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OSB net sales increased by $319 million (or 145%) for the three months ended March 31, 2021, compared to the corresponding period in 2020. OSB prices increased by $333 million for the three months ended March 31, 2021, compared to the corresponding period in 2020. OSB sales volume decreased by seven percent due to supply disruptions and weather-related shutdowns. Structural Solutions volume, as a percentage of total OSB segment volume, was 47% for the three months ended March 31, 2021, compared to 43% in the corresponding period in 2020.</w:t>
      </w:r>
    </w:p>
    <w:p>
      <w:pPr>
        <w:spacing w:after="0" w:line="14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Adjusted EBITDA increased over the prior year by $319 million for the three months ended March 31, 2021, primarily due to increased OSB prices, slightly offset by lower sales volume and higher freight costs.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EWP</w:t>
      </w:r>
    </w:p>
    <w:p>
      <w:pPr>
        <w:spacing w:after="0" w:line="168" w:lineRule="exact"/>
        <w:rPr>
          <w:sz w:val="20"/>
          <w:szCs w:val="20"/>
          <w:color w:val="auto"/>
        </w:rPr>
      </w:pPr>
    </w:p>
    <w:p>
      <w:pPr>
        <w:jc w:val="both"/>
        <w:spacing w:after="0" w:line="221" w:lineRule="auto"/>
        <w:rPr>
          <w:sz w:val="20"/>
          <w:szCs w:val="20"/>
          <w:color w:val="auto"/>
        </w:rPr>
      </w:pPr>
      <w:r>
        <w:rPr>
          <w:rFonts w:ascii="Arial" w:cs="Arial" w:eastAsia="Arial" w:hAnsi="Arial"/>
          <w:sz w:val="14"/>
          <w:szCs w:val="14"/>
          <w:color w:val="auto"/>
        </w:rPr>
        <w:t>The EWP segment is comprised of LP</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SolidStart</w:t>
      </w:r>
      <w:r>
        <w:rPr>
          <w:rFonts w:ascii="Arial" w:cs="Arial" w:eastAsia="Arial" w:hAnsi="Arial"/>
          <w:sz w:val="22"/>
          <w:szCs w:val="22"/>
          <w:color w:val="auto"/>
          <w:vertAlign w:val="superscript"/>
        </w:rPr>
        <w:t>®</w:t>
      </w:r>
      <w:r>
        <w:rPr>
          <w:rFonts w:ascii="Arial" w:cs="Arial" w:eastAsia="Arial" w:hAnsi="Arial"/>
          <w:sz w:val="14"/>
          <w:szCs w:val="14"/>
          <w:color w:val="auto"/>
        </w:rPr>
        <w:t xml:space="preserve"> I-Joist (I-Joist), Laminated Veneer Lumber (LVL), and Laminated Strand Lumber (LSL) and other related products. This segment also includes the sales of I-Joist and LVL products produced by our joint venture and sales of plywood produced as a by-product of the LVL production process.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Segment sales, Adjusted EBITDA, and Adjusted EBITDA margin for this segment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95"/>
              </w:rPr>
              <w:t>Three Months Ended March 31,</w:t>
            </w:r>
          </w:p>
        </w:tc>
        <w:tc>
          <w:tcPr>
            <w:tcW w:w="940" w:type="dxa"/>
            <w:vAlign w:val="bottom"/>
            <w:tcBorders>
              <w:bottom w:val="single" w:sz="8" w:color="auto"/>
            </w:tcBorders>
          </w:tcPr>
          <w:p>
            <w:pPr>
              <w:spacing w:after="0"/>
              <w:rPr>
                <w:sz w:val="14"/>
                <w:szCs w:val="14"/>
                <w:color w:val="auto"/>
              </w:rPr>
            </w:pPr>
          </w:p>
        </w:tc>
      </w:tr>
      <w:tr>
        <w:trPr>
          <w:trHeight w:val="160"/>
        </w:trPr>
        <w:tc>
          <w:tcPr>
            <w:tcW w:w="74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Change</w:t>
            </w:r>
          </w:p>
        </w:tc>
      </w:tr>
      <w:tr>
        <w:trPr>
          <w:trHeight w:val="163"/>
        </w:trPr>
        <w:tc>
          <w:tcPr>
            <w:tcW w:w="7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sales</w:t>
            </w:r>
          </w:p>
        </w:tc>
        <w:tc>
          <w:tcPr>
            <w:tcW w:w="800" w:type="dxa"/>
            <w:vAlign w:val="bottom"/>
            <w:shd w:val="clear" w:color="auto" w:fill="CCEEFF"/>
          </w:tcPr>
          <w:p>
            <w:pPr>
              <w:jc w:val="right"/>
              <w:ind w:right="687"/>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100" w:type="dxa"/>
            <w:vAlign w:val="bottom"/>
            <w:gridSpan w:val="3"/>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800" w:type="dxa"/>
            <w:vAlign w:val="bottom"/>
          </w:tcPr>
          <w:p>
            <w:pPr>
              <w:jc w:val="right"/>
              <w:ind w:right="687"/>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7</w:t>
            </w:r>
          </w:p>
        </w:tc>
        <w:tc>
          <w:tcPr>
            <w:tcW w:w="1100" w:type="dxa"/>
            <w:vAlign w:val="bottom"/>
            <w:gridSpan w:val="3"/>
          </w:tcPr>
          <w:p>
            <w:pPr>
              <w:jc w:val="right"/>
              <w:ind w:right="696"/>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96"/>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8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6 %</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168"/>
        </w:trPr>
        <w:tc>
          <w:tcPr>
            <w:tcW w:w="7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2"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Sales in this segment by product line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ind w:left="200"/>
              <w:spacing w:after="0"/>
              <w:rPr>
                <w:sz w:val="20"/>
                <w:szCs w:val="20"/>
                <w:color w:val="auto"/>
              </w:rPr>
            </w:pPr>
            <w:r>
              <w:rPr>
                <w:rFonts w:ascii="Arial" w:cs="Arial" w:eastAsia="Arial" w:hAnsi="Arial"/>
                <w:sz w:val="13"/>
                <w:szCs w:val="13"/>
                <w:b w:val="1"/>
                <w:bCs w:val="1"/>
                <w:color w:val="auto"/>
                <w:w w:val="93"/>
              </w:rPr>
              <w:t>Three Months Ended March 31,</w:t>
            </w: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60"/>
        </w:trPr>
        <w:tc>
          <w:tcPr>
            <w:tcW w:w="75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Change</w:t>
            </w:r>
          </w:p>
        </w:tc>
        <w:tc>
          <w:tcPr>
            <w:tcW w:w="140" w:type="dxa"/>
            <w:vAlign w:val="bottom"/>
            <w:tcBorders>
              <w:bottom w:val="single" w:sz="8" w:color="auto"/>
            </w:tcBorders>
          </w:tcPr>
          <w:p>
            <w:pPr>
              <w:spacing w:after="0"/>
              <w:rPr>
                <w:sz w:val="13"/>
                <w:szCs w:val="13"/>
                <w:color w:val="auto"/>
              </w:rPr>
            </w:pPr>
          </w:p>
        </w:tc>
      </w:tr>
      <w:tr>
        <w:trPr>
          <w:trHeight w:val="163"/>
        </w:trPr>
        <w:tc>
          <w:tcPr>
            <w:tcW w:w="75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I-Joist</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r>
      <w:tr>
        <w:trPr>
          <w:trHeight w:val="168"/>
        </w:trPr>
        <w:tc>
          <w:tcPr>
            <w:tcW w:w="7560" w:type="dxa"/>
            <w:vAlign w:val="bottom"/>
          </w:tcPr>
          <w:p>
            <w:pPr>
              <w:ind w:left="20"/>
              <w:spacing w:after="0"/>
              <w:rPr>
                <w:sz w:val="20"/>
                <w:szCs w:val="20"/>
                <w:color w:val="auto"/>
              </w:rPr>
            </w:pPr>
            <w:r>
              <w:rPr>
                <w:rFonts w:ascii="Arial" w:cs="Arial" w:eastAsia="Arial" w:hAnsi="Arial"/>
                <w:sz w:val="13"/>
                <w:szCs w:val="13"/>
                <w:color w:val="auto"/>
              </w:rPr>
              <w:t>LVL</w:t>
            </w:r>
          </w:p>
        </w:tc>
        <w:tc>
          <w:tcPr>
            <w:tcW w:w="7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r>
      <w:tr>
        <w:trPr>
          <w:trHeight w:val="172"/>
        </w:trPr>
        <w:tc>
          <w:tcPr>
            <w:tcW w:w="7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LSL</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 %</w:t>
            </w:r>
          </w:p>
        </w:tc>
      </w:tr>
      <w:tr>
        <w:trPr>
          <w:trHeight w:val="168"/>
        </w:trPr>
        <w:tc>
          <w:tcPr>
            <w:tcW w:w="756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Other, including OSB, plywood and related products</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w:t>
            </w:r>
          </w:p>
        </w:tc>
      </w:tr>
      <w:tr>
        <w:trPr>
          <w:trHeight w:val="185"/>
        </w:trPr>
        <w:tc>
          <w:tcPr>
            <w:tcW w:w="7560" w:type="dxa"/>
            <w:vAlign w:val="bottom"/>
            <w:tcBorders>
              <w:bottom w:val="single" w:sz="8" w:color="CCEEFF"/>
            </w:tcBorders>
            <w:shd w:val="clear" w:color="auto" w:fill="CCEEFF"/>
          </w:tcPr>
          <w:p>
            <w:pPr>
              <w:ind w:left="280"/>
              <w:spacing w:after="0" w:line="148" w:lineRule="exact"/>
              <w:rPr>
                <w:sz w:val="20"/>
                <w:szCs w:val="20"/>
                <w:color w:val="auto"/>
              </w:rPr>
            </w:pPr>
            <w:r>
              <w:rPr>
                <w:rFonts w:ascii="Arial" w:cs="Arial" w:eastAsia="Arial" w:hAnsi="Arial"/>
                <w:sz w:val="13"/>
                <w:szCs w:val="13"/>
                <w:color w:val="auto"/>
              </w:rPr>
              <w:t>Total</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24 %</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Percent changes in average sales prices and unit shipments for the three months ended March 31, 2021, compared to the three months ended March 31, 2020,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3"/>
                <w:szCs w:val="13"/>
                <w:color w:val="auto"/>
              </w:rPr>
            </w:pPr>
          </w:p>
        </w:tc>
        <w:tc>
          <w:tcPr>
            <w:tcW w:w="3280" w:type="dxa"/>
            <w:vAlign w:val="bottom"/>
            <w:gridSpan w:val="4"/>
          </w:tcPr>
          <w:p>
            <w:pPr>
              <w:jc w:val="center"/>
              <w:ind w:left="436"/>
              <w:spacing w:after="0"/>
              <w:rPr>
                <w:sz w:val="20"/>
                <w:szCs w:val="20"/>
                <w:color w:val="auto"/>
              </w:rPr>
            </w:pPr>
            <w:r>
              <w:rPr>
                <w:rFonts w:ascii="Arial" w:cs="Arial" w:eastAsia="Arial" w:hAnsi="Arial"/>
                <w:sz w:val="13"/>
                <w:szCs w:val="13"/>
                <w:b w:val="1"/>
                <w:bCs w:val="1"/>
                <w:color w:val="auto"/>
                <w:w w:val="90"/>
              </w:rPr>
              <w:t>Three Months Ended March 31,</w:t>
            </w:r>
          </w:p>
        </w:tc>
        <w:tc>
          <w:tcPr>
            <w:tcW w:w="500" w:type="dxa"/>
            <w:vAlign w:val="bottom"/>
          </w:tcPr>
          <w:p>
            <w:pPr>
              <w:spacing w:after="0"/>
              <w:rPr>
                <w:sz w:val="13"/>
                <w:szCs w:val="13"/>
                <w:color w:val="auto"/>
              </w:rPr>
            </w:pPr>
          </w:p>
        </w:tc>
      </w:tr>
      <w:tr>
        <w:trPr>
          <w:trHeight w:val="168"/>
        </w:trPr>
        <w:tc>
          <w:tcPr>
            <w:tcW w:w="75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756"/>
              <w:spacing w:after="0"/>
              <w:rPr>
                <w:sz w:val="20"/>
                <w:szCs w:val="20"/>
                <w:color w:val="auto"/>
              </w:rPr>
            </w:pPr>
            <w:r>
              <w:rPr>
                <w:rFonts w:ascii="Arial" w:cs="Arial" w:eastAsia="Arial" w:hAnsi="Arial"/>
                <w:sz w:val="13"/>
                <w:szCs w:val="13"/>
                <w:b w:val="1"/>
                <w:bCs w:val="1"/>
                <w:color w:val="auto"/>
                <w:w w:val="85"/>
              </w:rPr>
              <w:t>2021 versus 2020</w:t>
            </w:r>
          </w:p>
        </w:tc>
        <w:tc>
          <w:tcPr>
            <w:tcW w:w="500" w:type="dxa"/>
            <w:vAlign w:val="bottom"/>
            <w:tcBorders>
              <w:bottom w:val="single" w:sz="8" w:color="auto"/>
            </w:tcBorders>
          </w:tcPr>
          <w:p>
            <w:pPr>
              <w:spacing w:after="0"/>
              <w:rPr>
                <w:sz w:val="14"/>
                <w:szCs w:val="14"/>
                <w:color w:val="auto"/>
              </w:rPr>
            </w:pPr>
          </w:p>
        </w:tc>
      </w:tr>
      <w:tr>
        <w:trPr>
          <w:trHeight w:val="124"/>
        </w:trPr>
        <w:tc>
          <w:tcPr>
            <w:tcW w:w="7500" w:type="dxa"/>
            <w:vAlign w:val="bottom"/>
          </w:tcPr>
          <w:p>
            <w:pPr>
              <w:spacing w:after="0"/>
              <w:rPr>
                <w:sz w:val="10"/>
                <w:szCs w:val="10"/>
                <w:color w:val="auto"/>
              </w:rPr>
            </w:pPr>
          </w:p>
        </w:tc>
        <w:tc>
          <w:tcPr>
            <w:tcW w:w="1340" w:type="dxa"/>
            <w:vAlign w:val="bottom"/>
          </w:tcPr>
          <w:p>
            <w:pPr>
              <w:ind w:left="600"/>
              <w:spacing w:after="0" w:line="124" w:lineRule="exact"/>
              <w:rPr>
                <w:sz w:val="20"/>
                <w:szCs w:val="20"/>
                <w:color w:val="auto"/>
              </w:rPr>
            </w:pPr>
            <w:r>
              <w:rPr>
                <w:rFonts w:ascii="Arial" w:cs="Arial" w:eastAsia="Arial" w:hAnsi="Arial"/>
                <w:sz w:val="13"/>
                <w:szCs w:val="13"/>
                <w:color w:val="auto"/>
                <w:w w:val="99"/>
              </w:rPr>
              <w:t>Average Net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center"/>
              <w:ind w:left="456"/>
              <w:spacing w:after="0" w:line="124" w:lineRule="exact"/>
              <w:rPr>
                <w:sz w:val="20"/>
                <w:szCs w:val="20"/>
                <w:color w:val="auto"/>
              </w:rPr>
            </w:pPr>
            <w:r>
              <w:rPr>
                <w:rFonts w:ascii="Arial" w:cs="Arial" w:eastAsia="Arial" w:hAnsi="Arial"/>
                <w:sz w:val="13"/>
                <w:szCs w:val="13"/>
                <w:color w:val="auto"/>
                <w:w w:val="94"/>
              </w:rPr>
              <w:t>Unit</w:t>
            </w:r>
          </w:p>
        </w:tc>
        <w:tc>
          <w:tcPr>
            <w:tcW w:w="500" w:type="dxa"/>
            <w:vAlign w:val="bottom"/>
          </w:tcPr>
          <w:p>
            <w:pPr>
              <w:spacing w:after="0"/>
              <w:rPr>
                <w:sz w:val="10"/>
                <w:szCs w:val="10"/>
                <w:color w:val="auto"/>
              </w:rPr>
            </w:pPr>
          </w:p>
        </w:tc>
      </w:tr>
      <w:tr>
        <w:trPr>
          <w:trHeight w:val="164"/>
        </w:trPr>
        <w:tc>
          <w:tcPr>
            <w:tcW w:w="75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w w:val="99"/>
              </w:rPr>
              <w:t>Selling Price</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ind w:left="456"/>
              <w:spacing w:after="0"/>
              <w:rPr>
                <w:sz w:val="20"/>
                <w:szCs w:val="20"/>
                <w:color w:val="auto"/>
              </w:rPr>
            </w:pPr>
            <w:r>
              <w:rPr>
                <w:rFonts w:ascii="Arial" w:cs="Arial" w:eastAsia="Arial" w:hAnsi="Arial"/>
                <w:sz w:val="13"/>
                <w:szCs w:val="13"/>
                <w:color w:val="auto"/>
                <w:w w:val="87"/>
              </w:rPr>
              <w:t>Shipments</w:t>
            </w:r>
          </w:p>
        </w:tc>
        <w:tc>
          <w:tcPr>
            <w:tcW w:w="500" w:type="dxa"/>
            <w:vAlign w:val="bottom"/>
            <w:tcBorders>
              <w:bottom w:val="single" w:sz="8" w:color="auto"/>
            </w:tcBorders>
          </w:tcPr>
          <w:p>
            <w:pPr>
              <w:spacing w:after="0"/>
              <w:rPr>
                <w:sz w:val="14"/>
                <w:szCs w:val="14"/>
                <w:color w:val="auto"/>
              </w:rPr>
            </w:pPr>
          </w:p>
        </w:tc>
      </w:tr>
      <w:tr>
        <w:trPr>
          <w:trHeight w:val="163"/>
        </w:trPr>
        <w:tc>
          <w:tcPr>
            <w:tcW w:w="75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I-Joist</w:t>
            </w: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r>
      <w:tr>
        <w:trPr>
          <w:trHeight w:val="168"/>
        </w:trPr>
        <w:tc>
          <w:tcPr>
            <w:tcW w:w="8840" w:type="dxa"/>
            <w:vAlign w:val="bottom"/>
            <w:gridSpan w:val="2"/>
          </w:tcPr>
          <w:p>
            <w:pPr>
              <w:ind w:left="20"/>
              <w:spacing w:after="0"/>
              <w:rPr>
                <w:sz w:val="20"/>
                <w:szCs w:val="20"/>
                <w:color w:val="auto"/>
              </w:rPr>
            </w:pPr>
            <w:r>
              <w:rPr>
                <w:rFonts w:ascii="Arial" w:cs="Arial" w:eastAsia="Arial" w:hAnsi="Arial"/>
                <w:sz w:val="13"/>
                <w:szCs w:val="13"/>
                <w:color w:val="auto"/>
              </w:rPr>
              <w:t>LVL</w:t>
            </w:r>
          </w:p>
        </w:tc>
        <w:tc>
          <w:tcPr>
            <w:tcW w:w="500" w:type="dxa"/>
            <w:vAlign w:val="bottom"/>
          </w:tcPr>
          <w:p>
            <w:pPr>
              <w:jc w:val="right"/>
              <w:spacing w:after="0"/>
              <w:rPr>
                <w:sz w:val="20"/>
                <w:szCs w:val="20"/>
                <w:color w:val="auto"/>
              </w:rPr>
            </w:pPr>
            <w:r>
              <w:rPr>
                <w:rFonts w:ascii="Arial" w:cs="Arial" w:eastAsia="Arial" w:hAnsi="Arial"/>
                <w:sz w:val="13"/>
                <w:szCs w:val="13"/>
                <w:color w:val="auto"/>
              </w:rPr>
              <w:t>10 %</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9 %</w:t>
            </w:r>
          </w:p>
        </w:tc>
      </w:tr>
      <w:tr>
        <w:trPr>
          <w:trHeight w:val="172"/>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LSL</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r>
    </w:tbl>
    <w:p>
      <w:pPr>
        <w:spacing w:after="0" w:line="33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EWP net sales increased by $24 million (or 24%) compared to the corresponding period in the prior year, primarily due to increased pricing in response to rising input costs, the net impact of which was an Adjusted EBITDA decline of $2 million.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SOUTH AMERICA</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South America segment manufactures and distributes OSB structural panel and siding products in South America and certain export markets. This segment has manufacturing operations in two countries, Chile and Brazil, and operates sales offices in Chile, Brazil, Peru, Columbia, and Argentina.</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Segment sales, Adjusted EBITDA, and Adjusted EBITDA margin for this segment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95"/>
              </w:rPr>
              <w:t>Three Months Ended March 31,</w:t>
            </w:r>
          </w:p>
        </w:tc>
        <w:tc>
          <w:tcPr>
            <w:tcW w:w="940" w:type="dxa"/>
            <w:vAlign w:val="bottom"/>
            <w:tcBorders>
              <w:bottom w:val="single" w:sz="8" w:color="auto"/>
            </w:tcBorders>
          </w:tcPr>
          <w:p>
            <w:pPr>
              <w:spacing w:after="0"/>
              <w:rPr>
                <w:sz w:val="14"/>
                <w:szCs w:val="14"/>
                <w:color w:val="auto"/>
              </w:rPr>
            </w:pPr>
          </w:p>
        </w:tc>
      </w:tr>
      <w:tr>
        <w:trPr>
          <w:trHeight w:val="160"/>
        </w:trPr>
        <w:tc>
          <w:tcPr>
            <w:tcW w:w="74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Change</w:t>
            </w:r>
          </w:p>
        </w:tc>
      </w:tr>
      <w:tr>
        <w:trPr>
          <w:trHeight w:val="163"/>
        </w:trPr>
        <w:tc>
          <w:tcPr>
            <w:tcW w:w="7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sales</w:t>
            </w:r>
          </w:p>
        </w:tc>
        <w:tc>
          <w:tcPr>
            <w:tcW w:w="820" w:type="dxa"/>
            <w:vAlign w:val="bottom"/>
            <w:shd w:val="clear" w:color="auto" w:fill="CCEEFF"/>
          </w:tcPr>
          <w:p>
            <w:pPr>
              <w:jc w:val="right"/>
              <w:ind w:right="707"/>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2"/>
              </w:rPr>
              <w:t>53</w:t>
            </w:r>
          </w:p>
        </w:tc>
        <w:tc>
          <w:tcPr>
            <w:tcW w:w="1100" w:type="dxa"/>
            <w:vAlign w:val="bottom"/>
            <w:gridSpan w:val="3"/>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47 %</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820" w:type="dxa"/>
            <w:vAlign w:val="bottom"/>
          </w:tcPr>
          <w:p>
            <w:pPr>
              <w:jc w:val="right"/>
              <w:ind w:right="707"/>
              <w:spacing w:after="0"/>
              <w:rPr>
                <w:sz w:val="20"/>
                <w:szCs w:val="20"/>
                <w:color w:val="auto"/>
              </w:rPr>
            </w:pPr>
            <w:r>
              <w:rPr>
                <w:rFonts w:ascii="Arial" w:cs="Arial" w:eastAsia="Arial" w:hAnsi="Arial"/>
                <w:sz w:val="10"/>
                <w:szCs w:val="10"/>
                <w:color w:val="auto"/>
                <w:w w:val="71"/>
              </w:rPr>
              <w:t>$</w:t>
            </w:r>
          </w:p>
        </w:tc>
        <w:tc>
          <w:tcPr>
            <w:tcW w:w="240" w:type="dxa"/>
            <w:vAlign w:val="bottom"/>
          </w:tcPr>
          <w:p>
            <w:pPr>
              <w:ind w:left="100"/>
              <w:spacing w:after="0"/>
              <w:rPr>
                <w:sz w:val="20"/>
                <w:szCs w:val="20"/>
                <w:color w:val="auto"/>
              </w:rPr>
            </w:pPr>
            <w:r>
              <w:rPr>
                <w:rFonts w:ascii="Arial" w:cs="Arial" w:eastAsia="Arial" w:hAnsi="Arial"/>
                <w:sz w:val="13"/>
                <w:szCs w:val="13"/>
                <w:color w:val="auto"/>
                <w:w w:val="82"/>
              </w:rPr>
              <w:t>21</w:t>
            </w:r>
          </w:p>
        </w:tc>
        <w:tc>
          <w:tcPr>
            <w:tcW w:w="1100" w:type="dxa"/>
            <w:vAlign w:val="bottom"/>
            <w:gridSpan w:val="3"/>
          </w:tcPr>
          <w:p>
            <w:pPr>
              <w:jc w:val="right"/>
              <w:ind w:right="696"/>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9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175 %</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8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4"/>
              </w:rPr>
              <w:t>39 %</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253"/>
        </w:trPr>
        <w:tc>
          <w:tcPr>
            <w:tcW w:w="7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2"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Sales in this segment by product line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160"/>
              <w:spacing w:after="0"/>
              <w:rPr>
                <w:sz w:val="20"/>
                <w:szCs w:val="20"/>
                <w:color w:val="auto"/>
              </w:rPr>
            </w:pPr>
            <w:r>
              <w:rPr>
                <w:rFonts w:ascii="Arial" w:cs="Arial" w:eastAsia="Arial" w:hAnsi="Arial"/>
                <w:sz w:val="13"/>
                <w:szCs w:val="13"/>
                <w:b w:val="1"/>
                <w:bCs w:val="1"/>
                <w:color w:val="auto"/>
                <w:w w:val="93"/>
              </w:rPr>
              <w:t>Three Months Ended March 31,</w:t>
            </w: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60"/>
        </w:trPr>
        <w:tc>
          <w:tcPr>
            <w:tcW w:w="75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Change</w:t>
            </w:r>
          </w:p>
        </w:tc>
        <w:tc>
          <w:tcPr>
            <w:tcW w:w="140" w:type="dxa"/>
            <w:vAlign w:val="bottom"/>
            <w:tcBorders>
              <w:bottom w:val="single" w:sz="8" w:color="auto"/>
            </w:tcBorders>
          </w:tcPr>
          <w:p>
            <w:pPr>
              <w:spacing w:after="0"/>
              <w:rPr>
                <w:sz w:val="13"/>
                <w:szCs w:val="13"/>
                <w:color w:val="auto"/>
              </w:rPr>
            </w:pPr>
          </w:p>
        </w:tc>
      </w:tr>
      <w:tr>
        <w:trPr>
          <w:trHeight w:val="163"/>
        </w:trPr>
        <w:tc>
          <w:tcPr>
            <w:tcW w:w="75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OSB - Structural Solutions</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r>
      <w:tr>
        <w:trPr>
          <w:trHeight w:val="168"/>
        </w:trPr>
        <w:tc>
          <w:tcPr>
            <w:tcW w:w="7560" w:type="dxa"/>
            <w:vAlign w:val="bottom"/>
          </w:tcPr>
          <w:p>
            <w:pPr>
              <w:ind w:left="20"/>
              <w:spacing w:after="0"/>
              <w:rPr>
                <w:sz w:val="20"/>
                <w:szCs w:val="20"/>
                <w:color w:val="auto"/>
              </w:rPr>
            </w:pPr>
            <w:r>
              <w:rPr>
                <w:rFonts w:ascii="Arial" w:cs="Arial" w:eastAsia="Arial" w:hAnsi="Arial"/>
                <w:sz w:val="13"/>
                <w:szCs w:val="13"/>
                <w:color w:val="auto"/>
              </w:rPr>
              <w:t>Siding</w:t>
            </w:r>
          </w:p>
        </w:tc>
        <w:tc>
          <w:tcPr>
            <w:tcW w:w="8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210</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r>
      <w:tr>
        <w:trPr>
          <w:trHeight w:val="172"/>
        </w:trPr>
        <w:tc>
          <w:tcPr>
            <w:tcW w:w="7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r>
      <w:tr>
        <w:trPr>
          <w:trHeight w:val="158"/>
        </w:trPr>
        <w:tc>
          <w:tcPr>
            <w:tcW w:w="7560" w:type="dxa"/>
            <w:vAlign w:val="bottom"/>
          </w:tcPr>
          <w:p>
            <w:pPr>
              <w:ind w:left="280"/>
              <w:spacing w:after="0" w:line="146" w:lineRule="exact"/>
              <w:rPr>
                <w:sz w:val="20"/>
                <w:szCs w:val="20"/>
                <w:color w:val="auto"/>
              </w:rPr>
            </w:pPr>
            <w:r>
              <w:rPr>
                <w:rFonts w:ascii="Arial" w:cs="Arial" w:eastAsia="Arial" w:hAnsi="Arial"/>
                <w:sz w:val="13"/>
                <w:szCs w:val="13"/>
                <w:color w:val="auto"/>
              </w:rPr>
              <w:t>Total</w:t>
            </w:r>
          </w:p>
        </w:tc>
        <w:tc>
          <w:tcPr>
            <w:tcW w:w="82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w w:val="82"/>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47 %</w:t>
            </w:r>
          </w:p>
        </w:tc>
      </w:tr>
      <w:tr>
        <w:trPr>
          <w:trHeight w:val="20"/>
        </w:trPr>
        <w:tc>
          <w:tcPr>
            <w:tcW w:w="7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Percent changes in average sales prices and unit shipments for the three months ended March 31, 2021, compared to the three months ended March 31, 2020,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3"/>
                <w:szCs w:val="13"/>
                <w:color w:val="auto"/>
              </w:rPr>
            </w:pPr>
          </w:p>
        </w:tc>
        <w:tc>
          <w:tcPr>
            <w:tcW w:w="3280" w:type="dxa"/>
            <w:vAlign w:val="bottom"/>
            <w:gridSpan w:val="4"/>
          </w:tcPr>
          <w:p>
            <w:pPr>
              <w:jc w:val="center"/>
              <w:ind w:left="436"/>
              <w:spacing w:after="0"/>
              <w:rPr>
                <w:sz w:val="20"/>
                <w:szCs w:val="20"/>
                <w:color w:val="auto"/>
              </w:rPr>
            </w:pPr>
            <w:r>
              <w:rPr>
                <w:rFonts w:ascii="Arial" w:cs="Arial" w:eastAsia="Arial" w:hAnsi="Arial"/>
                <w:sz w:val="13"/>
                <w:szCs w:val="13"/>
                <w:b w:val="1"/>
                <w:bCs w:val="1"/>
                <w:color w:val="auto"/>
                <w:w w:val="90"/>
              </w:rPr>
              <w:t>Three Months Ended March 31,</w:t>
            </w:r>
          </w:p>
        </w:tc>
        <w:tc>
          <w:tcPr>
            <w:tcW w:w="500" w:type="dxa"/>
            <w:vAlign w:val="bottom"/>
          </w:tcPr>
          <w:p>
            <w:pPr>
              <w:spacing w:after="0"/>
              <w:rPr>
                <w:sz w:val="13"/>
                <w:szCs w:val="13"/>
                <w:color w:val="auto"/>
              </w:rPr>
            </w:pPr>
          </w:p>
        </w:tc>
      </w:tr>
      <w:tr>
        <w:trPr>
          <w:trHeight w:val="168"/>
        </w:trPr>
        <w:tc>
          <w:tcPr>
            <w:tcW w:w="75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756"/>
              <w:spacing w:after="0"/>
              <w:rPr>
                <w:sz w:val="20"/>
                <w:szCs w:val="20"/>
                <w:color w:val="auto"/>
              </w:rPr>
            </w:pPr>
            <w:r>
              <w:rPr>
                <w:rFonts w:ascii="Arial" w:cs="Arial" w:eastAsia="Arial" w:hAnsi="Arial"/>
                <w:sz w:val="13"/>
                <w:szCs w:val="13"/>
                <w:b w:val="1"/>
                <w:bCs w:val="1"/>
                <w:color w:val="auto"/>
                <w:w w:val="85"/>
              </w:rPr>
              <w:t>2021 versus 2020</w:t>
            </w:r>
          </w:p>
        </w:tc>
        <w:tc>
          <w:tcPr>
            <w:tcW w:w="500" w:type="dxa"/>
            <w:vAlign w:val="bottom"/>
            <w:tcBorders>
              <w:bottom w:val="single" w:sz="8" w:color="auto"/>
            </w:tcBorders>
          </w:tcPr>
          <w:p>
            <w:pPr>
              <w:spacing w:after="0"/>
              <w:rPr>
                <w:sz w:val="14"/>
                <w:szCs w:val="14"/>
                <w:color w:val="auto"/>
              </w:rPr>
            </w:pPr>
          </w:p>
        </w:tc>
      </w:tr>
      <w:tr>
        <w:trPr>
          <w:trHeight w:val="124"/>
        </w:trPr>
        <w:tc>
          <w:tcPr>
            <w:tcW w:w="7500" w:type="dxa"/>
            <w:vAlign w:val="bottom"/>
          </w:tcPr>
          <w:p>
            <w:pPr>
              <w:spacing w:after="0"/>
              <w:rPr>
                <w:sz w:val="10"/>
                <w:szCs w:val="10"/>
                <w:color w:val="auto"/>
              </w:rPr>
            </w:pPr>
          </w:p>
        </w:tc>
        <w:tc>
          <w:tcPr>
            <w:tcW w:w="1340" w:type="dxa"/>
            <w:vAlign w:val="bottom"/>
          </w:tcPr>
          <w:p>
            <w:pPr>
              <w:ind w:left="600"/>
              <w:spacing w:after="0" w:line="124" w:lineRule="exact"/>
              <w:rPr>
                <w:sz w:val="20"/>
                <w:szCs w:val="20"/>
                <w:color w:val="auto"/>
              </w:rPr>
            </w:pPr>
            <w:r>
              <w:rPr>
                <w:rFonts w:ascii="Arial" w:cs="Arial" w:eastAsia="Arial" w:hAnsi="Arial"/>
                <w:sz w:val="13"/>
                <w:szCs w:val="13"/>
                <w:color w:val="auto"/>
                <w:w w:val="99"/>
              </w:rPr>
              <w:t>Average Net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center"/>
              <w:ind w:left="456"/>
              <w:spacing w:after="0" w:line="124" w:lineRule="exact"/>
              <w:rPr>
                <w:sz w:val="20"/>
                <w:szCs w:val="20"/>
                <w:color w:val="auto"/>
              </w:rPr>
            </w:pPr>
            <w:r>
              <w:rPr>
                <w:rFonts w:ascii="Arial" w:cs="Arial" w:eastAsia="Arial" w:hAnsi="Arial"/>
                <w:sz w:val="13"/>
                <w:szCs w:val="13"/>
                <w:color w:val="auto"/>
                <w:w w:val="94"/>
              </w:rPr>
              <w:t>Unit</w:t>
            </w:r>
          </w:p>
        </w:tc>
        <w:tc>
          <w:tcPr>
            <w:tcW w:w="500" w:type="dxa"/>
            <w:vAlign w:val="bottom"/>
          </w:tcPr>
          <w:p>
            <w:pPr>
              <w:spacing w:after="0"/>
              <w:rPr>
                <w:sz w:val="10"/>
                <w:szCs w:val="10"/>
                <w:color w:val="auto"/>
              </w:rPr>
            </w:pPr>
          </w:p>
        </w:tc>
      </w:tr>
      <w:tr>
        <w:trPr>
          <w:trHeight w:val="164"/>
        </w:trPr>
        <w:tc>
          <w:tcPr>
            <w:tcW w:w="75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w w:val="99"/>
              </w:rPr>
              <w:t>Selling Price</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ind w:left="456"/>
              <w:spacing w:after="0"/>
              <w:rPr>
                <w:sz w:val="20"/>
                <w:szCs w:val="20"/>
                <w:color w:val="auto"/>
              </w:rPr>
            </w:pPr>
            <w:r>
              <w:rPr>
                <w:rFonts w:ascii="Arial" w:cs="Arial" w:eastAsia="Arial" w:hAnsi="Arial"/>
                <w:sz w:val="13"/>
                <w:szCs w:val="13"/>
                <w:color w:val="auto"/>
                <w:w w:val="87"/>
              </w:rPr>
              <w:t>Shipments</w:t>
            </w:r>
          </w:p>
        </w:tc>
        <w:tc>
          <w:tcPr>
            <w:tcW w:w="500" w:type="dxa"/>
            <w:vAlign w:val="bottom"/>
            <w:tcBorders>
              <w:bottom w:val="single" w:sz="8" w:color="auto"/>
            </w:tcBorders>
          </w:tcPr>
          <w:p>
            <w:pPr>
              <w:spacing w:after="0"/>
              <w:rPr>
                <w:sz w:val="14"/>
                <w:szCs w:val="14"/>
                <w:color w:val="auto"/>
              </w:rPr>
            </w:pPr>
          </w:p>
        </w:tc>
      </w:tr>
      <w:tr>
        <w:trPr>
          <w:trHeight w:val="163"/>
        </w:trPr>
        <w:tc>
          <w:tcPr>
            <w:tcW w:w="75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OSB</w:t>
            </w: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5"/>
        </w:trPr>
        <w:tc>
          <w:tcPr>
            <w:tcW w:w="8840" w:type="dxa"/>
            <w:vAlign w:val="bottom"/>
            <w:gridSpan w:val="2"/>
          </w:tcPr>
          <w:p>
            <w:pPr>
              <w:ind w:left="20"/>
              <w:spacing w:after="0"/>
              <w:rPr>
                <w:sz w:val="20"/>
                <w:szCs w:val="20"/>
                <w:color w:val="auto"/>
              </w:rPr>
            </w:pPr>
            <w:r>
              <w:rPr>
                <w:rFonts w:ascii="Arial" w:cs="Arial" w:eastAsia="Arial" w:hAnsi="Arial"/>
                <w:sz w:val="13"/>
                <w:szCs w:val="13"/>
                <w:color w:val="auto"/>
              </w:rPr>
              <w:t>Siding</w:t>
            </w:r>
          </w:p>
        </w:tc>
        <w:tc>
          <w:tcPr>
            <w:tcW w:w="500" w:type="dxa"/>
            <w:vAlign w:val="bottom"/>
          </w:tcPr>
          <w:p>
            <w:pPr>
              <w:jc w:val="right"/>
              <w:spacing w:after="0"/>
              <w:rPr>
                <w:sz w:val="20"/>
                <w:szCs w:val="20"/>
                <w:color w:val="auto"/>
              </w:rPr>
            </w:pPr>
            <w:r>
              <w:rPr>
                <w:rFonts w:ascii="Arial" w:cs="Arial" w:eastAsia="Arial" w:hAnsi="Arial"/>
                <w:sz w:val="13"/>
                <w:szCs w:val="13"/>
                <w:color w:val="auto"/>
              </w:rPr>
              <w:t>28 %</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114 %</w:t>
            </w:r>
          </w:p>
        </w:tc>
      </w:tr>
    </w:tbl>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South America net sales increased by $17 million (or 47%) and Adjusted EBITDA increased by $14 million for the three months ended March 31, 2021, compared to the corresponding period in 2020 due to higher OSB and siding pricing partially offset by a decrease in OSB sales volume.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PRODUCTS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Other products segment includes Entekra, remaining timber and timberlands, and other minor products, services, and closed operations, which do not qualify as discontinued operations. Other net sales were $18 million for both the three months ended March 31, 2021 and 2020. Adjusted EBITDA was $(5) million and $(3) million for the three months ended March 31, 2021 and 2020,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Selling, general and administrative expenses were $48 million for the three months ended March 31, 2021, as compared to $55 million for the corresponding period in 2020. The decrease in 2021 is primarily due to a reduction in travel, corporate overhead and sales-related initiatives primarily driven by restrictions related to the COVID-19 pandemic.</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recognized an estimated tax provision of $96 million and $9 million in the three months ended March 31, 2021 and 2020, respectively. Each quarter the income tax accrual is adjusted to the latest estimate, and the difference from the previously accrued year-to-date balance is recorded in the current quarter. For 2021, the primary differences between the U.S. statutory rate of 21% and the effective rate relate to state income tax. For 2020, the primary differences between the U.S. statutory rate of 21% and the effective rate related to state income tax, tax credits, and stock-based compensation.</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Environmental Matters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a discussion of legal and environmental matters involving us and the potential impact thereof on our financial position, results of operations and cash flows, see Items 3, 7 and 8 in our 2020 Annual Report on Form 10-K and Note 12 of the Notes to the Condensed Consolidated Financial Statements included in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671195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2" w:right="319" w:bottom="1440" w:gutter="0" w:footer="0" w:header="0"/>
        </w:sectPr>
      </w:pPr>
    </w:p>
    <w:bookmarkStart w:id="28" w:name="page29"/>
    <w:bookmarkEnd w:id="28"/>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OVERVIEW</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principal sources of liquidity are existing cash and investment balances, cash generated by our operations, and our ability to borrow under such credit facilities as we may have in effect from time to time. We may also, from time to time, issue and sell equity, debt or hybrid securities, or engage in other capital market transactions.</w:t>
      </w:r>
    </w:p>
    <w:p>
      <w:pPr>
        <w:spacing w:after="0" w:line="15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affecting any such repurchases may be changed at any time, or from time to time, without prior notice.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0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During the three months ended March 31, 2021, cash provided by operations was $314 million. During the three months ended March 31, 2020 cash used by operations was $9 million. The improvement in cash provided by operations for the period ended March 31, 2021, was primarily related to increases in OSB commodity pricing and growth in SmartSide sales volume.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March 31, 2021, and 2020, cash used in investing activities was $32 million and $24 million, respectively.</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Capital expenditures for the three months ended March 31, 2021, and 2020, were $34 million and $24 million, respectively, primarily related to siding conversion expenditures and growth and maintenance capital. We expect to fund our capital expenditures through cash on hand and cash generated from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During the three months ended March 31, 2021, cash used in financing activities was $158 million. During the three months ended March 31, 2021, we used $122 million to repurchase shares of LP common stock under the Share Repurchase Program, and we paid cash dividends of $17 million. Additionally, in March 2021, we issued $350 million aggregate principal amount of the 2029 Senior Notes and, in February 2021, LP delivered to holders of the 2024 Senior Notes a conditional notice of redemption to redeem on March 27, 2021 all of the 2024 Senior Notes outstanding at a redemption price of 102.438% of the principal amount thereof plus accrued and unpaid interest to, but not including, the redemption date. The redemption notice became irrevocable on March 11, 2021, and the 2024 Senior Notes were fully redeemed on March 27, 2021. In connection with these aforementioned financing activities, we paid $13 million in redemption premiums and debt issuance costs. The remaining financing activities relate to the repurchase of stock from employees in connection with income tax withholding requirements associated with our employee stock-based compensation plans.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three months ended March 31, 2020, cash provided by financing activities was $329 million. We borrowed $350 million under our Amended Credit Facility. Additionally, we paid cash dividends of $16 million during the three months ended March 31, 2020. The remaining financing activities relate to the repurchase of stock from employees in connection with income tax withholding requirements associated with our employee stock-based compensation plans.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CREDIT FACILITY AND LETTER OF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821690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9" w:name="page30"/>
    <w:bookmarkEnd w:id="29"/>
    <w:p>
      <w:pPr>
        <w:jc w:val="both"/>
        <w:spacing w:after="0" w:line="267" w:lineRule="auto"/>
        <w:rPr>
          <w:sz w:val="20"/>
          <w:szCs w:val="20"/>
          <w:color w:val="auto"/>
        </w:rPr>
      </w:pPr>
      <w:r>
        <w:rPr>
          <w:rFonts w:ascii="Arial" w:cs="Arial" w:eastAsia="Arial" w:hAnsi="Arial"/>
          <w:sz w:val="14"/>
          <w:szCs w:val="14"/>
          <w:color w:val="auto"/>
        </w:rPr>
        <w:t>The Amended Credit Facility provides for revolving credit facilities in the aggregate principal amount of up to $550 million, with a $60 million sub-limit for letters of credit. The Revolving A Loan terminates, and all loans thereunder become due, on June 27, 2024. The Revolving B Loan terminates, and all loans made thereunder become due, on May 1, 2023. As of March 31, 2021, we had no amounts outstanding under the Amended Credit Facility.</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Amended Credit Facility contains various restrictive covenants and customary events of default, the occurrence of which could result in the acceleration of our obligation to repay the indebtedness outstanding thereunder. The Amended Credit Facility also contains financial covenants that requires us and our consolidated subsidiaries to have, as of the end of each quarter, (i) a capitalization ratio (i.e., funded debt less unrestricted cash to total capitalization) of no more than 57.5% and (ii) a minimum consolidated net worth of at least $475 million plus 70% of consolidated net income after December 31, 2019, without deduction for net losses. As of March 31, 2021, we were in compliance with all financial covenants under the Amended Credit Facility.</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March 2020, LP entered into the Letter of Credit Facility, which provides for the funding of letters of credit up to an aggregate outstanding amount of $20 million, which may be secured by certain cash collateral of LP. The Letter of Credit Facility includes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Amended Credit Facility, including capitalization ratio and minimum net worth covenants. As of March 31, 2021, we were in compliance with all covenants under the Letter of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OTHER LIQUIDITY MATTERS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Off-Balance Sheet Arrangements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March 31, 2021, we had standby letters of credit of $12 million outstanding related to collateral for environmental impact on owned properties, deposit for forestry license, and insurance collateral, including workers' compensation.</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Impairments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We review our mill and investment assets for potential impairments at least annually and believe we have adequate support for the carrying value of our assets as of March 31, 2021.</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If demand and pricing for our products are significantly below cycle average demand and pricing, or should we decide to invest capital in alternative projects, or should changes occur related to our wood supply for these locations, or should demand and pricing of our products fall as a result of the long-term effects of the COVID-19 pandemic, it is possible that future impairment charges will be required. As of March 31, 2021, there were no indications of impairment.</w:t>
      </w:r>
    </w:p>
    <w:p>
      <w:pPr>
        <w:spacing w:after="0" w:line="16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also review from time to time possible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786765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30" w:name="page31"/>
    <w:bookmarkEnd w:id="30"/>
    <w:p>
      <w:pPr>
        <w:spacing w:after="0"/>
        <w:tabs>
          <w:tab w:leader="none" w:pos="10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204"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Our international operations have exposure to foreign currency rate risks, primarily due to fluctuations in the Canadian dollar, Brazilian real and the Chilean peso.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material currency rate hedges with respect to our exposure from operations, although we may do so in the future.</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Some of our products are sold as commodities, and therefore sales prices fluctuate daily based on market factors over which we have little or no control. The most significant commodity product we sell is OSB. Based upon an assumed North America annual production capacity in the OSB segment of 4.5 billion square feet (3/8" basis) or 3.9 billion square feet (7/16" basis), a $1 change in the annual average price per thousand square feet on a 7/16" basis would change annual pre-tax profits by approximately $4 million. Excluding the Peace Valley facility, which was curtailed in 2019, a $1 change in the annual average price per thousand square feet on a 7/16" basis would change annual pre-tax profits by approximately $3 million.</w:t>
      </w:r>
    </w:p>
    <w:p>
      <w:pPr>
        <w:spacing w:after="0" w:line="15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exposed to market risk associated with changes in interest rates on our variable rate long-term debt. As of March 31, 2021, we had no outstanding amounts borrowed under our Amended Credit Facility. We do not currently have any derivative or hedging arrangements, or other known exposures, to changes in interest rates.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We historically have not entered into material commodity futures and swaps, although we may do so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700405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1" w:name="page32"/>
    <w:bookmarkEnd w:id="31"/>
    <w:p>
      <w:pPr>
        <w:spacing w:after="0"/>
        <w:tabs>
          <w:tab w:leader="none" w:pos="10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3"/>
          <w:szCs w:val="13"/>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March 31, 2021, our Chief Executive Officer and Chief Financial Officer carried out, with the participation of the Company's Disclosure Practices Committee and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March 31, 2021, LP’s disclosure controls and procedures were effective.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were no changes in our internal control over financial reporting that occurred during our most recently completed fiscal quarter, ended March 31, 2021,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913765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auto"/>
        </w:rPr>
        <w:t>LOUISIANA-PACIFIC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PERFORMANCE INDICATORS</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following tables set forth: (1) our sales volumes, (2) housing starts and (3) OEE. We consider the following items to be key performance indicators because LP’s management uses these metrics to evaluate our business and trends, measure our performance, and make strategic decisions and believes that the key performance indicators presented provide additional perspective and insights when analyzing the core operating performance of LP. These key performance indicators should not be considered superior to, as a substitute for or as an alternative to, and should be considered in conjunction with, the U.S. GAAP financial measures presented herein. These measures may not be comparable to similarly-titled performance indicators used by other companies.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similarly-titled indicators reported by other companies.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4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85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r>
      <w:tr>
        <w:trPr>
          <w:trHeight w:val="160"/>
        </w:trPr>
        <w:tc>
          <w:tcPr>
            <w:tcW w:w="854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b w:val="1"/>
                <w:bCs w:val="1"/>
                <w:color w:val="auto"/>
              </w:rPr>
              <w:t>Housing starts</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w:t>
            </w: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0"/>
        </w:trPr>
        <w:tc>
          <w:tcPr>
            <w:tcW w:w="8540" w:type="dxa"/>
            <w:vAlign w:val="bottom"/>
          </w:tcPr>
          <w:p>
            <w:pPr>
              <w:ind w:left="20"/>
              <w:spacing w:after="0"/>
              <w:rPr>
                <w:sz w:val="20"/>
                <w:szCs w:val="20"/>
                <w:color w:val="auto"/>
              </w:rPr>
            </w:pPr>
            <w:r>
              <w:rPr>
                <w:rFonts w:ascii="Arial" w:cs="Arial" w:eastAsia="Arial" w:hAnsi="Arial"/>
                <w:sz w:val="14"/>
                <w:szCs w:val="14"/>
                <w:color w:val="auto"/>
              </w:rPr>
              <w:t>Single-Family</w:t>
            </w:r>
          </w:p>
        </w:tc>
        <w:tc>
          <w:tcPr>
            <w:tcW w:w="1280" w:type="dxa"/>
            <w:vAlign w:val="bottom"/>
          </w:tcPr>
          <w:p>
            <w:pPr>
              <w:jc w:val="right"/>
              <w:spacing w:after="0"/>
              <w:rPr>
                <w:sz w:val="20"/>
                <w:szCs w:val="20"/>
                <w:color w:val="auto"/>
              </w:rPr>
            </w:pPr>
            <w:r>
              <w:rPr>
                <w:rFonts w:ascii="Arial" w:cs="Arial" w:eastAsia="Arial" w:hAnsi="Arial"/>
                <w:sz w:val="14"/>
                <w:szCs w:val="14"/>
                <w:color w:val="auto"/>
              </w:rPr>
              <w:t>256</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180"/>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Multi-Family</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71"/>
        </w:trPr>
        <w:tc>
          <w:tcPr>
            <w:tcW w:w="854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r>
      <w:tr>
        <w:trPr>
          <w:trHeight w:val="20"/>
        </w:trPr>
        <w:tc>
          <w:tcPr>
            <w:tcW w:w="85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80" w:hanging="61"/>
        <w:spacing w:after="0"/>
        <w:tabs>
          <w:tab w:leader="none" w:pos="80" w:val="left"/>
        </w:tabs>
        <w:numPr>
          <w:ilvl w:val="0"/>
          <w:numId w:val="6"/>
        </w:numPr>
        <w:rPr>
          <w:rFonts w:ascii="Arial" w:cs="Arial" w:eastAsia="Arial" w:hAnsi="Arial"/>
          <w:sz w:val="15"/>
          <w:szCs w:val="15"/>
          <w:color w:val="auto"/>
          <w:vertAlign w:val="superscript"/>
        </w:rPr>
      </w:pPr>
      <w:r>
        <w:rPr>
          <w:rFonts w:ascii="Arial" w:cs="Arial" w:eastAsia="Arial" w:hAnsi="Arial"/>
          <w:sz w:val="11"/>
          <w:szCs w:val="11"/>
          <w:color w:val="auto"/>
        </w:rPr>
        <w:t>Actual U.S. Housing starts data reported by U.S. Census Bureau as published through April 16, 2021.</w:t>
      </w:r>
    </w:p>
    <w:p>
      <w:pPr>
        <w:spacing w:after="0" w:line="2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monitor sales volumes for our products in our Siding, OSB and EWP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volumes differently and, therefore, as presented by us, sales volumes may not be comparable to similarly-titled measures reported by other companies. We believe that sales volumes can be a useful measure for evaluating and understanding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North American sales volumes for the three months ended March 31, 2021, and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32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Three Months Ended March 31, 2021</w:t>
            </w:r>
          </w:p>
        </w:tc>
        <w:tc>
          <w:tcPr>
            <w:tcW w:w="4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3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March 31, 2020</w:t>
            </w:r>
          </w:p>
        </w:tc>
        <w:tc>
          <w:tcPr>
            <w:tcW w:w="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r>
      <w:tr>
        <w:trPr>
          <w:trHeight w:val="145"/>
        </w:trPr>
        <w:tc>
          <w:tcPr>
            <w:tcW w:w="364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Sales Volume</w:t>
            </w:r>
          </w:p>
        </w:tc>
        <w:tc>
          <w:tcPr>
            <w:tcW w:w="1160" w:type="dxa"/>
            <w:vAlign w:val="bottom"/>
            <w:gridSpan w:val="3"/>
          </w:tcPr>
          <w:p>
            <w:pPr>
              <w:jc w:val="right"/>
              <w:ind w:right="369"/>
              <w:spacing w:after="0" w:line="139" w:lineRule="exact"/>
              <w:rPr>
                <w:sz w:val="20"/>
                <w:szCs w:val="20"/>
                <w:color w:val="auto"/>
              </w:rPr>
            </w:pPr>
            <w:r>
              <w:rPr>
                <w:rFonts w:ascii="Arial" w:cs="Arial" w:eastAsia="Arial" w:hAnsi="Arial"/>
                <w:sz w:val="14"/>
                <w:szCs w:val="14"/>
                <w:b w:val="1"/>
                <w:bCs w:val="1"/>
                <w:color w:val="auto"/>
              </w:rPr>
              <w:t>Siding</w:t>
            </w:r>
          </w:p>
        </w:tc>
        <w:tc>
          <w:tcPr>
            <w:tcW w:w="860" w:type="dxa"/>
            <w:vAlign w:val="bottom"/>
            <w:gridSpan w:val="3"/>
          </w:tcPr>
          <w:p>
            <w:pPr>
              <w:ind w:left="180"/>
              <w:spacing w:after="0" w:line="139" w:lineRule="exact"/>
              <w:rPr>
                <w:sz w:val="20"/>
                <w:szCs w:val="20"/>
                <w:color w:val="auto"/>
              </w:rPr>
            </w:pPr>
            <w:r>
              <w:rPr>
                <w:rFonts w:ascii="Arial" w:cs="Arial" w:eastAsia="Arial" w:hAnsi="Arial"/>
                <w:sz w:val="14"/>
                <w:szCs w:val="14"/>
                <w:b w:val="1"/>
                <w:bCs w:val="1"/>
                <w:color w:val="auto"/>
              </w:rPr>
              <w:t>OSB</w:t>
            </w:r>
          </w:p>
        </w:tc>
        <w:tc>
          <w:tcPr>
            <w:tcW w:w="1020" w:type="dxa"/>
            <w:vAlign w:val="bottom"/>
            <w:gridSpan w:val="3"/>
          </w:tcPr>
          <w:p>
            <w:pPr>
              <w:jc w:val="right"/>
              <w:ind w:right="509"/>
              <w:spacing w:after="0" w:line="139" w:lineRule="exact"/>
              <w:rPr>
                <w:sz w:val="20"/>
                <w:szCs w:val="20"/>
                <w:color w:val="auto"/>
              </w:rPr>
            </w:pPr>
            <w:r>
              <w:rPr>
                <w:rFonts w:ascii="Arial" w:cs="Arial" w:eastAsia="Arial" w:hAnsi="Arial"/>
                <w:sz w:val="14"/>
                <w:szCs w:val="14"/>
                <w:b w:val="1"/>
                <w:bCs w:val="1"/>
                <w:color w:val="auto"/>
              </w:rPr>
              <w:t>EWP</w:t>
            </w:r>
          </w:p>
        </w:tc>
        <w:tc>
          <w:tcPr>
            <w:tcW w:w="720" w:type="dxa"/>
            <w:vAlign w:val="bottom"/>
            <w:gridSpan w:val="3"/>
          </w:tcPr>
          <w:p>
            <w:pPr>
              <w:jc w:val="right"/>
              <w:ind w:right="309"/>
              <w:spacing w:after="0" w:line="13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529"/>
              <w:spacing w:after="0" w:line="139" w:lineRule="exact"/>
              <w:rPr>
                <w:sz w:val="20"/>
                <w:szCs w:val="20"/>
                <w:color w:val="auto"/>
              </w:rPr>
            </w:pPr>
            <w:r>
              <w:rPr>
                <w:rFonts w:ascii="Arial" w:cs="Arial" w:eastAsia="Arial" w:hAnsi="Arial"/>
                <w:sz w:val="14"/>
                <w:szCs w:val="14"/>
                <w:b w:val="1"/>
                <w:bCs w:val="1"/>
                <w:color w:val="auto"/>
                <w:w w:val="84"/>
              </w:rPr>
              <w:t>Siding</w:t>
            </w:r>
          </w:p>
        </w:tc>
        <w:tc>
          <w:tcPr>
            <w:tcW w:w="840" w:type="dxa"/>
            <w:vAlign w:val="bottom"/>
            <w:gridSpan w:val="2"/>
          </w:tcPr>
          <w:p>
            <w:pPr>
              <w:jc w:val="right"/>
              <w:ind w:right="469"/>
              <w:spacing w:after="0" w:line="139" w:lineRule="exact"/>
              <w:rPr>
                <w:sz w:val="20"/>
                <w:szCs w:val="20"/>
                <w:color w:val="auto"/>
              </w:rPr>
            </w:pPr>
            <w:r>
              <w:rPr>
                <w:rFonts w:ascii="Arial" w:cs="Arial" w:eastAsia="Arial" w:hAnsi="Arial"/>
                <w:sz w:val="14"/>
                <w:szCs w:val="14"/>
                <w:b w:val="1"/>
                <w:bCs w:val="1"/>
                <w:color w:val="auto"/>
                <w:w w:val="92"/>
              </w:rPr>
              <w:t>OSB</w:t>
            </w:r>
          </w:p>
        </w:tc>
        <w:tc>
          <w:tcPr>
            <w:tcW w:w="920" w:type="dxa"/>
            <w:vAlign w:val="bottom"/>
            <w:gridSpan w:val="2"/>
          </w:tcPr>
          <w:p>
            <w:pPr>
              <w:jc w:val="right"/>
              <w:ind w:right="529"/>
              <w:spacing w:after="0" w:line="139" w:lineRule="exact"/>
              <w:rPr>
                <w:sz w:val="20"/>
                <w:szCs w:val="20"/>
                <w:color w:val="auto"/>
              </w:rPr>
            </w:pPr>
            <w:r>
              <w:rPr>
                <w:rFonts w:ascii="Arial" w:cs="Arial" w:eastAsia="Arial" w:hAnsi="Arial"/>
                <w:sz w:val="14"/>
                <w:szCs w:val="14"/>
                <w:b w:val="1"/>
                <w:bCs w:val="1"/>
                <w:color w:val="auto"/>
                <w:w w:val="93"/>
              </w:rPr>
              <w:t>EWP</w:t>
            </w:r>
          </w:p>
        </w:tc>
        <w:tc>
          <w:tcPr>
            <w:tcW w:w="720" w:type="dxa"/>
            <w:vAlign w:val="bottom"/>
            <w:gridSpan w:val="3"/>
          </w:tcPr>
          <w:p>
            <w:pPr>
              <w:jc w:val="right"/>
              <w:ind w:right="289"/>
              <w:spacing w:after="0" w:line="139" w:lineRule="exact"/>
              <w:rPr>
                <w:sz w:val="20"/>
                <w:szCs w:val="20"/>
                <w:color w:val="auto"/>
              </w:rPr>
            </w:pPr>
            <w:r>
              <w:rPr>
                <w:rFonts w:ascii="Arial" w:cs="Arial" w:eastAsia="Arial" w:hAnsi="Arial"/>
                <w:sz w:val="14"/>
                <w:szCs w:val="14"/>
                <w:b w:val="1"/>
                <w:bCs w:val="1"/>
                <w:color w:val="auto"/>
              </w:rPr>
              <w:t>Total</w:t>
            </w:r>
          </w:p>
        </w:tc>
      </w:tr>
      <w:tr>
        <w:trPr>
          <w:trHeight w:val="186"/>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SmartSide (MMSF)</w:t>
            </w:r>
          </w:p>
        </w:tc>
        <w:tc>
          <w:tcPr>
            <w:tcW w:w="3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406</w:t>
            </w:r>
          </w:p>
        </w:tc>
        <w:tc>
          <w:tcPr>
            <w:tcW w:w="1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291</w:t>
            </w: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Fiber siding (MMSF)</w:t>
            </w:r>
          </w:p>
        </w:tc>
        <w:tc>
          <w:tcPr>
            <w:tcW w:w="1160" w:type="dxa"/>
            <w:vAlign w:val="bottom"/>
            <w:gridSpan w:val="3"/>
          </w:tcPr>
          <w:p>
            <w:pPr>
              <w:jc w:val="right"/>
              <w:ind w:right="89"/>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300" w:type="dxa"/>
            <w:vAlign w:val="bottom"/>
            <w:gridSpan w:val="3"/>
          </w:tcPr>
          <w:p>
            <w:pPr>
              <w:jc w:val="right"/>
              <w:ind w:right="269"/>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5"/>
                <w:szCs w:val="15"/>
                <w:color w:val="auto"/>
              </w:rPr>
            </w:pPr>
          </w:p>
        </w:tc>
        <w:tc>
          <w:tcPr>
            <w:tcW w:w="5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38</w:t>
            </w:r>
          </w:p>
        </w:tc>
      </w:tr>
      <w:tr>
        <w:trPr>
          <w:trHeight w:val="181"/>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OSB - commodity (MMSF)</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center"/>
              <w:ind w:left="309"/>
              <w:spacing w:after="0"/>
              <w:rPr>
                <w:sz w:val="20"/>
                <w:szCs w:val="20"/>
                <w:color w:val="auto"/>
              </w:rPr>
            </w:pPr>
            <w:r>
              <w:rPr>
                <w:rFonts w:ascii="Arial" w:cs="Arial" w:eastAsia="Arial" w:hAnsi="Arial"/>
                <w:sz w:val="14"/>
                <w:szCs w:val="14"/>
                <w:color w:val="auto"/>
                <w:w w:val="85"/>
              </w:rPr>
              <w:t>456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522</w:t>
            </w: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522</w:t>
            </w: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OSB - Structural Solutions (MMSF)</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center"/>
              <w:ind w:left="309"/>
              <w:spacing w:after="0"/>
              <w:rPr>
                <w:sz w:val="20"/>
                <w:szCs w:val="20"/>
                <w:color w:val="auto"/>
              </w:rPr>
            </w:pPr>
            <w:r>
              <w:rPr>
                <w:rFonts w:ascii="Arial" w:cs="Arial" w:eastAsia="Arial" w:hAnsi="Arial"/>
                <w:sz w:val="14"/>
                <w:szCs w:val="14"/>
                <w:color w:val="auto"/>
                <w:w w:val="85"/>
              </w:rPr>
              <w:t>402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9"/>
              <w:spacing w:after="0"/>
              <w:rPr>
                <w:sz w:val="20"/>
                <w:szCs w:val="20"/>
                <w:color w:val="auto"/>
              </w:rPr>
            </w:pPr>
            <w:r>
              <w:rPr>
                <w:rFonts w:ascii="Arial" w:cs="Arial" w:eastAsia="Arial" w:hAnsi="Arial"/>
                <w:sz w:val="14"/>
                <w:szCs w:val="14"/>
                <w:color w:val="auto"/>
              </w:rPr>
              <w:t>396</w:t>
            </w:r>
          </w:p>
        </w:tc>
        <w:tc>
          <w:tcPr>
            <w:tcW w:w="320" w:type="dxa"/>
            <w:vAlign w:val="bottom"/>
          </w:tcPr>
          <w:p>
            <w:pPr>
              <w:spacing w:after="0"/>
              <w:rPr>
                <w:sz w:val="15"/>
                <w:szCs w:val="15"/>
                <w:color w:val="auto"/>
              </w:rPr>
            </w:pPr>
          </w:p>
        </w:tc>
        <w:tc>
          <w:tcPr>
            <w:tcW w:w="6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396</w:t>
            </w:r>
          </w:p>
        </w:tc>
      </w:tr>
      <w:tr>
        <w:trPr>
          <w:trHeight w:val="181"/>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I-Joist (MMLF)</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9"/>
              </w:rPr>
              <w:t>—</w:t>
            </w:r>
          </w:p>
        </w:tc>
        <w:tc>
          <w:tcPr>
            <w:tcW w:w="1020" w:type="dxa"/>
            <w:vAlign w:val="bottom"/>
            <w:gridSpan w:val="3"/>
            <w:shd w:val="clear" w:color="auto" w:fill="CCEEFF"/>
          </w:tcPr>
          <w:p>
            <w:pPr>
              <w:jc w:val="right"/>
              <w:ind w:right="309"/>
              <w:spacing w:after="0"/>
              <w:rPr>
                <w:sz w:val="20"/>
                <w:szCs w:val="20"/>
                <w:color w:val="auto"/>
              </w:rPr>
            </w:pPr>
            <w:r>
              <w:rPr>
                <w:rFonts w:ascii="Arial" w:cs="Arial" w:eastAsia="Arial" w:hAnsi="Arial"/>
                <w:sz w:val="14"/>
                <w:szCs w:val="14"/>
                <w:color w:val="auto"/>
              </w:rPr>
              <w:t>30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26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LVL (MCF)</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020" w:type="dxa"/>
            <w:vAlign w:val="bottom"/>
            <w:gridSpan w:val="3"/>
          </w:tcPr>
          <w:p>
            <w:pPr>
              <w:jc w:val="right"/>
              <w:ind w:right="309"/>
              <w:spacing w:after="0"/>
              <w:rPr>
                <w:sz w:val="20"/>
                <w:szCs w:val="20"/>
                <w:color w:val="auto"/>
              </w:rPr>
            </w:pPr>
            <w:r>
              <w:rPr>
                <w:rFonts w:ascii="Arial" w:cs="Arial" w:eastAsia="Arial" w:hAnsi="Arial"/>
                <w:sz w:val="14"/>
                <w:szCs w:val="14"/>
                <w:color w:val="auto"/>
              </w:rPr>
              <w:t>1,911</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1,911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5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9"/>
              <w:spacing w:after="0"/>
              <w:rPr>
                <w:sz w:val="20"/>
                <w:szCs w:val="20"/>
                <w:color w:val="auto"/>
              </w:rPr>
            </w:pPr>
            <w:r>
              <w:rPr>
                <w:rFonts w:ascii="Arial" w:cs="Arial" w:eastAsia="Arial" w:hAnsi="Arial"/>
                <w:sz w:val="14"/>
                <w:szCs w:val="14"/>
                <w:color w:val="auto"/>
              </w:rPr>
              <w:t>1,753</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1,753</w:t>
            </w:r>
          </w:p>
        </w:tc>
      </w:tr>
      <w:tr>
        <w:trPr>
          <w:trHeight w:val="181"/>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LSL (MCF)</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9"/>
              </w:rPr>
              <w:t>—</w:t>
            </w:r>
          </w:p>
        </w:tc>
        <w:tc>
          <w:tcPr>
            <w:tcW w:w="1020" w:type="dxa"/>
            <w:vAlign w:val="bottom"/>
            <w:gridSpan w:val="3"/>
            <w:shd w:val="clear" w:color="auto" w:fill="CCEEFF"/>
          </w:tcPr>
          <w:p>
            <w:pPr>
              <w:jc w:val="right"/>
              <w:ind w:right="309"/>
              <w:spacing w:after="0"/>
              <w:rPr>
                <w:sz w:val="20"/>
                <w:szCs w:val="20"/>
                <w:color w:val="auto"/>
              </w:rPr>
            </w:pPr>
            <w:r>
              <w:rPr>
                <w:rFonts w:ascii="Arial" w:cs="Arial" w:eastAsia="Arial" w:hAnsi="Arial"/>
                <w:sz w:val="14"/>
                <w:szCs w:val="14"/>
                <w:color w:val="auto"/>
              </w:rPr>
              <w:t>441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699</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699</w:t>
            </w:r>
          </w:p>
        </w:tc>
      </w:tr>
      <w:tr>
        <w:trPr>
          <w:trHeight w:val="1699"/>
        </w:trPr>
        <w:tc>
          <w:tcPr>
            <w:tcW w:w="3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45" w:right="319" w:bottom="1440" w:gutter="0" w:footer="0" w:header="0"/>
        </w:sectPr>
      </w:pPr>
    </w:p>
    <w:bookmarkStart w:id="33" w:name="page34"/>
    <w:bookmarkEnd w:id="33"/>
    <w:p>
      <w:pPr>
        <w:spacing w:after="0" w:line="30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It should be noted that other companies may present OEE differently and, therefore, as presented by us, OEE may not be comparable to similarly-titled measures reported by other companies. We believe that when used in conjunction with other metrics, OEE can be a useful measure for evaluating our ability to generate profits, and that providing this measure should allow interested persons to more readily monitor operational improvements. OEE for the three months ended March 31, 2021 and 2020 for each of our segments is listed below:</w:t>
      </w:r>
    </w:p>
    <w:p>
      <w:pPr>
        <w:spacing w:after="0" w:line="79"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2020</w:t>
            </w:r>
          </w:p>
        </w:tc>
      </w:tr>
      <w:tr>
        <w:trPr>
          <w:trHeight w:val="171"/>
        </w:trPr>
        <w:tc>
          <w:tcPr>
            <w:tcW w:w="8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Siding</w:t>
            </w: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89 %</w:t>
            </w:r>
          </w:p>
        </w:tc>
      </w:tr>
      <w:tr>
        <w:trPr>
          <w:trHeight w:val="180"/>
        </w:trPr>
        <w:tc>
          <w:tcPr>
            <w:tcW w:w="9520" w:type="dxa"/>
            <w:vAlign w:val="bottom"/>
            <w:gridSpan w:val="2"/>
          </w:tcPr>
          <w:p>
            <w:pPr>
              <w:ind w:left="20"/>
              <w:spacing w:after="0"/>
              <w:rPr>
                <w:sz w:val="20"/>
                <w:szCs w:val="20"/>
                <w:color w:val="auto"/>
              </w:rPr>
            </w:pPr>
            <w:r>
              <w:rPr>
                <w:rFonts w:ascii="Arial" w:cs="Arial" w:eastAsia="Arial" w:hAnsi="Arial"/>
                <w:sz w:val="14"/>
                <w:szCs w:val="14"/>
                <w:color w:val="auto"/>
              </w:rPr>
              <w:t>OSB</w:t>
            </w:r>
          </w:p>
        </w:tc>
        <w:tc>
          <w:tcPr>
            <w:tcW w:w="400" w:type="dxa"/>
            <w:vAlign w:val="bottom"/>
          </w:tcPr>
          <w:p>
            <w:pPr>
              <w:jc w:val="right"/>
              <w:spacing w:after="0"/>
              <w:rPr>
                <w:sz w:val="20"/>
                <w:szCs w:val="20"/>
                <w:color w:val="auto"/>
              </w:rPr>
            </w:pPr>
            <w:r>
              <w:rPr>
                <w:rFonts w:ascii="Arial" w:cs="Arial" w:eastAsia="Arial" w:hAnsi="Arial"/>
                <w:sz w:val="14"/>
                <w:szCs w:val="14"/>
                <w:color w:val="auto"/>
              </w:rPr>
              <w:t>82 %</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88 %</w:t>
            </w:r>
          </w:p>
        </w:tc>
      </w:tr>
      <w:tr>
        <w:trPr>
          <w:trHeight w:val="181"/>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EWP</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88 %</w:t>
            </w:r>
          </w:p>
        </w:tc>
      </w:tr>
      <w:tr>
        <w:trPr>
          <w:trHeight w:val="180"/>
        </w:trPr>
        <w:tc>
          <w:tcPr>
            <w:tcW w:w="9520" w:type="dxa"/>
            <w:vAlign w:val="bottom"/>
            <w:gridSpan w:val="2"/>
          </w:tcPr>
          <w:p>
            <w:pPr>
              <w:ind w:left="20"/>
              <w:spacing w:after="0"/>
              <w:rPr>
                <w:sz w:val="20"/>
                <w:szCs w:val="20"/>
                <w:color w:val="auto"/>
              </w:rPr>
            </w:pPr>
            <w:r>
              <w:rPr>
                <w:rFonts w:ascii="Arial" w:cs="Arial" w:eastAsia="Arial" w:hAnsi="Arial"/>
                <w:sz w:val="14"/>
                <w:szCs w:val="14"/>
                <w:color w:val="auto"/>
              </w:rPr>
              <w:t>South America</w:t>
            </w:r>
          </w:p>
        </w:tc>
        <w:tc>
          <w:tcPr>
            <w:tcW w:w="400" w:type="dxa"/>
            <w:vAlign w:val="bottom"/>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69 %</w:t>
            </w:r>
          </w:p>
        </w:tc>
      </w:tr>
      <w:tr>
        <w:trPr>
          <w:trHeight w:val="1360"/>
        </w:trPr>
        <w:tc>
          <w:tcPr>
            <w:tcW w:w="8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t>PART II-OTHER INFORMATION</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39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description of certain legal and environmental matters involving LP set forth in Item 1 of this quarterly report on Form 10-Q under “Note 12” to the Notes to the Condensed Consolidated Financial Statements contained herein is incorporated herein by reference.</w:t>
      </w:r>
    </w:p>
    <w:p>
      <w:pPr>
        <w:spacing w:after="0" w:line="34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to the other information set forth in this quarterly report on Form 10-Q, an investor should carefully consider the factors discussed in Part I, “Item 1A. Risk Factors” in the Company’s Annual Report on Form 10-K for the year ended December 31, 2020, as filed on February 18, 2021 ("2020 Annual Report on Form 10-K"). There have been no material changes to the risk factors previously disclosed under caption "Risk Factors" in our 2020 Annual Report on Form 10-K. The risks, as described in our 2020 Annual Report on Form 10-K, are not the only risks facing the Company. Additional risks and uncertainties not currently known to us or that we currently deem immaterial also may materially, adversely affect our business, financial condition, operating results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801370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5" w:name="page36"/>
    <w:bookmarkEnd w:id="35"/>
    <w:p>
      <w:pPr>
        <w:spacing w:after="0" w:line="86"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February 2020, LP’s Board of Directors authorized the Share Repurchase Program under which LP may repurchase up to $200 million of shares of LP’s common stock. In November 2020, LP’s Board of Directors authorized the expansion of the Share Repurchase Program under which LP may repurchase up to an additional $300 million of shares of LP’s common stock. LP may initiate, discontinue or resume purchases of its common stock under this authorization in the open market, in privately negotiated transactions, including under SEC Rule 10b5-1 plans, or otherwise at any time or from time to time without prior notice.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shares of our common stock were repurchased under this authorization during the quarter ended March 31,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Total Number of Shares Purchased</w:t>
            </w:r>
          </w:p>
        </w:tc>
        <w:tc>
          <w:tcPr>
            <w:tcW w:w="2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Approximate Dollar Value of Shares</w:t>
            </w:r>
          </w:p>
        </w:tc>
        <w:tc>
          <w:tcPr>
            <w:tcW w:w="0" w:type="dxa"/>
            <w:vAlign w:val="bottom"/>
          </w:tcPr>
          <w:p>
            <w:pPr>
              <w:spacing w:after="0"/>
              <w:rPr>
                <w:sz w:val="1"/>
                <w:szCs w:val="1"/>
                <w:color w:val="auto"/>
              </w:rPr>
            </w:pPr>
          </w:p>
        </w:tc>
      </w:tr>
      <w:tr>
        <w:trPr>
          <w:trHeight w:val="127"/>
        </w:trPr>
        <w:tc>
          <w:tcPr>
            <w:tcW w:w="3960" w:type="dxa"/>
            <w:vAlign w:val="bottom"/>
          </w:tcPr>
          <w:p>
            <w:pPr>
              <w:spacing w:after="0"/>
              <w:rPr>
                <w:sz w:val="11"/>
                <w:szCs w:val="11"/>
                <w:color w:val="auto"/>
              </w:rPr>
            </w:pPr>
          </w:p>
        </w:tc>
        <w:tc>
          <w:tcPr>
            <w:tcW w:w="156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w w:val="95"/>
              </w:rPr>
              <w:t>Total Number of Shares</w:t>
            </w:r>
          </w:p>
        </w:tc>
        <w:tc>
          <w:tcPr>
            <w:tcW w:w="160" w:type="dxa"/>
            <w:vAlign w:val="bottom"/>
          </w:tcPr>
          <w:p>
            <w:pPr>
              <w:spacing w:after="0"/>
              <w:rPr>
                <w:sz w:val="11"/>
                <w:szCs w:val="11"/>
                <w:color w:val="auto"/>
              </w:rPr>
            </w:pPr>
          </w:p>
        </w:tc>
        <w:tc>
          <w:tcPr>
            <w:tcW w:w="152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w w:val="89"/>
              </w:rPr>
              <w:t>Average Price Paid Per</w:t>
            </w:r>
          </w:p>
        </w:tc>
        <w:tc>
          <w:tcPr>
            <w:tcW w:w="2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9"/>
              </w:rPr>
              <w:t>that May Yet Be Purchased Under</w:t>
            </w:r>
          </w:p>
        </w:tc>
        <w:tc>
          <w:tcPr>
            <w:tcW w:w="0" w:type="dxa"/>
            <w:vAlign w:val="bottom"/>
          </w:tcPr>
          <w:p>
            <w:pPr>
              <w:spacing w:after="0"/>
              <w:rPr>
                <w:sz w:val="1"/>
                <w:szCs w:val="1"/>
                <w:color w:val="auto"/>
              </w:rPr>
            </w:pPr>
          </w:p>
        </w:tc>
      </w:tr>
      <w:tr>
        <w:trPr>
          <w:trHeight w:val="127"/>
        </w:trPr>
        <w:tc>
          <w:tcPr>
            <w:tcW w:w="3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204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88"/>
              </w:rPr>
              <w:t>as Part of Publicly Announced</w:t>
            </w:r>
          </w:p>
        </w:tc>
        <w:tc>
          <w:tcPr>
            <w:tcW w:w="80" w:type="dxa"/>
            <w:vAlign w:val="bottom"/>
          </w:tcPr>
          <w:p>
            <w:pPr>
              <w:spacing w:after="0"/>
              <w:rPr>
                <w:sz w:val="11"/>
                <w:szCs w:val="11"/>
                <w:color w:val="auto"/>
              </w:rPr>
            </w:pPr>
          </w:p>
        </w:tc>
        <w:tc>
          <w:tcPr>
            <w:tcW w:w="19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7"/>
              </w:rPr>
              <w:t>the Plans or Programs</w:t>
            </w:r>
          </w:p>
        </w:tc>
        <w:tc>
          <w:tcPr>
            <w:tcW w:w="0" w:type="dxa"/>
            <w:vAlign w:val="bottom"/>
          </w:tcPr>
          <w:p>
            <w:pPr>
              <w:spacing w:after="0"/>
              <w:rPr>
                <w:sz w:val="1"/>
                <w:szCs w:val="1"/>
                <w:color w:val="auto"/>
              </w:rPr>
            </w:pPr>
          </w:p>
        </w:tc>
      </w:tr>
      <w:tr>
        <w:trPr>
          <w:trHeight w:val="170"/>
        </w:trPr>
        <w:tc>
          <w:tcPr>
            <w:tcW w:w="3960" w:type="dxa"/>
            <w:vAlign w:val="bottom"/>
            <w:tcBorders>
              <w:bottom w:val="single" w:sz="8" w:color="CCEEFF"/>
            </w:tcBorders>
            <w:vMerge w:val="continue"/>
          </w:tcPr>
          <w:p>
            <w:pPr>
              <w:spacing w:after="0"/>
              <w:rPr>
                <w:sz w:val="14"/>
                <w:szCs w:val="14"/>
                <w:color w:val="auto"/>
              </w:rPr>
            </w:pPr>
          </w:p>
        </w:tc>
        <w:tc>
          <w:tcPr>
            <w:tcW w:w="15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Purchased</w:t>
            </w: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Share</w:t>
            </w:r>
          </w:p>
        </w:tc>
        <w:tc>
          <w:tcPr>
            <w:tcW w:w="194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3"/>
                <w:szCs w:val="13"/>
                <w:b w:val="1"/>
                <w:bCs w:val="1"/>
                <w:color w:val="auto"/>
                <w:w w:val="85"/>
              </w:rPr>
              <w:t>Purchase Plans or Programs</w:t>
            </w:r>
            <w:r>
              <w:rPr>
                <w:rFonts w:ascii="Arial" w:cs="Arial" w:eastAsia="Arial" w:hAnsi="Arial"/>
                <w:sz w:val="16"/>
                <w:szCs w:val="16"/>
                <w:b w:val="1"/>
                <w:bCs w:val="1"/>
                <w:color w:val="auto"/>
                <w:w w:val="85"/>
                <w:vertAlign w:val="superscript"/>
              </w:rPr>
              <w:t>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w:t>
            </w:r>
            <w:r>
              <w:rPr>
                <w:rFonts w:ascii="Arial" w:cs="Arial" w:eastAsia="Arial" w:hAnsi="Arial"/>
                <w:sz w:val="13"/>
                <w:szCs w:val="13"/>
                <w:b w:val="1"/>
                <w:bCs w:val="1"/>
                <w:i w:val="1"/>
                <w:iCs w:val="1"/>
                <w:color w:val="auto"/>
                <w:w w:val="90"/>
              </w:rPr>
              <w:t>In millions</w:t>
            </w:r>
            <w:r>
              <w:rPr>
                <w:rFonts w:ascii="Arial" w:cs="Arial" w:eastAsia="Arial" w:hAnsi="Arial"/>
                <w:sz w:val="13"/>
                <w:szCs w:val="13"/>
                <w:b w:val="1"/>
                <w:bCs w:val="1"/>
                <w:color w:val="auto"/>
                <w:w w:val="90"/>
              </w:rPr>
              <w:t>)</w:t>
            </w:r>
          </w:p>
        </w:tc>
        <w:tc>
          <w:tcPr>
            <w:tcW w:w="0" w:type="dxa"/>
            <w:vAlign w:val="bottom"/>
          </w:tcPr>
          <w:p>
            <w:pPr>
              <w:spacing w:after="0"/>
              <w:rPr>
                <w:sz w:val="1"/>
                <w:szCs w:val="1"/>
                <w:color w:val="auto"/>
              </w:rPr>
            </w:pPr>
          </w:p>
        </w:tc>
      </w:tr>
      <w:tr>
        <w:trPr>
          <w:trHeight w:val="160"/>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January 1, 2021 - January 31, 2021</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8"/>
        </w:trPr>
        <w:tc>
          <w:tcPr>
            <w:tcW w:w="3960" w:type="dxa"/>
            <w:vAlign w:val="bottom"/>
          </w:tcPr>
          <w:p>
            <w:pPr>
              <w:ind w:left="20"/>
              <w:spacing w:after="0"/>
              <w:rPr>
                <w:sz w:val="20"/>
                <w:szCs w:val="20"/>
                <w:color w:val="auto"/>
              </w:rPr>
            </w:pPr>
            <w:r>
              <w:rPr>
                <w:rFonts w:ascii="Arial" w:cs="Arial" w:eastAsia="Arial" w:hAnsi="Arial"/>
                <w:sz w:val="13"/>
                <w:szCs w:val="13"/>
                <w:color w:val="auto"/>
              </w:rPr>
              <w:t>February 1, 2021 - February 28, 2021</w:t>
            </w:r>
          </w:p>
        </w:tc>
        <w:tc>
          <w:tcPr>
            <w:tcW w:w="1560" w:type="dxa"/>
            <w:vAlign w:val="bottom"/>
          </w:tcPr>
          <w:p>
            <w:pPr>
              <w:jc w:val="right"/>
              <w:ind w:right="36"/>
              <w:spacing w:after="0"/>
              <w:rPr>
                <w:sz w:val="20"/>
                <w:szCs w:val="20"/>
                <w:color w:val="auto"/>
              </w:rPr>
            </w:pPr>
            <w:r>
              <w:rPr>
                <w:rFonts w:ascii="Arial" w:cs="Arial" w:eastAsia="Arial" w:hAnsi="Arial"/>
                <w:sz w:val="13"/>
                <w:szCs w:val="13"/>
                <w:color w:val="auto"/>
              </w:rPr>
              <w:t>355,862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96"/>
              <w:spacing w:after="0"/>
              <w:rPr>
                <w:sz w:val="20"/>
                <w:szCs w:val="20"/>
                <w:color w:val="auto"/>
              </w:rPr>
            </w:pPr>
            <w:r>
              <w:rPr>
                <w:rFonts w:ascii="Arial" w:cs="Arial" w:eastAsia="Arial" w:hAnsi="Arial"/>
                <w:sz w:val="13"/>
                <w:szCs w:val="13"/>
                <w:color w:val="auto"/>
              </w:rPr>
              <w:t>46.59</w:t>
            </w:r>
          </w:p>
        </w:tc>
        <w:tc>
          <w:tcPr>
            <w:tcW w:w="1940" w:type="dxa"/>
            <w:vAlign w:val="bottom"/>
          </w:tcPr>
          <w:p>
            <w:pPr>
              <w:jc w:val="right"/>
              <w:spacing w:after="0"/>
              <w:rPr>
                <w:sz w:val="20"/>
                <w:szCs w:val="20"/>
                <w:color w:val="auto"/>
              </w:rPr>
            </w:pPr>
            <w:r>
              <w:rPr>
                <w:rFonts w:ascii="Arial" w:cs="Arial" w:eastAsia="Arial" w:hAnsi="Arial"/>
                <w:sz w:val="13"/>
                <w:szCs w:val="13"/>
                <w:color w:val="auto"/>
              </w:rPr>
              <w:t>355,862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60" w:type="dxa"/>
            <w:vAlign w:val="bottom"/>
          </w:tcPr>
          <w:p>
            <w:pPr>
              <w:jc w:val="right"/>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70"/>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March 1, 2021 - March 31, 2021</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2,038,676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51.83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2,038,676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63"/>
        </w:trPr>
        <w:tc>
          <w:tcPr>
            <w:tcW w:w="3960" w:type="dxa"/>
            <w:vAlign w:val="bottom"/>
          </w:tcPr>
          <w:p>
            <w:pPr>
              <w:ind w:left="20"/>
              <w:spacing w:after="0"/>
              <w:rPr>
                <w:sz w:val="20"/>
                <w:szCs w:val="20"/>
                <w:color w:val="auto"/>
              </w:rPr>
            </w:pPr>
            <w:r>
              <w:rPr>
                <w:rFonts w:ascii="Arial" w:cs="Arial" w:eastAsia="Arial" w:hAnsi="Arial"/>
                <w:sz w:val="13"/>
                <w:szCs w:val="13"/>
                <w:color w:val="auto"/>
              </w:rPr>
              <w:t>Total for First Quarter 2021</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2,394,538</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jc w:val="both"/>
        <w:spacing w:after="0" w:line="258" w:lineRule="auto"/>
        <w:rPr>
          <w:sz w:val="20"/>
          <w:szCs w:val="20"/>
          <w:color w:val="auto"/>
        </w:rPr>
      </w:pPr>
      <w:r>
        <w:rPr>
          <w:rFonts w:ascii="Arial" w:cs="Arial" w:eastAsia="Arial" w:hAnsi="Arial"/>
          <w:sz w:val="11"/>
          <w:szCs w:val="11"/>
          <w:color w:val="auto"/>
        </w:rPr>
        <w:t>1On February 6, 2020, we announced that our Board of Directors authorized the Share Repurchase Program under which LP may repurchase up to $200 million of shares of LP’s common stock, and on November 4, 2020, we announced that our Board of Directors expanded the Share Repurchase Program by authorizing repurchases of an additional $300 million of our common stock. As of March 31, 2021, $322 million has been used to repurchase our common stock under the Share Repurchase Program.</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Additional repurchases of common stock may be made through open market, block and privately-negotiated transactions, including Rule 10b5-1 plans, at times and in such amounts as management deems appropriate, subject to market and business conditions, regulatory requirements and other factors.</w:t>
      </w:r>
    </w:p>
    <w:p>
      <w:pPr>
        <w:spacing w:after="0" w:line="34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8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38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942975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Arial" w:cs="Arial" w:eastAsia="Arial" w:hAnsi="Arial"/>
                <w:sz w:val="14"/>
                <w:szCs w:val="14"/>
                <w:b w:val="1"/>
                <w:bCs w:val="1"/>
                <w:color w:val="auto"/>
                <w:w w:val="99"/>
              </w:rPr>
              <w:t>Item 6.  Exhibits.</w:t>
            </w:r>
          </w:p>
        </w:tc>
        <w:tc>
          <w:tcPr>
            <w:tcW w:w="37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4"/>
        </w:trPr>
        <w:tc>
          <w:tcPr>
            <w:tcW w:w="11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140" w:type="dxa"/>
            <w:vAlign w:val="bottom"/>
            <w:gridSpan w:val="7"/>
          </w:tcPr>
          <w:p>
            <w:pPr>
              <w:spacing w:after="0"/>
              <w:rPr>
                <w:rFonts w:ascii="Arial" w:cs="Arial" w:eastAsia="Arial" w:hAnsi="Arial"/>
                <w:sz w:val="14"/>
                <w:szCs w:val="14"/>
                <w:color w:val="0000FF"/>
                <w:w w:val="91"/>
              </w:rPr>
            </w:pPr>
            <w:hyperlink r:id="rId61">
              <w:r>
                <w:rPr>
                  <w:rFonts w:ascii="Arial" w:cs="Arial" w:eastAsia="Arial" w:hAnsi="Arial"/>
                  <w:sz w:val="14"/>
                  <w:szCs w:val="14"/>
                  <w:color w:val="0000FF"/>
                  <w:w w:val="91"/>
                </w:rPr>
                <w:t>Indenture dated March 11, 2021, between the Company and The Bank of New York Mellon Trust Company, N.A., as trustee. Incorporated herein by reference to Exhibit 4.1 to the</w:t>
              </w:r>
            </w:hyperlink>
          </w:p>
        </w:tc>
      </w:tr>
      <w:tr>
        <w:trPr>
          <w:trHeight w:val="118"/>
        </w:trPr>
        <w:tc>
          <w:tcPr>
            <w:tcW w:w="1120" w:type="dxa"/>
            <w:vAlign w:val="bottom"/>
          </w:tcPr>
          <w:p>
            <w:pPr>
              <w:spacing w:after="0"/>
              <w:rPr>
                <w:sz w:val="10"/>
                <w:szCs w:val="10"/>
                <w:color w:val="auto"/>
              </w:rPr>
            </w:pPr>
          </w:p>
        </w:tc>
        <w:tc>
          <w:tcPr>
            <w:tcW w:w="10120" w:type="dxa"/>
            <w:vAlign w:val="bottom"/>
            <w:tcBorders>
              <w:top w:val="single" w:sz="8" w:color="0000FF"/>
            </w:tcBorders>
            <w:gridSpan w:val="6"/>
          </w:tcPr>
          <w:p>
            <w:pPr>
              <w:spacing w:after="0" w:line="118" w:lineRule="exact"/>
              <w:rPr>
                <w:rFonts w:ascii="Arial" w:cs="Arial" w:eastAsia="Arial" w:hAnsi="Arial"/>
                <w:sz w:val="13"/>
                <w:szCs w:val="13"/>
                <w:color w:val="0000FF"/>
              </w:rPr>
            </w:pPr>
            <w:hyperlink r:id="rId61">
              <w:r>
                <w:rPr>
                  <w:rFonts w:ascii="Arial" w:cs="Arial" w:eastAsia="Arial" w:hAnsi="Arial"/>
                  <w:sz w:val="13"/>
                  <w:szCs w:val="13"/>
                  <w:color w:val="0000FF"/>
                </w:rPr>
                <w:t>Company's Current Report on Form 8-K, filed on March 11, 2021.</w:t>
              </w:r>
            </w:hyperlink>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3"/>
        </w:trPr>
        <w:tc>
          <w:tcPr>
            <w:tcW w:w="112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140" w:type="dxa"/>
            <w:vAlign w:val="bottom"/>
            <w:gridSpan w:val="7"/>
          </w:tcPr>
          <w:p>
            <w:pPr>
              <w:spacing w:after="0"/>
              <w:rPr>
                <w:rFonts w:ascii="Arial" w:cs="Arial" w:eastAsia="Arial" w:hAnsi="Arial"/>
                <w:sz w:val="14"/>
                <w:szCs w:val="14"/>
                <w:color w:val="0000FF"/>
                <w:w w:val="96"/>
              </w:rPr>
            </w:pPr>
            <w:hyperlink w:anchor="page39">
              <w:r>
                <w:rPr>
                  <w:rFonts w:ascii="Arial" w:cs="Arial" w:eastAsia="Arial" w:hAnsi="Arial"/>
                  <w:sz w:val="14"/>
                  <w:szCs w:val="14"/>
                  <w:color w:val="0000FF"/>
                  <w:w w:val="96"/>
                </w:rPr>
                <w:t>Negative Consent (February 2021), dated February 2, 2021, from American AgCredit, PCA, as administrative agent, to the lenders party to that certain First Amended and</w:t>
              </w:r>
            </w:hyperlink>
          </w:p>
        </w:tc>
      </w:tr>
      <w:tr>
        <w:trPr>
          <w:trHeight w:val="20"/>
        </w:trPr>
        <w:tc>
          <w:tcPr>
            <w:tcW w:w="1120" w:type="dxa"/>
            <w:vAlign w:val="bottom"/>
          </w:tcPr>
          <w:p>
            <w:pPr>
              <w:spacing w:after="0" w:line="20" w:lineRule="exact"/>
              <w:rPr>
                <w:sz w:val="1"/>
                <w:szCs w:val="1"/>
                <w:color w:val="auto"/>
              </w:rPr>
            </w:pPr>
          </w:p>
        </w:tc>
        <w:tc>
          <w:tcPr>
            <w:tcW w:w="638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18"/>
        </w:trPr>
        <w:tc>
          <w:tcPr>
            <w:tcW w:w="1120" w:type="dxa"/>
            <w:vAlign w:val="bottom"/>
          </w:tcPr>
          <w:p>
            <w:pPr>
              <w:spacing w:after="0"/>
              <w:rPr>
                <w:sz w:val="10"/>
                <w:szCs w:val="10"/>
                <w:color w:val="auto"/>
              </w:rPr>
            </w:pPr>
          </w:p>
        </w:tc>
        <w:tc>
          <w:tcPr>
            <w:tcW w:w="10140" w:type="dxa"/>
            <w:vAlign w:val="bottom"/>
            <w:gridSpan w:val="7"/>
          </w:tcPr>
          <w:p>
            <w:pPr>
              <w:spacing w:after="0" w:line="118" w:lineRule="exact"/>
              <w:rPr>
                <w:rFonts w:ascii="Arial" w:cs="Arial" w:eastAsia="Arial" w:hAnsi="Arial"/>
                <w:sz w:val="13"/>
                <w:szCs w:val="13"/>
                <w:color w:val="0000FF"/>
                <w:w w:val="99"/>
              </w:rPr>
            </w:pPr>
            <w:hyperlink w:anchor="page39">
              <w:r>
                <w:rPr>
                  <w:rFonts w:ascii="Arial" w:cs="Arial" w:eastAsia="Arial" w:hAnsi="Arial"/>
                  <w:sz w:val="13"/>
                  <w:szCs w:val="13"/>
                  <w:color w:val="0000FF"/>
                  <w:w w:val="99"/>
                </w:rPr>
                <w:t>Restated Credit Agreement, dated as of June 27, 2019, among Louisiana-Pacific Corporation, as borrower, certain subsidiaries of the borrower from time to time party thereto, as</w:t>
              </w:r>
            </w:hyperlink>
          </w:p>
        </w:tc>
      </w:tr>
      <w:tr>
        <w:trPr>
          <w:trHeight w:val="118"/>
        </w:trPr>
        <w:tc>
          <w:tcPr>
            <w:tcW w:w="1120" w:type="dxa"/>
            <w:vAlign w:val="bottom"/>
          </w:tcPr>
          <w:p>
            <w:pPr>
              <w:spacing w:after="0"/>
              <w:rPr>
                <w:sz w:val="10"/>
                <w:szCs w:val="10"/>
                <w:color w:val="auto"/>
              </w:rPr>
            </w:pPr>
          </w:p>
        </w:tc>
        <w:tc>
          <w:tcPr>
            <w:tcW w:w="10040" w:type="dxa"/>
            <w:vAlign w:val="bottom"/>
            <w:tcBorders>
              <w:top w:val="single" w:sz="8" w:color="0000FF"/>
            </w:tcBorders>
            <w:gridSpan w:val="5"/>
          </w:tcPr>
          <w:p>
            <w:pPr>
              <w:spacing w:after="0" w:line="118" w:lineRule="exact"/>
              <w:rPr>
                <w:rFonts w:ascii="Arial" w:cs="Arial" w:eastAsia="Arial" w:hAnsi="Arial"/>
                <w:sz w:val="13"/>
                <w:szCs w:val="13"/>
                <w:color w:val="0000FF"/>
              </w:rPr>
            </w:pPr>
            <w:hyperlink w:anchor="page39">
              <w:r>
                <w:rPr>
                  <w:rFonts w:ascii="Arial" w:cs="Arial" w:eastAsia="Arial" w:hAnsi="Arial"/>
                  <w:sz w:val="13"/>
                  <w:szCs w:val="13"/>
                  <w:color w:val="0000FF"/>
                </w:rPr>
                <w:t>guarantors, American AgCredit PCA, as administrative agent and sole lead arranger, CoBank, ACB, as L/C Issuer and lenders party thereto.*</w:t>
              </w:r>
            </w:hyperlink>
          </w:p>
        </w:tc>
        <w:tc>
          <w:tcPr>
            <w:tcW w:w="100" w:type="dxa"/>
            <w:vAlign w:val="bottom"/>
            <w:gridSpan w:val="2"/>
          </w:tcPr>
          <w:p>
            <w:pPr>
              <w:spacing w:after="0"/>
              <w:rPr>
                <w:sz w:val="10"/>
                <w:szCs w:val="10"/>
                <w:color w:val="auto"/>
              </w:rPr>
            </w:pPr>
          </w:p>
        </w:tc>
      </w:tr>
      <w:tr>
        <w:trPr>
          <w:trHeight w:val="203"/>
        </w:trPr>
        <w:tc>
          <w:tcPr>
            <w:tcW w:w="112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8000" w:type="dxa"/>
            <w:vAlign w:val="bottom"/>
            <w:tcBorders>
              <w:top w:val="single" w:sz="8" w:color="0000FF"/>
            </w:tcBorders>
            <w:gridSpan w:val="3"/>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 xml:space="preserve">Certifications of Chief Executive Officer Pursuant to Rule 13a-14(a) under the Securities Exchange Act of 1934. </w:t>
              </w:r>
            </w:hyperlink>
            <w:r>
              <w:rPr>
                <w:rFonts w:ascii="Arial" w:cs="Arial" w:eastAsia="Arial" w:hAnsi="Arial"/>
                <w:sz w:val="14"/>
                <w:szCs w:val="14"/>
                <w:color w:val="000000"/>
              </w:rPr>
              <w:t>*</w:t>
            </w:r>
          </w:p>
        </w:tc>
        <w:tc>
          <w:tcPr>
            <w:tcW w:w="214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6380" w:type="dxa"/>
            <w:vAlign w:val="bottom"/>
            <w:gridSpan w:val="2"/>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r>
      <w:tr>
        <w:trPr>
          <w:trHeight w:val="203"/>
        </w:trPr>
        <w:tc>
          <w:tcPr>
            <w:tcW w:w="112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140" w:type="dxa"/>
            <w:vAlign w:val="bottom"/>
            <w:gridSpan w:val="7"/>
          </w:tcPr>
          <w:p>
            <w:pPr>
              <w:spacing w:after="0"/>
              <w:rPr>
                <w:rFonts w:ascii="Arial" w:cs="Arial" w:eastAsia="Arial" w:hAnsi="Arial"/>
                <w:sz w:val="14"/>
                <w:szCs w:val="14"/>
                <w:color w:val="0000FF"/>
              </w:rPr>
            </w:pPr>
            <w:hyperlink w:anchor="page44">
              <w:r>
                <w:rPr>
                  <w:rFonts w:ascii="Arial" w:cs="Arial" w:eastAsia="Arial" w:hAnsi="Arial"/>
                  <w:sz w:val="14"/>
                  <w:szCs w:val="14"/>
                  <w:color w:val="0000FF"/>
                </w:rPr>
                <w:t xml:space="preserve">Certifications of Chief Financial Officer Pursuant to Rule 13a-14(a) under the Securities Exchange Act of 1934. </w:t>
              </w:r>
            </w:hyperlink>
            <w:r>
              <w:rPr>
                <w:rFonts w:ascii="Arial" w:cs="Arial" w:eastAsia="Arial" w:hAnsi="Arial"/>
                <w:sz w:val="14"/>
                <w:szCs w:val="14"/>
                <w:color w:val="000000"/>
              </w:rPr>
              <w:t>*</w:t>
            </w:r>
          </w:p>
        </w:tc>
      </w:tr>
      <w:tr>
        <w:trPr>
          <w:trHeight w:val="20"/>
        </w:trPr>
        <w:tc>
          <w:tcPr>
            <w:tcW w:w="112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4" w:lineRule="exact"/>
        <w:rPr>
          <w:sz w:val="20"/>
          <w:szCs w:val="20"/>
          <w:color w:val="auto"/>
        </w:rPr>
      </w:pPr>
    </w:p>
    <w:p>
      <w:pPr>
        <w:ind w:left="1120" w:hanging="634"/>
        <w:spacing w:after="0"/>
        <w:tabs>
          <w:tab w:leader="none" w:pos="1120" w:val="left"/>
        </w:tabs>
        <w:numPr>
          <w:ilvl w:val="0"/>
          <w:numId w:val="7"/>
        </w:numPr>
        <w:rPr>
          <w:rFonts w:ascii="Arial" w:cs="Arial" w:eastAsia="Arial" w:hAnsi="Arial"/>
          <w:sz w:val="14"/>
          <w:szCs w:val="14"/>
          <w:color w:val="0000FF"/>
        </w:rPr>
      </w:pPr>
      <w:hyperlink w:anchor="page45">
        <w:r>
          <w:rPr>
            <w:rFonts w:ascii="Arial" w:cs="Arial" w:eastAsia="Arial" w:hAnsi="Arial"/>
            <w:sz w:val="14"/>
            <w:szCs w:val="14"/>
            <w:u w:val="single" w:color="auto"/>
            <w:color w:val="0000FF"/>
          </w:rPr>
          <w:t>Certifications pursuant to § 906 of the Sarbanes-Oxley Act of 2002.</w:t>
        </w:r>
        <w:r>
          <w:rPr>
            <w:rFonts w:ascii="Arial" w:cs="Arial" w:eastAsia="Arial" w:hAnsi="Arial"/>
            <w:sz w:val="14"/>
            <w:szCs w:val="14"/>
            <w:color w:val="0000FF"/>
          </w:rPr>
          <w:t xml:space="preserve"> </w:t>
        </w:r>
      </w:hyperlink>
      <w:r>
        <w:rPr>
          <w:rFonts w:ascii="Arial" w:cs="Arial" w:eastAsia="Arial" w:hAnsi="Arial"/>
          <w:sz w:val="14"/>
          <w:szCs w:val="14"/>
          <w:color w:val="000000"/>
        </w:rPr>
        <w:t>**</w:t>
      </w:r>
    </w:p>
    <w:p>
      <w:pPr>
        <w:spacing w:after="0" w:line="62" w:lineRule="exact"/>
        <w:rPr>
          <w:sz w:val="20"/>
          <w:szCs w:val="20"/>
          <w:color w:val="auto"/>
        </w:rPr>
      </w:pPr>
    </w:p>
    <w:tbl>
      <w:tblPr>
        <w:tblLayout w:type="fixed"/>
        <w:tblInd w:w="300" w:type="dxa"/>
        <w:tblCellMar>
          <w:top w:w="0" w:type="dxa"/>
          <w:left w:w="0" w:type="dxa"/>
          <w:bottom w:w="0" w:type="dxa"/>
          <w:right w:w="0" w:type="dxa"/>
        </w:tblCellMar>
      </w:tblPr>
      <w:tr>
        <w:trPr>
          <w:trHeight w:val="180"/>
        </w:trPr>
        <w:tc>
          <w:tcPr>
            <w:tcW w:w="680" w:type="dxa"/>
            <w:vAlign w:val="bottom"/>
          </w:tcPr>
          <w:p>
            <w:pPr>
              <w:ind w:left="20"/>
              <w:spacing w:after="0"/>
              <w:rPr>
                <w:sz w:val="20"/>
                <w:szCs w:val="20"/>
                <w:color w:val="auto"/>
              </w:rPr>
            </w:pPr>
            <w:r>
              <w:rPr>
                <w:rFonts w:ascii="Arial" w:cs="Arial" w:eastAsia="Arial" w:hAnsi="Arial"/>
                <w:sz w:val="14"/>
                <w:szCs w:val="14"/>
                <w:color w:val="auto"/>
              </w:rPr>
              <w:t>101.INS</w:t>
            </w:r>
          </w:p>
        </w:tc>
        <w:tc>
          <w:tcPr>
            <w:tcW w:w="9720" w:type="dxa"/>
            <w:vAlign w:val="bottom"/>
          </w:tcPr>
          <w:p>
            <w:pPr>
              <w:ind w:left="140"/>
              <w:spacing w:after="0"/>
              <w:rPr>
                <w:sz w:val="20"/>
                <w:szCs w:val="20"/>
                <w:color w:val="auto"/>
              </w:rPr>
            </w:pPr>
            <w:r>
              <w:rPr>
                <w:rFonts w:ascii="Arial" w:cs="Arial" w:eastAsia="Arial" w:hAnsi="Arial"/>
                <w:sz w:val="14"/>
                <w:szCs w:val="14"/>
                <w:color w:val="auto"/>
                <w:w w:val="92"/>
              </w:rPr>
              <w:t>XBRL Instance Document - The instance document does not appear in the interactive data file because its XBRL tags are embedded within the Inline XBRL document.*</w:t>
            </w:r>
          </w:p>
        </w:tc>
      </w:tr>
      <w:tr>
        <w:trPr>
          <w:trHeight w:val="223"/>
        </w:trPr>
        <w:tc>
          <w:tcPr>
            <w:tcW w:w="680" w:type="dxa"/>
            <w:vAlign w:val="bottom"/>
          </w:tcPr>
          <w:p>
            <w:pPr>
              <w:spacing w:after="0"/>
              <w:rPr>
                <w:sz w:val="20"/>
                <w:szCs w:val="20"/>
                <w:color w:val="auto"/>
              </w:rPr>
            </w:pPr>
            <w:r>
              <w:rPr>
                <w:rFonts w:ascii="Arial" w:cs="Arial" w:eastAsia="Arial" w:hAnsi="Arial"/>
                <w:sz w:val="14"/>
                <w:szCs w:val="14"/>
                <w:color w:val="auto"/>
              </w:rPr>
              <w:t>101.SCH</w:t>
            </w:r>
          </w:p>
        </w:tc>
        <w:tc>
          <w:tcPr>
            <w:tcW w:w="9720" w:type="dxa"/>
            <w:vAlign w:val="bottom"/>
          </w:tcPr>
          <w:p>
            <w:pPr>
              <w:ind w:left="140"/>
              <w:spacing w:after="0"/>
              <w:rPr>
                <w:sz w:val="20"/>
                <w:szCs w:val="20"/>
                <w:color w:val="auto"/>
              </w:rPr>
            </w:pPr>
            <w:r>
              <w:rPr>
                <w:rFonts w:ascii="Arial" w:cs="Arial" w:eastAsia="Arial" w:hAnsi="Arial"/>
                <w:sz w:val="14"/>
                <w:szCs w:val="14"/>
                <w:color w:val="auto"/>
              </w:rPr>
              <w:t>XBRL Taxonomy Extension Schema Document.*</w:t>
            </w:r>
          </w:p>
        </w:tc>
      </w:tr>
      <w:tr>
        <w:trPr>
          <w:trHeight w:val="223"/>
        </w:trPr>
        <w:tc>
          <w:tcPr>
            <w:tcW w:w="680" w:type="dxa"/>
            <w:vAlign w:val="bottom"/>
          </w:tcPr>
          <w:p>
            <w:pPr>
              <w:spacing w:after="0"/>
              <w:rPr>
                <w:sz w:val="20"/>
                <w:szCs w:val="20"/>
                <w:color w:val="auto"/>
              </w:rPr>
            </w:pPr>
            <w:r>
              <w:rPr>
                <w:rFonts w:ascii="Arial" w:cs="Arial" w:eastAsia="Arial" w:hAnsi="Arial"/>
                <w:sz w:val="14"/>
                <w:szCs w:val="14"/>
                <w:color w:val="auto"/>
              </w:rPr>
              <w:t>101.CAL</w:t>
            </w:r>
          </w:p>
        </w:tc>
        <w:tc>
          <w:tcPr>
            <w:tcW w:w="9720" w:type="dxa"/>
            <w:vAlign w:val="bottom"/>
          </w:tcPr>
          <w:p>
            <w:pPr>
              <w:ind w:left="140"/>
              <w:spacing w:after="0"/>
              <w:rPr>
                <w:sz w:val="20"/>
                <w:szCs w:val="20"/>
                <w:color w:val="auto"/>
              </w:rPr>
            </w:pPr>
            <w:r>
              <w:rPr>
                <w:rFonts w:ascii="Arial" w:cs="Arial" w:eastAsia="Arial" w:hAnsi="Arial"/>
                <w:sz w:val="14"/>
                <w:szCs w:val="14"/>
                <w:color w:val="auto"/>
              </w:rPr>
              <w:t>XBRL Taxonomy Extension Calculation Linkbase Document.*</w:t>
            </w:r>
          </w:p>
        </w:tc>
      </w:tr>
      <w:tr>
        <w:trPr>
          <w:trHeight w:val="223"/>
        </w:trPr>
        <w:tc>
          <w:tcPr>
            <w:tcW w:w="680" w:type="dxa"/>
            <w:vAlign w:val="bottom"/>
          </w:tcPr>
          <w:p>
            <w:pPr>
              <w:spacing w:after="0"/>
              <w:rPr>
                <w:sz w:val="20"/>
                <w:szCs w:val="20"/>
                <w:color w:val="auto"/>
              </w:rPr>
            </w:pPr>
            <w:r>
              <w:rPr>
                <w:rFonts w:ascii="Arial" w:cs="Arial" w:eastAsia="Arial" w:hAnsi="Arial"/>
                <w:sz w:val="14"/>
                <w:szCs w:val="14"/>
                <w:color w:val="auto"/>
              </w:rPr>
              <w:t>101.LAB</w:t>
            </w:r>
          </w:p>
        </w:tc>
        <w:tc>
          <w:tcPr>
            <w:tcW w:w="9720" w:type="dxa"/>
            <w:vAlign w:val="bottom"/>
          </w:tcPr>
          <w:p>
            <w:pPr>
              <w:ind w:left="140"/>
              <w:spacing w:after="0"/>
              <w:rPr>
                <w:sz w:val="20"/>
                <w:szCs w:val="20"/>
                <w:color w:val="auto"/>
              </w:rPr>
            </w:pPr>
            <w:r>
              <w:rPr>
                <w:rFonts w:ascii="Arial" w:cs="Arial" w:eastAsia="Arial" w:hAnsi="Arial"/>
                <w:sz w:val="14"/>
                <w:szCs w:val="14"/>
                <w:color w:val="auto"/>
              </w:rPr>
              <w:t>XBRL Taxonomy Extension Label Linkbase Document.*</w:t>
            </w:r>
          </w:p>
        </w:tc>
      </w:tr>
      <w:tr>
        <w:trPr>
          <w:trHeight w:val="223"/>
        </w:trPr>
        <w:tc>
          <w:tcPr>
            <w:tcW w:w="680" w:type="dxa"/>
            <w:vAlign w:val="bottom"/>
          </w:tcPr>
          <w:p>
            <w:pPr>
              <w:spacing w:after="0"/>
              <w:rPr>
                <w:sz w:val="20"/>
                <w:szCs w:val="20"/>
                <w:color w:val="auto"/>
              </w:rPr>
            </w:pPr>
            <w:r>
              <w:rPr>
                <w:rFonts w:ascii="Arial" w:cs="Arial" w:eastAsia="Arial" w:hAnsi="Arial"/>
                <w:sz w:val="14"/>
                <w:szCs w:val="14"/>
                <w:color w:val="auto"/>
              </w:rPr>
              <w:t>101.PRE</w:t>
            </w:r>
          </w:p>
        </w:tc>
        <w:tc>
          <w:tcPr>
            <w:tcW w:w="9720" w:type="dxa"/>
            <w:vAlign w:val="bottom"/>
          </w:tcPr>
          <w:p>
            <w:pPr>
              <w:ind w:left="14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223"/>
        </w:trPr>
        <w:tc>
          <w:tcPr>
            <w:tcW w:w="680" w:type="dxa"/>
            <w:vAlign w:val="bottom"/>
          </w:tcPr>
          <w:p>
            <w:pPr>
              <w:spacing w:after="0"/>
              <w:rPr>
                <w:sz w:val="20"/>
                <w:szCs w:val="20"/>
                <w:color w:val="auto"/>
              </w:rPr>
            </w:pPr>
            <w:r>
              <w:rPr>
                <w:rFonts w:ascii="Arial" w:cs="Arial" w:eastAsia="Arial" w:hAnsi="Arial"/>
                <w:sz w:val="14"/>
                <w:szCs w:val="14"/>
                <w:color w:val="auto"/>
              </w:rPr>
              <w:t>101.DEF</w:t>
            </w:r>
          </w:p>
        </w:tc>
        <w:tc>
          <w:tcPr>
            <w:tcW w:w="9720" w:type="dxa"/>
            <w:vAlign w:val="bottom"/>
          </w:tcPr>
          <w:p>
            <w:pPr>
              <w:ind w:left="140"/>
              <w:spacing w:after="0"/>
              <w:rPr>
                <w:sz w:val="20"/>
                <w:szCs w:val="20"/>
                <w:color w:val="auto"/>
              </w:rPr>
            </w:pPr>
            <w:r>
              <w:rPr>
                <w:rFonts w:ascii="Arial" w:cs="Arial" w:eastAsia="Arial" w:hAnsi="Arial"/>
                <w:sz w:val="14"/>
                <w:szCs w:val="14"/>
                <w:color w:val="auto"/>
              </w:rPr>
              <w:t>XBRL Taxonomy Extension Definition Linkbase Document.*</w:t>
            </w:r>
          </w:p>
        </w:tc>
      </w:tr>
      <w:tr>
        <w:trPr>
          <w:trHeight w:val="223"/>
        </w:trPr>
        <w:tc>
          <w:tcPr>
            <w:tcW w:w="680" w:type="dxa"/>
            <w:vAlign w:val="bottom"/>
          </w:tcPr>
          <w:p>
            <w:pPr>
              <w:ind w:left="160"/>
              <w:spacing w:after="0"/>
              <w:rPr>
                <w:sz w:val="20"/>
                <w:szCs w:val="20"/>
                <w:color w:val="auto"/>
              </w:rPr>
            </w:pPr>
            <w:r>
              <w:rPr>
                <w:rFonts w:ascii="Arial" w:cs="Arial" w:eastAsia="Arial" w:hAnsi="Arial"/>
                <w:sz w:val="14"/>
                <w:szCs w:val="14"/>
                <w:color w:val="auto"/>
              </w:rPr>
              <w:t>104</w:t>
            </w:r>
          </w:p>
        </w:tc>
        <w:tc>
          <w:tcPr>
            <w:tcW w:w="9720" w:type="dxa"/>
            <w:vAlign w:val="bottom"/>
          </w:tcPr>
          <w:p>
            <w:pPr>
              <w:ind w:left="140"/>
              <w:spacing w:after="0"/>
              <w:rPr>
                <w:sz w:val="20"/>
                <w:szCs w:val="20"/>
                <w:color w:val="auto"/>
              </w:rPr>
            </w:pPr>
            <w:r>
              <w:rPr>
                <w:rFonts w:ascii="Arial" w:cs="Arial" w:eastAsia="Arial" w:hAnsi="Arial"/>
                <w:sz w:val="14"/>
                <w:szCs w:val="14"/>
                <w:color w:val="auto"/>
              </w:rPr>
              <w:t>Cover Page Interactive Data File (embedded with Inline XBRL document and contained in Exhibit 101)*</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700405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auto"/>
        </w:rPr>
        <w:t>SIGNATURES</w:t>
      </w:r>
    </w:p>
    <w:p>
      <w:pPr>
        <w:spacing w:after="0" w:line="83" w:lineRule="exact"/>
        <w:rPr>
          <w:sz w:val="20"/>
          <w:szCs w:val="20"/>
          <w:color w:val="auto"/>
        </w:rPr>
      </w:pPr>
    </w:p>
    <w:p>
      <w:pPr>
        <w:ind w:right="160" w:firstLine="350"/>
        <w:spacing w:after="0" w:line="281"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quarterly report on Form 10-Q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720" w:type="dxa"/>
            <w:vAlign w:val="bottom"/>
            <w:gridSpan w:val="2"/>
          </w:tcPr>
          <w:p>
            <w:pPr>
              <w:ind w:left="1920"/>
              <w:spacing w:after="0"/>
              <w:rPr>
                <w:sz w:val="20"/>
                <w:szCs w:val="20"/>
                <w:color w:val="auto"/>
              </w:rPr>
            </w:pPr>
            <w:r>
              <w:rPr>
                <w:rFonts w:ascii="Arial" w:cs="Arial" w:eastAsia="Arial" w:hAnsi="Arial"/>
                <w:sz w:val="14"/>
                <w:szCs w:val="14"/>
                <w:color w:val="auto"/>
              </w:rPr>
              <w:t>LOUISIANA-PACIFIC CORPORATION</w:t>
            </w:r>
          </w:p>
        </w:tc>
      </w:tr>
      <w:tr>
        <w:trPr>
          <w:trHeight w:val="393"/>
        </w:trPr>
        <w:tc>
          <w:tcPr>
            <w:tcW w:w="620" w:type="dxa"/>
            <w:vAlign w:val="bottom"/>
          </w:tcPr>
          <w:p>
            <w:pPr>
              <w:spacing w:after="0"/>
              <w:rPr>
                <w:sz w:val="20"/>
                <w:szCs w:val="20"/>
                <w:color w:val="auto"/>
              </w:rPr>
            </w:pPr>
            <w:r>
              <w:rPr>
                <w:rFonts w:ascii="Arial" w:cs="Arial" w:eastAsia="Arial" w:hAnsi="Arial"/>
                <w:sz w:val="14"/>
                <w:szCs w:val="14"/>
                <w:color w:val="auto"/>
              </w:rPr>
              <w:t>Date:</w:t>
            </w:r>
          </w:p>
        </w:tc>
        <w:tc>
          <w:tcPr>
            <w:tcW w:w="2920" w:type="dxa"/>
            <w:vAlign w:val="bottom"/>
          </w:tcPr>
          <w:p>
            <w:pPr>
              <w:ind w:left="300"/>
              <w:spacing w:after="0"/>
              <w:rPr>
                <w:sz w:val="20"/>
                <w:szCs w:val="20"/>
                <w:color w:val="auto"/>
              </w:rPr>
            </w:pPr>
            <w:r>
              <w:rPr>
                <w:rFonts w:ascii="Arial" w:cs="Arial" w:eastAsia="Arial" w:hAnsi="Arial"/>
                <w:sz w:val="14"/>
                <w:szCs w:val="14"/>
                <w:color w:val="auto"/>
              </w:rPr>
              <w:t>May 5, 2021</w:t>
            </w:r>
          </w:p>
        </w:tc>
        <w:tc>
          <w:tcPr>
            <w:tcW w:w="2420" w:type="dxa"/>
            <w:vAlign w:val="bottom"/>
          </w:tcPr>
          <w:p>
            <w:pPr>
              <w:ind w:left="1920"/>
              <w:spacing w:after="0"/>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Y</w:t>
            </w:r>
            <w:r>
              <w:rPr>
                <w:rFonts w:ascii="Arial" w:cs="Arial" w:eastAsia="Arial" w:hAnsi="Arial"/>
                <w:sz w:val="14"/>
                <w:szCs w:val="14"/>
                <w:color w:val="auto"/>
              </w:rPr>
              <w:t>:</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 W. BRADLEY SOUTHERN</w:t>
            </w:r>
          </w:p>
        </w:tc>
      </w:tr>
      <w:tr>
        <w:trPr>
          <w:trHeight w:val="133"/>
        </w:trPr>
        <w:tc>
          <w:tcPr>
            <w:tcW w:w="6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5300" w:type="dxa"/>
            <w:vAlign w:val="bottom"/>
          </w:tcPr>
          <w:p>
            <w:pPr>
              <w:jc w:val="center"/>
              <w:spacing w:after="0"/>
              <w:rPr>
                <w:sz w:val="20"/>
                <w:szCs w:val="20"/>
                <w:color w:val="auto"/>
              </w:rPr>
            </w:pPr>
            <w:r>
              <w:rPr>
                <w:rFonts w:ascii="Arial" w:cs="Arial" w:eastAsia="Arial" w:hAnsi="Arial"/>
                <w:sz w:val="11"/>
                <w:szCs w:val="11"/>
                <w:b w:val="1"/>
                <w:bCs w:val="1"/>
                <w:color w:val="auto"/>
                <w:w w:val="94"/>
              </w:rPr>
              <w:t>W. Bradley Southern</w:t>
            </w:r>
          </w:p>
        </w:tc>
      </w:tr>
      <w:tr>
        <w:trPr>
          <w:trHeight w:val="147"/>
        </w:trPr>
        <w:tc>
          <w:tcPr>
            <w:tcW w:w="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Arial" w:cs="Arial" w:eastAsia="Arial" w:hAnsi="Arial"/>
                <w:sz w:val="11"/>
                <w:szCs w:val="11"/>
                <w:b w:val="1"/>
                <w:bCs w:val="1"/>
                <w:color w:val="auto"/>
                <w:w w:val="94"/>
              </w:rPr>
              <w:t>Chief Executive Officer</w:t>
            </w:r>
          </w:p>
        </w:tc>
      </w:tr>
      <w:tr>
        <w:trPr>
          <w:trHeight w:val="401"/>
        </w:trPr>
        <w:tc>
          <w:tcPr>
            <w:tcW w:w="620" w:type="dxa"/>
            <w:vAlign w:val="bottom"/>
          </w:tcPr>
          <w:p>
            <w:pPr>
              <w:spacing w:after="0"/>
              <w:rPr>
                <w:sz w:val="20"/>
                <w:szCs w:val="20"/>
                <w:color w:val="auto"/>
              </w:rPr>
            </w:pPr>
            <w:r>
              <w:rPr>
                <w:rFonts w:ascii="Arial" w:cs="Arial" w:eastAsia="Arial" w:hAnsi="Arial"/>
                <w:sz w:val="14"/>
                <w:szCs w:val="14"/>
                <w:color w:val="auto"/>
              </w:rPr>
              <w:t>Date:</w:t>
            </w:r>
          </w:p>
        </w:tc>
        <w:tc>
          <w:tcPr>
            <w:tcW w:w="2920" w:type="dxa"/>
            <w:vAlign w:val="bottom"/>
          </w:tcPr>
          <w:p>
            <w:pPr>
              <w:ind w:left="300"/>
              <w:spacing w:after="0"/>
              <w:rPr>
                <w:sz w:val="20"/>
                <w:szCs w:val="20"/>
                <w:color w:val="auto"/>
              </w:rPr>
            </w:pPr>
            <w:r>
              <w:rPr>
                <w:rFonts w:ascii="Arial" w:cs="Arial" w:eastAsia="Arial" w:hAnsi="Arial"/>
                <w:sz w:val="14"/>
                <w:szCs w:val="14"/>
                <w:color w:val="auto"/>
              </w:rPr>
              <w:t>May 5, 2021</w:t>
            </w:r>
          </w:p>
        </w:tc>
        <w:tc>
          <w:tcPr>
            <w:tcW w:w="2420" w:type="dxa"/>
            <w:vAlign w:val="bottom"/>
          </w:tcPr>
          <w:p>
            <w:pPr>
              <w:ind w:left="1920"/>
              <w:spacing w:after="0"/>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Y</w:t>
            </w:r>
            <w:r>
              <w:rPr>
                <w:rFonts w:ascii="Arial" w:cs="Arial" w:eastAsia="Arial" w:hAnsi="Arial"/>
                <w:sz w:val="14"/>
                <w:szCs w:val="14"/>
                <w:color w:val="auto"/>
              </w:rPr>
              <w:t>:</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ALAN J.M. HAUGHIE</w:t>
            </w:r>
          </w:p>
        </w:tc>
      </w:tr>
      <w:tr>
        <w:trPr>
          <w:trHeight w:val="133"/>
        </w:trPr>
        <w:tc>
          <w:tcPr>
            <w:tcW w:w="6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5300" w:type="dxa"/>
            <w:vAlign w:val="bottom"/>
          </w:tcPr>
          <w:p>
            <w:pPr>
              <w:jc w:val="center"/>
              <w:spacing w:after="0"/>
              <w:rPr>
                <w:sz w:val="20"/>
                <w:szCs w:val="20"/>
                <w:color w:val="auto"/>
              </w:rPr>
            </w:pPr>
            <w:r>
              <w:rPr>
                <w:rFonts w:ascii="Arial" w:cs="Arial" w:eastAsia="Arial" w:hAnsi="Arial"/>
                <w:sz w:val="11"/>
                <w:szCs w:val="11"/>
                <w:b w:val="1"/>
                <w:bCs w:val="1"/>
                <w:color w:val="auto"/>
                <w:w w:val="94"/>
              </w:rPr>
              <w:t>Alan J.M. Haughie</w:t>
            </w:r>
          </w:p>
        </w:tc>
      </w:tr>
      <w:tr>
        <w:trPr>
          <w:trHeight w:val="147"/>
        </w:trPr>
        <w:tc>
          <w:tcPr>
            <w:tcW w:w="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Arial" w:cs="Arial" w:eastAsia="Arial" w:hAnsi="Arial"/>
                <w:sz w:val="11"/>
                <w:szCs w:val="11"/>
                <w:b w:val="1"/>
                <w:bCs w:val="1"/>
                <w:color w:val="auto"/>
                <w:w w:val="92"/>
              </w:rPr>
              <w:t>Executive Vice President and</w:t>
            </w:r>
          </w:p>
        </w:tc>
      </w:tr>
      <w:tr>
        <w:trPr>
          <w:trHeight w:val="149"/>
        </w:trPr>
        <w:tc>
          <w:tcPr>
            <w:tcW w:w="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Arial" w:cs="Arial" w:eastAsia="Arial" w:hAnsi="Arial"/>
                <w:sz w:val="11"/>
                <w:szCs w:val="11"/>
                <w:b w:val="1"/>
                <w:bCs w:val="1"/>
                <w:color w:val="auto"/>
                <w:w w:val="94"/>
              </w:rPr>
              <w:t>Chief Financial Officer</w:t>
            </w:r>
          </w:p>
        </w:tc>
      </w:tr>
    </w:tbl>
    <w:p>
      <w:pPr>
        <w:sectPr>
          <w:pgSz w:w="11900" w:h="16838" w:orient="portrait"/>
          <w:cols w:equalWidth="0" w:num="1">
            <w:col w:w="11280"/>
          </w:cols>
          <w:pgMar w:left="300" w:top="1147" w:right="319" w:bottom="1440"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4"/>
          <w:szCs w:val="14"/>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 W. Bradley Southern, certify that:</w:t>
      </w:r>
    </w:p>
    <w:p>
      <w:pPr>
        <w:spacing w:after="0" w:line="136"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 have reviewed this report on Form 10-Q of Louisiana-Pacific Corporation;</w:t>
      </w:r>
    </w:p>
    <w:p>
      <w:pPr>
        <w:spacing w:after="0" w:line="136"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520" w:right="200" w:hanging="260"/>
        <w:spacing w:after="0" w:line="28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520" w:right="40" w:hanging="260"/>
        <w:spacing w:after="0" w:line="28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sz w:val="20"/>
          <w:szCs w:val="20"/>
          <w:color w:val="auto"/>
        </w:rPr>
      </w:pPr>
    </w:p>
    <w:p>
      <w:pPr>
        <w:ind w:left="760" w:right="60" w:hanging="500"/>
        <w:spacing w:after="0" w:line="368" w:lineRule="auto"/>
        <w:tabs>
          <w:tab w:leader="none" w:pos="753" w:val="left"/>
        </w:tabs>
        <w:numPr>
          <w:ilvl w:val="0"/>
          <w:numId w:val="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2"/>
          <w:szCs w:val="12"/>
          <w:color w:val="auto"/>
        </w:rPr>
      </w:pPr>
    </w:p>
    <w:p>
      <w:pPr>
        <w:ind w:left="760" w:right="280" w:hanging="500"/>
        <w:spacing w:after="0" w:line="368" w:lineRule="auto"/>
        <w:tabs>
          <w:tab w:leader="none" w:pos="750" w:val="left"/>
        </w:tabs>
        <w:numPr>
          <w:ilvl w:val="0"/>
          <w:numId w:val="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760" w:right="440" w:hanging="500"/>
        <w:spacing w:after="0" w:line="281" w:lineRule="auto"/>
        <w:tabs>
          <w:tab w:leader="none" w:pos="753" w:val="left"/>
        </w:tabs>
        <w:numPr>
          <w:ilvl w:val="0"/>
          <w:numId w:val="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760" w:right="140" w:hanging="500"/>
        <w:spacing w:after="0" w:line="321" w:lineRule="auto"/>
        <w:tabs>
          <w:tab w:leader="none" w:pos="750" w:val="left"/>
        </w:tabs>
        <w:numPr>
          <w:ilvl w:val="0"/>
          <w:numId w:val="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sz w:val="20"/>
          <w:szCs w:val="20"/>
          <w:color w:val="auto"/>
        </w:rPr>
      </w:pPr>
    </w:p>
    <w:p>
      <w:pPr>
        <w:ind w:left="520" w:right="540" w:hanging="260"/>
        <w:spacing w:after="0" w:line="281"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0" w:lineRule="exact"/>
        <w:rPr>
          <w:sz w:val="20"/>
          <w:szCs w:val="20"/>
          <w:color w:val="auto"/>
        </w:rPr>
      </w:pPr>
    </w:p>
    <w:p>
      <w:pPr>
        <w:ind w:left="760" w:right="160" w:hanging="500"/>
        <w:spacing w:after="0" w:line="281" w:lineRule="auto"/>
        <w:tabs>
          <w:tab w:leader="none" w:pos="753"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760" w:hanging="500"/>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5660" w:type="dxa"/>
            <w:vAlign w:val="bottom"/>
          </w:tcPr>
          <w:p>
            <w:pPr>
              <w:spacing w:after="0"/>
              <w:rPr>
                <w:sz w:val="20"/>
                <w:szCs w:val="20"/>
                <w:color w:val="auto"/>
              </w:rPr>
            </w:pPr>
            <w:r>
              <w:rPr>
                <w:rFonts w:ascii="Arial" w:cs="Arial" w:eastAsia="Arial" w:hAnsi="Arial"/>
                <w:sz w:val="14"/>
                <w:szCs w:val="14"/>
                <w:color w:val="auto"/>
              </w:rPr>
              <w:t>Date: May 5, 2021</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 W. BRADLEY SOUTHERN</w:t>
            </w:r>
          </w:p>
        </w:tc>
      </w:tr>
      <w:tr>
        <w:trPr>
          <w:trHeight w:val="171"/>
        </w:trPr>
        <w:tc>
          <w:tcPr>
            <w:tcW w:w="566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7"/>
              </w:rPr>
              <w:t>W. BRADLEY SOUTHERN</w:t>
            </w:r>
          </w:p>
        </w:tc>
      </w:tr>
      <w:tr>
        <w:trPr>
          <w:trHeight w:val="180"/>
        </w:trPr>
        <w:tc>
          <w:tcPr>
            <w:tcW w:w="566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5"/>
              </w:rPr>
              <w:t>Chief Executive Officer</w:t>
            </w:r>
          </w:p>
        </w:tc>
      </w:tr>
    </w:tbl>
    <w:p>
      <w:pPr>
        <w:sectPr>
          <w:pgSz w:w="11900" w:h="16838" w:orient="portrait"/>
          <w:cols w:equalWidth="0" w:num="1">
            <w:col w:w="11280"/>
          </w:cols>
          <w:pgMar w:left="300" w:top="734" w:right="31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 Alan Haughie, certify that:</w:t>
      </w:r>
    </w:p>
    <w:p>
      <w:pPr>
        <w:spacing w:after="0" w:line="136"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 have reviewed this report on Form 10-Q of Louisiana-Pacific Corporation;</w:t>
      </w:r>
    </w:p>
    <w:p>
      <w:pPr>
        <w:spacing w:after="0" w:line="136"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520" w:right="200" w:hanging="260"/>
        <w:spacing w:after="0" w:line="281"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520" w:right="40" w:hanging="260"/>
        <w:spacing w:after="0" w:line="281"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sz w:val="20"/>
          <w:szCs w:val="20"/>
          <w:color w:val="auto"/>
        </w:rPr>
      </w:pPr>
    </w:p>
    <w:p>
      <w:pPr>
        <w:ind w:left="760" w:right="60" w:hanging="500"/>
        <w:spacing w:after="0" w:line="368" w:lineRule="auto"/>
        <w:tabs>
          <w:tab w:leader="none" w:pos="753"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2"/>
          <w:szCs w:val="12"/>
          <w:color w:val="auto"/>
        </w:rPr>
      </w:pPr>
    </w:p>
    <w:p>
      <w:pPr>
        <w:ind w:left="760" w:right="280" w:hanging="500"/>
        <w:spacing w:after="0" w:line="368" w:lineRule="auto"/>
        <w:tabs>
          <w:tab w:leader="none" w:pos="75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760" w:right="440" w:hanging="500"/>
        <w:spacing w:after="0" w:line="281" w:lineRule="auto"/>
        <w:tabs>
          <w:tab w:leader="none" w:pos="753" w:val="left"/>
        </w:tabs>
        <w:numPr>
          <w:ilvl w:val="0"/>
          <w:numId w:val="1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760" w:right="140" w:hanging="500"/>
        <w:spacing w:after="0" w:line="321" w:lineRule="auto"/>
        <w:tabs>
          <w:tab w:leader="none" w:pos="75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sz w:val="20"/>
          <w:szCs w:val="20"/>
          <w:color w:val="auto"/>
        </w:rPr>
      </w:pPr>
    </w:p>
    <w:p>
      <w:pPr>
        <w:ind w:left="520" w:right="540" w:hanging="260"/>
        <w:spacing w:after="0" w:line="281"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0" w:lineRule="exact"/>
        <w:rPr>
          <w:sz w:val="20"/>
          <w:szCs w:val="20"/>
          <w:color w:val="auto"/>
        </w:rPr>
      </w:pPr>
    </w:p>
    <w:p>
      <w:pPr>
        <w:ind w:left="760" w:right="160" w:hanging="500"/>
        <w:spacing w:after="0" w:line="281" w:lineRule="auto"/>
        <w:tabs>
          <w:tab w:leader="none" w:pos="753"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760" w:hanging="500"/>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5660" w:type="dxa"/>
            <w:vAlign w:val="bottom"/>
          </w:tcPr>
          <w:p>
            <w:pPr>
              <w:spacing w:after="0"/>
              <w:rPr>
                <w:sz w:val="20"/>
                <w:szCs w:val="20"/>
                <w:color w:val="auto"/>
              </w:rPr>
            </w:pPr>
            <w:r>
              <w:rPr>
                <w:rFonts w:ascii="Arial" w:cs="Arial" w:eastAsia="Arial" w:hAnsi="Arial"/>
                <w:sz w:val="14"/>
                <w:szCs w:val="14"/>
                <w:color w:val="auto"/>
              </w:rPr>
              <w:t>Date: May 5, 2021</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ALAN J.M. HAUGHIE</w:t>
            </w:r>
          </w:p>
        </w:tc>
      </w:tr>
      <w:tr>
        <w:trPr>
          <w:trHeight w:val="171"/>
        </w:trPr>
        <w:tc>
          <w:tcPr>
            <w:tcW w:w="566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rPr>
              <w:t>ALAN J.M. HAUGHIE</w:t>
            </w:r>
          </w:p>
        </w:tc>
      </w:tr>
      <w:tr>
        <w:trPr>
          <w:trHeight w:val="180"/>
        </w:trPr>
        <w:tc>
          <w:tcPr>
            <w:tcW w:w="566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5"/>
              </w:rPr>
              <w:t>Chief Financial Officer</w:t>
            </w:r>
          </w:p>
        </w:tc>
      </w:tr>
    </w:tbl>
    <w:p>
      <w:pPr>
        <w:sectPr>
          <w:pgSz w:w="11900" w:h="16838" w:orient="portrait"/>
          <w:cols w:equalWidth="0" w:num="1">
            <w:col w:w="11280"/>
          </w:cols>
          <w:pgMar w:left="300" w:top="925" w:right="319" w:bottom="1440" w:gutter="0" w:footer="0" w:header="0"/>
        </w:sectPr>
      </w:pPr>
    </w:p>
    <w:bookmarkStart w:id="44" w:name="page45"/>
    <w:bookmarkEnd w:id="44"/>
    <w:p>
      <w:pPr>
        <w:ind w:left="10660"/>
        <w:spacing w:after="0"/>
        <w:rPr>
          <w:sz w:val="20"/>
          <w:szCs w:val="20"/>
          <w:color w:val="auto"/>
        </w:rPr>
      </w:pPr>
      <w:r>
        <w:rPr>
          <w:rFonts w:ascii="Arial" w:cs="Arial" w:eastAsia="Arial" w:hAnsi="Arial"/>
          <w:sz w:val="13"/>
          <w:szCs w:val="13"/>
          <w:b w:val="1"/>
          <w:bCs w:val="1"/>
          <w:color w:val="auto"/>
        </w:rPr>
        <w:t>Exhibit 32</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Certifications of Chief Executive Officer and Chief Financial Officer Pursuant to 18 U.S.C. § 1350 as Adopted Pursuant to Section 906 of the Sarbanes-Oxley Act of 2002</w:t>
      </w:r>
    </w:p>
    <w:p>
      <w:pPr>
        <w:spacing w:after="0" w:line="152"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Pursuant to 18 U.S.C. § 1350, as adopted pursuant to § 906 of the Sarbanes-Oxley Act of 2002, in connection with the filing of the Quarterly Report on Form 10-Q of Louisiana-Pacific Corporation (the “Company”) for the three months ended March 31, 2021, as filed with the Securities and Exchange Commission on the date hereof (the “Report”), each of the undersigned officers of the Company certifies, that, to such officer’s knowledge:</w:t>
      </w:r>
    </w:p>
    <w:p>
      <w:pPr>
        <w:spacing w:after="0" w:line="14" w:lineRule="exact"/>
        <w:rPr>
          <w:sz w:val="20"/>
          <w:szCs w:val="20"/>
          <w:color w:val="auto"/>
        </w:rPr>
      </w:pPr>
    </w:p>
    <w:p>
      <w:pPr>
        <w:ind w:left="760" w:hanging="437"/>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51" w:lineRule="exact"/>
        <w:rPr>
          <w:rFonts w:ascii="Arial" w:cs="Arial" w:eastAsia="Arial" w:hAnsi="Arial"/>
          <w:sz w:val="14"/>
          <w:szCs w:val="14"/>
          <w:color w:val="auto"/>
        </w:rPr>
      </w:pPr>
    </w:p>
    <w:p>
      <w:pPr>
        <w:ind w:left="760" w:right="400" w:hanging="437"/>
        <w:spacing w:after="0" w:line="281" w:lineRule="auto"/>
        <w:tabs>
          <w:tab w:leader="none" w:pos="755"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as of the dates and for the periods expressed in the Report.</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Date: May 5, 2021</w:t>
      </w:r>
    </w:p>
    <w:p>
      <w:pPr>
        <w:spacing w:after="0" w:line="115"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12065</wp:posOffset>
            </wp:positionV>
            <wp:extent cx="348297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4"/>
          <w:szCs w:val="14"/>
          <w:color w:val="auto"/>
        </w:rPr>
        <w:t>Name: W. BRADLEY SOUTHERN</w:t>
      </w:r>
    </w:p>
    <w:p>
      <w:pPr>
        <w:ind w:left="5820"/>
        <w:spacing w:after="0"/>
        <w:rPr>
          <w:sz w:val="20"/>
          <w:szCs w:val="20"/>
          <w:color w:val="auto"/>
        </w:rPr>
      </w:pPr>
      <w:r>
        <w:rPr>
          <w:rFonts w:ascii="Arial" w:cs="Arial" w:eastAsia="Arial" w:hAnsi="Arial"/>
          <w:sz w:val="14"/>
          <w:szCs w:val="14"/>
          <w:color w:val="auto"/>
        </w:rPr>
        <w:t>Title: Chief Executive Officer</w:t>
      </w:r>
    </w:p>
    <w:p>
      <w:pPr>
        <w:spacing w:after="0" w:line="315"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12065</wp:posOffset>
            </wp:positionV>
            <wp:extent cx="348297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4"/>
          <w:szCs w:val="14"/>
          <w:color w:val="auto"/>
        </w:rPr>
        <w:t>Name: Alan J.M. Haughie</w:t>
      </w:r>
    </w:p>
    <w:p>
      <w:pPr>
        <w:ind w:left="5820"/>
        <w:spacing w:after="0"/>
        <w:rPr>
          <w:sz w:val="20"/>
          <w:szCs w:val="20"/>
          <w:color w:val="auto"/>
        </w:rPr>
      </w:pPr>
      <w:r>
        <w:rPr>
          <w:rFonts w:ascii="Arial" w:cs="Arial" w:eastAsia="Arial" w:hAnsi="Arial"/>
          <w:sz w:val="14"/>
          <w:szCs w:val="14"/>
          <w:color w:val="auto"/>
        </w:rPr>
        <w:t>Title: Chief Financial Officer</w:t>
      </w:r>
    </w:p>
    <w:p>
      <w:pPr>
        <w:spacing w:after="0" w:line="198"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1"/>
      <w:numFmt w:val="decimal"/>
      <w:start w:val="32"/>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decimal"/>
      <w:start w:val="5"/>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1" Type="http://schemas.openxmlformats.org/officeDocument/2006/relationships/hyperlink" Target="https://www.sec.gov/Archives/edgar/data/60519/000162828021004566/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2021-05-05T16:01:18Z</dcterms:created>
  <dcterms:modified xsi:type="dcterms:W3CDTF">2021-05-05T16:01:18Z</dcterms:modified>
</cp:coreProperties>
</file>