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675005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86360</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100330</wp:posOffset>
            </wp:positionV>
            <wp:extent cx="17989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83" w:lineRule="exact"/>
        <w:rPr>
          <w:sz w:val="24"/>
          <w:szCs w:val="24"/>
          <w:color w:val="auto"/>
        </w:rPr>
      </w:pPr>
    </w:p>
    <w:p>
      <w:pPr>
        <w:jc w:val="center"/>
        <w:ind w:left="3900" w:right="1260" w:hanging="2641"/>
        <w:spacing w:after="0" w:line="319" w:lineRule="auto"/>
        <w:tabs>
          <w:tab w:leader="none" w:pos="1409" w:val="left"/>
        </w:tabs>
        <w:numPr>
          <w:ilvl w:val="0"/>
          <w:numId w:val="1"/>
        </w:numPr>
        <w:rPr>
          <w:rFonts w:ascii="Arial" w:cs="Arial" w:eastAsia="Arial" w:hAnsi="Arial"/>
          <w:sz w:val="14"/>
          <w:szCs w:val="14"/>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2022</w:t>
      </w:r>
    </w:p>
    <w:p>
      <w:pPr>
        <w:jc w:val="center"/>
        <w:spacing w:after="0"/>
        <w:rPr>
          <w:sz w:val="20"/>
          <w:szCs w:val="20"/>
          <w:color w:val="auto"/>
        </w:rPr>
      </w:pPr>
      <w:r>
        <w:rPr>
          <w:rFonts w:ascii="Arial" w:cs="Arial" w:eastAsia="Arial" w:hAnsi="Arial"/>
          <w:sz w:val="14"/>
          <w:szCs w:val="14"/>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4"/>
          <w:szCs w:val="14"/>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66675</wp:posOffset>
            </wp:positionV>
            <wp:extent cx="17989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8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LOUISIANA-PACIFIC CORPORATION</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67310</wp:posOffset>
            </wp:positionV>
            <wp:extent cx="17989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sectPr>
      </w:pPr>
    </w:p>
    <w:p>
      <w:pPr>
        <w:spacing w:after="0" w:line="227"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93-0609074</w:t>
      </w:r>
    </w:p>
    <w:p>
      <w:pPr>
        <w:spacing w:after="0" w:line="21" w:lineRule="exact"/>
        <w:rPr>
          <w:sz w:val="24"/>
          <w:szCs w:val="24"/>
          <w:color w:val="auto"/>
        </w:rPr>
      </w:pPr>
    </w:p>
    <w:p>
      <w:pPr>
        <w:sectPr>
          <w:pgSz w:w="11900" w:h="16838" w:orient="portrait"/>
          <w:cols w:equalWidth="0" w:num="2">
            <w:col w:w="7400" w:space="720"/>
            <w:col w:w="3160"/>
          </w:cols>
          <w:pgMar w:left="300" w:top="1165" w:right="31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ind w:left="20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236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74" w:lineRule="exact"/>
        <w:rPr>
          <w:sz w:val="24"/>
          <w:szCs w:val="24"/>
          <w:color w:val="auto"/>
        </w:rPr>
      </w:pPr>
    </w:p>
    <w:p>
      <w:pPr>
        <w:sectPr>
          <w:pgSz w:w="11900" w:h="16838" w:orient="portrait"/>
          <w:cols w:equalWidth="0" w:num="2">
            <w:col w:w="7300" w:space="720"/>
            <w:col w:w="3260"/>
          </w:cols>
          <w:pgMar w:left="300" w:top="1165" w:right="319" w:bottom="1440" w:gutter="0" w:footer="0" w:header="0"/>
          <w:type w:val="continuous"/>
        </w:sectPr>
      </w:pPr>
    </w:p>
    <w:p>
      <w:pPr>
        <w:ind w:left="4140"/>
        <w:spacing w:after="0"/>
        <w:rPr>
          <w:sz w:val="20"/>
          <w:szCs w:val="20"/>
          <w:color w:val="auto"/>
        </w:rPr>
      </w:pPr>
      <w:r>
        <w:rPr>
          <w:rFonts w:ascii="Times New Roman" w:cs="Times New Roman" w:eastAsia="Times New Roman" w:hAnsi="Times New Roman"/>
          <w:sz w:val="14"/>
          <w:szCs w:val="14"/>
          <w:b w:val="1"/>
          <w:bCs w:val="1"/>
          <w:color w:val="auto"/>
        </w:rPr>
        <w:t>414 Union Street, Suite 2000, Nashville, TN 37219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p>
      <w:pPr>
        <w:sectPr>
          <w:pgSz w:w="11900" w:h="16838" w:orient="portrait"/>
          <w:cols w:equalWidth="0" w:num="1">
            <w:col w:w="11280"/>
          </w:cols>
          <w:pgMar w:left="300" w:top="1165" w:right="31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986 - 5600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64770</wp:posOffset>
            </wp:positionV>
            <wp:extent cx="17989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9" w:lineRule="exact"/>
        <w:rPr>
          <w:sz w:val="24"/>
          <w:szCs w:val="24"/>
          <w:color w:val="auto"/>
        </w:rPr>
      </w:pPr>
    </w:p>
    <w:tbl>
      <w:tblPr>
        <w:tblLayout w:type="fixed"/>
        <w:tblInd w:w="30" w:type="dxa"/>
        <w:tblCellMar>
          <w:top w:w="0" w:type="dxa"/>
          <w:left w:w="0" w:type="dxa"/>
          <w:bottom w:w="0" w:type="dxa"/>
          <w:right w:w="0" w:type="dxa"/>
        </w:tblCellMar>
      </w:tblPr>
      <w:tr>
        <w:trPr>
          <w:trHeight w:val="191"/>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5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$1 par value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LPX</w:t>
            </w:r>
          </w:p>
        </w:tc>
        <w:tc>
          <w:tcPr>
            <w:tcW w:w="5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91" w:lineRule="exact"/>
        <w:rPr>
          <w:sz w:val="24"/>
          <w:szCs w:val="24"/>
          <w:color w:val="auto"/>
        </w:rPr>
      </w:pPr>
    </w:p>
    <w:p>
      <w:pPr>
        <w:ind w:right="160"/>
        <w:spacing w:after="0" w:line="289"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25" w:lineRule="exact"/>
        <w:rPr>
          <w:sz w:val="24"/>
          <w:szCs w:val="24"/>
          <w:color w:val="auto"/>
        </w:rPr>
      </w:pPr>
    </w:p>
    <w:p>
      <w:pPr>
        <w:ind w:right="280"/>
        <w:spacing w:after="0" w:line="289"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25"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560" w:type="dxa"/>
            <w:vAlign w:val="bottom"/>
          </w:tcPr>
          <w:p>
            <w:pPr>
              <w:ind w:left="880"/>
              <w:spacing w:after="0"/>
              <w:rPr>
                <w:sz w:val="20"/>
                <w:szCs w:val="20"/>
                <w:color w:val="auto"/>
              </w:rPr>
            </w:pPr>
            <w:r>
              <w:rPr>
                <w:rFonts w:ascii="Arial" w:cs="Arial" w:eastAsia="Arial" w:hAnsi="Arial"/>
                <w:sz w:val="14"/>
                <w:szCs w:val="14"/>
                <w:color w:val="auto"/>
              </w:rPr>
              <w:t>x</w:t>
            </w:r>
          </w:p>
        </w:tc>
        <w:tc>
          <w:tcPr>
            <w:tcW w:w="392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40"/>
              <w:spacing w:after="0"/>
              <w:rPr>
                <w:sz w:val="20"/>
                <w:szCs w:val="20"/>
                <w:color w:val="auto"/>
              </w:rPr>
            </w:pPr>
            <w:r>
              <w:rPr>
                <w:rFonts w:ascii="Arial" w:cs="Arial" w:eastAsia="Arial" w:hAnsi="Arial"/>
                <w:sz w:val="14"/>
                <w:szCs w:val="14"/>
                <w:color w:val="auto"/>
              </w:rPr>
              <w:t>o</w:t>
            </w:r>
          </w:p>
        </w:tc>
      </w:tr>
      <w:tr>
        <w:trPr>
          <w:trHeight w:val="18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60" w:type="dxa"/>
            <w:vAlign w:val="bottom"/>
          </w:tcPr>
          <w:p>
            <w:pPr>
              <w:ind w:left="880"/>
              <w:spacing w:after="0"/>
              <w:rPr>
                <w:sz w:val="20"/>
                <w:szCs w:val="20"/>
                <w:color w:val="auto"/>
              </w:rPr>
            </w:pPr>
            <w:r>
              <w:rPr>
                <w:rFonts w:ascii="Arial" w:cs="Arial" w:eastAsia="Arial" w:hAnsi="Arial"/>
                <w:sz w:val="14"/>
                <w:szCs w:val="14"/>
                <w:color w:val="auto"/>
              </w:rPr>
              <w:t>o</w:t>
            </w:r>
          </w:p>
        </w:tc>
        <w:tc>
          <w:tcPr>
            <w:tcW w:w="392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5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76" w:lineRule="exact"/>
        <w:rPr>
          <w:sz w:val="24"/>
          <w:szCs w:val="24"/>
          <w:color w:val="auto"/>
        </w:rPr>
      </w:pPr>
    </w:p>
    <w:p>
      <w:pPr>
        <w:ind w:right="220"/>
        <w:spacing w:after="0" w:line="289"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4" w:lineRule="exact"/>
        <w:rPr>
          <w:sz w:val="24"/>
          <w:szCs w:val="24"/>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104" w:lineRule="exact"/>
        <w:rPr>
          <w:sz w:val="24"/>
          <w:szCs w:val="24"/>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82,118,548 shares of common stock, $1 par value, outstanding as of April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466090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i w:val="1"/>
          <w:iCs w:val="1"/>
          <w:color w:val="auto"/>
        </w:rPr>
        <w:t>Except as otherwise specified and unless the context otherwise requires, references to "LP," the “Company,” “we,” “us,” and “our” refer to Louisiana-Pacific Corporation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596265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56515</wp:posOffset>
            </wp:positionV>
            <wp:extent cx="71481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wp:posOffset>
            </wp:positionV>
            <wp:extent cx="71481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0940"/>
          </w:cols>
          <w:pgMar w:left="300" w:top="865"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quarterly report on Form 10-Q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statements are or may constitute forward-looking statements: (1) statements preceded by, followed by or that include words like “may,” “will,” “could,” “should,” “believe,” “expect,” “anticipate,” “intend,” “plan,” “estimate,” “project,”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and the adequacy of reserves for loss contingencies.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Factors that could cause actual results to differ materially from those expressed or implied by the forward-looking statements include, but are not limited to, the following, which may be amplified by the invasion of Ukraine by Russia, the sanctions (including their duration), and other measures being imposed in response to this conflict, as well as any escalation or expansion of economic disruption or the conflict’s current scope:</w:t>
      </w:r>
    </w:p>
    <w:p>
      <w:pPr>
        <w:spacing w:after="0" w:line="168" w:lineRule="exact"/>
        <w:rPr>
          <w:sz w:val="20"/>
          <w:szCs w:val="20"/>
          <w:color w:val="auto"/>
        </w:rPr>
      </w:pPr>
    </w:p>
    <w:p>
      <w:pPr>
        <w:ind w:left="520" w:hanging="260"/>
        <w:spacing w:after="0" w:line="26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public health issues (including global pandemics, such as the ongoing COVID-19 pandemic) on the economy, demand for our products or our operations, including the actions and recommendations of governmental authorities to contain such public health issues;</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fiscal and monetary policies, including tariffs, and levels of employment;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conditions, including impacts from the ongoing COVID-19 pandemic;</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home construction and repair and remodel activity;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competitive conditions and prices for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supply of and demand for building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or business conditions of third-party wholesale distributors and dealers;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supply of and demand for raw materials, including wood fiber and resins, used in manufacturing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energy, primarily natural gas, electricity, and diesel fuel;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transportation;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manufacturing our products internationally;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the launch or production ramp-up of newly introduced products;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significant operating expenses;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currency values and exchange rates between the U.S. dollar and other currencies, particularly the Canadian dollar, Brazilian real and Chilean peso;</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interpretations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circumstances giving rise to environmental liabilities or expenditures;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exceeding our warranty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 w:name="page4"/>
    <w:bookmarkEnd w:id="3"/>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 to or exploitation of our intellectual property or other proprietary information by others in the industry;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funding requirements of our defined benefit pension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existing and future product-related litigation, environmental proceedings and remediation efforts, and other legal or environmental proceedings or matters;</w:t>
      </w:r>
    </w:p>
    <w:p>
      <w:pPr>
        <w:spacing w:after="0" w:line="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effect of covenants and events of default contained in our debt instruments;</w:t>
      </w:r>
    </w:p>
    <w:p>
      <w:pPr>
        <w:spacing w:after="0" w:line="1" w:lineRule="exact"/>
        <w:rPr>
          <w:rFonts w:ascii="Arial" w:cs="Arial" w:eastAsia="Arial" w:hAnsi="Arial"/>
          <w:sz w:val="17"/>
          <w:szCs w:val="17"/>
          <w:color w:val="auto"/>
        </w:rPr>
      </w:pPr>
    </w:p>
    <w:p>
      <w:pPr>
        <w:ind w:left="520" w:hanging="260"/>
        <w:spacing w:after="0" w:line="25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repurchases of our common stock and the payment of dividends on our common stock, which will depend on market and business conditions and other considerations; and</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public authorities, war, civil unrest, natural disasters, fire, floods, earthquakes, inclement weather and other matters beyond our control.</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foregoing and any risks and uncertainties specifically identified in the text surrounding forward-looking statements, any statements in the reports and other documents filed by us with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were or are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We undertake no obligation to revise or update any of the forward-looking statements to reflect subsequent events or circumstances except to the extent required by applicable law.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THIRD-PARTY INFORMATION</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160" w:type="dxa"/>
            <w:vAlign w:val="bottom"/>
            <w:gridSpan w:val="2"/>
          </w:tcPr>
          <w:p>
            <w:pPr>
              <w:jc w:val="center"/>
              <w:ind w:right="1836"/>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4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160" w:type="dxa"/>
            <w:vAlign w:val="bottom"/>
            <w:gridSpan w:val="2"/>
          </w:tcPr>
          <w:p>
            <w:pPr>
              <w:jc w:val="center"/>
              <w:ind w:right="1856"/>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160" w:type="dxa"/>
            <w:vAlign w:val="bottom"/>
            <w:gridSpan w:val="2"/>
          </w:tcPr>
          <w:p>
            <w:pPr>
              <w:jc w:val="center"/>
              <w:ind w:right="1836"/>
              <w:spacing w:after="0"/>
              <w:rPr>
                <w:sz w:val="20"/>
                <w:szCs w:val="20"/>
                <w:color w:val="auto"/>
              </w:rPr>
            </w:pPr>
            <w:r>
              <w:rPr>
                <w:rFonts w:ascii="Times New Roman" w:cs="Times New Roman" w:eastAsia="Times New Roman" w:hAnsi="Times New Roman"/>
                <w:sz w:val="14"/>
                <w:szCs w:val="14"/>
                <w:color w:val="auto"/>
              </w:rPr>
              <w:t>Dollar amounts in millions, except per share amounts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160" w:type="dxa"/>
            <w:vAlign w:val="bottom"/>
            <w:gridSpan w:val="2"/>
          </w:tcPr>
          <w:p>
            <w:pPr>
              <w:jc w:val="center"/>
              <w:ind w:right="1856"/>
              <w:spacing w:after="0"/>
              <w:rPr>
                <w:sz w:val="20"/>
                <w:szCs w:val="20"/>
                <w:color w:val="auto"/>
              </w:rPr>
            </w:pPr>
            <w:r>
              <w:rPr>
                <w:rFonts w:ascii="Times New Roman" w:cs="Times New Roman" w:eastAsia="Times New Roman" w:hAnsi="Times New Roman"/>
                <w:sz w:val="14"/>
                <w:szCs w:val="14"/>
                <w:color w:val="auto"/>
              </w:rPr>
              <w:t>(Unaudited)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6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98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304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1,017</w:t>
            </w:r>
          </w:p>
        </w:tc>
        <w:tc>
          <w:tcPr>
            <w:tcW w:w="0" w:type="dxa"/>
            <w:vAlign w:val="bottom"/>
          </w:tcPr>
          <w:p>
            <w:pPr>
              <w:spacing w:after="0"/>
              <w:rPr>
                <w:sz w:val="1"/>
                <w:szCs w:val="1"/>
                <w:color w:val="auto"/>
              </w:rPr>
            </w:pPr>
          </w:p>
        </w:tc>
      </w:tr>
      <w:tr>
        <w:trPr>
          <w:trHeight w:val="168"/>
        </w:trPr>
        <w:tc>
          <w:tcPr>
            <w:tcW w:w="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Cost of sales</w:t>
            </w:r>
          </w:p>
        </w:tc>
        <w:tc>
          <w:tcPr>
            <w:tcW w:w="3040" w:type="dxa"/>
            <w:vAlign w:val="bottom"/>
            <w:tcBorders>
              <w:bottom w:val="single" w:sz="8" w:color="CCEEFF"/>
            </w:tcBorders>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304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0" w:type="dxa"/>
            <w:vAlign w:val="bottom"/>
          </w:tcPr>
          <w:p>
            <w:pPr>
              <w:spacing w:after="0"/>
              <w:rPr>
                <w:sz w:val="1"/>
                <w:szCs w:val="1"/>
                <w:color w:val="auto"/>
              </w:rPr>
            </w:pPr>
          </w:p>
        </w:tc>
      </w:tr>
      <w:tr>
        <w:trPr>
          <w:trHeight w:val="168"/>
        </w:trPr>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2"/>
        </w:trPr>
        <w:tc>
          <w:tcPr>
            <w:tcW w:w="4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41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40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4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633</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431</w:t>
            </w:r>
          </w:p>
        </w:tc>
        <w:tc>
          <w:tcPr>
            <w:tcW w:w="0" w:type="dxa"/>
            <w:vAlign w:val="bottom"/>
          </w:tcPr>
          <w:p>
            <w:pPr>
              <w:spacing w:after="0"/>
              <w:rPr>
                <w:sz w:val="1"/>
                <w:szCs w:val="1"/>
                <w:color w:val="auto"/>
              </w:rPr>
            </w:pPr>
          </w:p>
        </w:tc>
      </w:tr>
      <w:tr>
        <w:trPr>
          <w:trHeight w:val="171"/>
        </w:trPr>
        <w:tc>
          <w:tcPr>
            <w:tcW w:w="4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4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402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Investment income</w:t>
            </w: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non-operating items</w:t>
            </w:r>
          </w:p>
        </w:tc>
        <w:tc>
          <w:tcPr>
            <w:tcW w:w="41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9"/>
        </w:trPr>
        <w:tc>
          <w:tcPr>
            <w:tcW w:w="402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4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621</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416</w:t>
            </w:r>
          </w:p>
        </w:tc>
        <w:tc>
          <w:tcPr>
            <w:tcW w:w="0" w:type="dxa"/>
            <w:vAlign w:val="bottom"/>
          </w:tcPr>
          <w:p>
            <w:pPr>
              <w:spacing w:after="0"/>
              <w:rPr>
                <w:sz w:val="1"/>
                <w:szCs w:val="1"/>
                <w:color w:val="auto"/>
              </w:rPr>
            </w:pPr>
          </w:p>
        </w:tc>
      </w:tr>
      <w:tr>
        <w:trPr>
          <w:trHeight w:val="171"/>
        </w:trPr>
        <w:tc>
          <w:tcPr>
            <w:tcW w:w="4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Equity in unconsolidated affiliate</w:t>
            </w:r>
          </w:p>
        </w:tc>
        <w:tc>
          <w:tcPr>
            <w:tcW w:w="41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040" w:type="dxa"/>
            <w:vAlign w:val="bottom"/>
            <w:tcBorders>
              <w:bottom w:val="single" w:sz="8" w:color="CCEEFF"/>
            </w:tcBorders>
            <w:shd w:val="clear" w:color="auto" w:fill="CCEEFF"/>
          </w:tcPr>
          <w:p>
            <w:pPr>
              <w:spacing w:after="0"/>
              <w:rPr>
                <w:sz w:val="15"/>
                <w:szCs w:val="15"/>
                <w:color w:val="auto"/>
              </w:rPr>
            </w:pPr>
          </w:p>
        </w:tc>
        <w:tc>
          <w:tcPr>
            <w:tcW w:w="4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4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020" w:type="dxa"/>
            <w:vAlign w:val="bottom"/>
            <w:tcBorders>
              <w:bottom w:val="single" w:sz="8" w:color="CCEEFF"/>
            </w:tcBorders>
            <w:gridSpan w:val="2"/>
            <w:vMerge w:val="continue"/>
          </w:tcPr>
          <w:p>
            <w:pPr>
              <w:spacing w:after="0"/>
              <w:rPr>
                <w:sz w:val="11"/>
                <w:szCs w:val="11"/>
                <w:color w:val="auto"/>
              </w:rPr>
            </w:pPr>
          </w:p>
        </w:tc>
        <w:tc>
          <w:tcPr>
            <w:tcW w:w="414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6"/>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w:t>
            </w:r>
          </w:p>
        </w:tc>
        <w:tc>
          <w:tcPr>
            <w:tcW w:w="4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484</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of common stock:</w:t>
            </w:r>
          </w:p>
        </w:tc>
        <w:tc>
          <w:tcPr>
            <w:tcW w:w="4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per share - basic</w:t>
            </w:r>
          </w:p>
        </w:tc>
        <w:tc>
          <w:tcPr>
            <w:tcW w:w="5160" w:type="dxa"/>
            <w:vAlign w:val="bottom"/>
            <w:gridSpan w:val="2"/>
          </w:tcPr>
          <w:p>
            <w:pPr>
              <w:jc w:val="right"/>
              <w:ind w:right="87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4"/>
                <w:szCs w:val="14"/>
                <w:color w:val="auto"/>
              </w:rPr>
            </w:pP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per share - diluted</w:t>
            </w:r>
          </w:p>
        </w:tc>
        <w:tc>
          <w:tcPr>
            <w:tcW w:w="5160" w:type="dxa"/>
            <w:vAlign w:val="bottom"/>
            <w:gridSpan w:val="2"/>
          </w:tcPr>
          <w:p>
            <w:pPr>
              <w:jc w:val="right"/>
              <w:ind w:right="87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Pr>
          <w:p>
            <w:pPr>
              <w:spacing w:after="0"/>
              <w:rPr>
                <w:sz w:val="14"/>
                <w:szCs w:val="14"/>
                <w:color w:val="auto"/>
              </w:rPr>
            </w:pP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Average shares of common stock used to compute net income per share:</w:t>
            </w: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040" w:type="dxa"/>
            <w:vAlign w:val="bottom"/>
            <w:tcBorders>
              <w:bottom w:val="single" w:sz="8" w:color="CCEEFF"/>
            </w:tcBorders>
            <w:shd w:val="clear" w:color="auto" w:fill="CCEEFF"/>
          </w:tcPr>
          <w:p>
            <w:pPr>
              <w:spacing w:after="0"/>
              <w:rPr>
                <w:sz w:val="16"/>
                <w:szCs w:val="16"/>
                <w:color w:val="auto"/>
              </w:rPr>
            </w:pPr>
          </w:p>
        </w:tc>
        <w:tc>
          <w:tcPr>
            <w:tcW w:w="4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30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vMerge w:val="continue"/>
          </w:tcPr>
          <w:p>
            <w:pPr>
              <w:spacing w:after="0"/>
              <w:rPr>
                <w:sz w:val="11"/>
                <w:szCs w:val="11"/>
                <w:color w:val="auto"/>
              </w:rPr>
            </w:pPr>
          </w:p>
        </w:tc>
        <w:tc>
          <w:tcPr>
            <w:tcW w:w="30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 amounts 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6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r>
      <w:tr>
        <w:trPr>
          <w:trHeight w:val="161"/>
        </w:trPr>
        <w:tc>
          <w:tcPr>
            <w:tcW w:w="8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40" w:type="dxa"/>
            <w:vAlign w:val="bottom"/>
            <w:tcBorders>
              <w:bottom w:val="single" w:sz="8" w:color="auto"/>
            </w:tcBorders>
          </w:tcPr>
          <w:p>
            <w:pPr>
              <w:spacing w:after="0"/>
              <w:rPr>
                <w:sz w:val="14"/>
                <w:szCs w:val="14"/>
                <w:color w:val="auto"/>
              </w:rPr>
            </w:pPr>
          </w:p>
        </w:tc>
      </w:tr>
      <w:tr>
        <w:trPr>
          <w:trHeight w:val="16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r>
      <w:tr>
        <w:trPr>
          <w:trHeight w:val="148"/>
        </w:trPr>
        <w:tc>
          <w:tcPr>
            <w:tcW w:w="81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comprehensive income, net of tax</w:t>
            </w: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2"/>
        </w:trPr>
        <w:tc>
          <w:tcPr>
            <w:tcW w:w="8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Changes in defined benefit pension plans</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1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comprehensive income (loss), net of tax</w:t>
            </w: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9"/>
        </w:trPr>
        <w:tc>
          <w:tcPr>
            <w:tcW w:w="81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Comprehensive income</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508</w:t>
            </w: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53"/>
        </w:trPr>
        <w:tc>
          <w:tcPr>
            <w:tcW w:w="81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Comprehensive loss associated with noncontrolling interest</w:t>
            </w: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9"/>
        </w:trPr>
        <w:tc>
          <w:tcPr>
            <w:tcW w:w="81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Comprehensive income attributed to LP</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508</w:t>
            </w:r>
          </w:p>
        </w:tc>
        <w:tc>
          <w:tcPr>
            <w:tcW w:w="80" w:type="dxa"/>
            <w:vAlign w:val="bottom"/>
          </w:tcPr>
          <w:p>
            <w:pPr>
              <w:spacing w:after="0"/>
              <w:rPr>
                <w:sz w:val="13"/>
                <w:szCs w:val="13"/>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314</w:t>
            </w:r>
          </w:p>
        </w:tc>
      </w:tr>
      <w:tr>
        <w:trPr>
          <w:trHeight w:val="20"/>
        </w:trPr>
        <w:tc>
          <w:tcPr>
            <w:tcW w:w="8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380" w:type="dxa"/>
            <w:vAlign w:val="bottom"/>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for doubtful accounts of $2 million as of March 31, 2022, and December 31, 2021</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20"/>
        </w:trPr>
        <w:tc>
          <w:tcPr>
            <w:tcW w:w="7640" w:type="dxa"/>
            <w:vAlign w:val="bottom"/>
            <w:tcBorders>
              <w:bottom w:val="single" w:sz="8" w:color="CCEEFF"/>
            </w:tcBorders>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1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890</w:t>
            </w:r>
          </w:p>
        </w:tc>
        <w:tc>
          <w:tcPr>
            <w:tcW w:w="0" w:type="dxa"/>
            <w:vAlign w:val="bottom"/>
          </w:tcPr>
          <w:p>
            <w:pPr>
              <w:spacing w:after="0"/>
              <w:rPr>
                <w:sz w:val="1"/>
                <w:szCs w:val="1"/>
                <w:color w:val="auto"/>
              </w:rPr>
            </w:pPr>
          </w:p>
        </w:tc>
      </w:tr>
      <w:tr>
        <w:trPr>
          <w:trHeight w:val="168"/>
        </w:trPr>
        <w:tc>
          <w:tcPr>
            <w:tcW w:w="764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Timber and timberlands</w:t>
            </w:r>
          </w:p>
        </w:tc>
        <w:tc>
          <w:tcPr>
            <w:tcW w:w="138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assets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 and other intangible assets</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cash</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9"/>
        </w:trPr>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2,670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2,194</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6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1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380" w:type="dxa"/>
            <w:vAlign w:val="bottom"/>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payable</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20"/>
        </w:trPr>
        <w:tc>
          <w:tcPr>
            <w:tcW w:w="7640" w:type="dxa"/>
            <w:vAlign w:val="bottom"/>
            <w:tcBorders>
              <w:bottom w:val="single" w:sz="8" w:color="CCEEFF"/>
            </w:tcBorders>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351</w:t>
            </w:r>
          </w:p>
        </w:tc>
        <w:tc>
          <w:tcPr>
            <w:tcW w:w="0" w:type="dxa"/>
            <w:vAlign w:val="bottom"/>
          </w:tcPr>
          <w:p>
            <w:pPr>
              <w:spacing w:after="0"/>
              <w:rPr>
                <w:sz w:val="1"/>
                <w:szCs w:val="1"/>
                <w:color w:val="auto"/>
              </w:rPr>
            </w:pPr>
          </w:p>
        </w:tc>
      </w:tr>
      <w:tr>
        <w:trPr>
          <w:trHeight w:val="168"/>
        </w:trPr>
        <w:tc>
          <w:tcPr>
            <w:tcW w:w="7640" w:type="dxa"/>
            <w:vAlign w:val="bottom"/>
            <w:tcBorders>
              <w:top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Long-term debt</w:t>
            </w:r>
          </w:p>
        </w:tc>
        <w:tc>
          <w:tcPr>
            <w:tcW w:w="138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Contingency reserves, excluding current portion</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61"/>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955</w:t>
            </w:r>
          </w:p>
        </w:tc>
        <w:tc>
          <w:tcPr>
            <w:tcW w:w="0" w:type="dxa"/>
            <w:vAlign w:val="bottom"/>
          </w:tcPr>
          <w:p>
            <w:pPr>
              <w:spacing w:after="0"/>
              <w:rPr>
                <w:sz w:val="1"/>
                <w:szCs w:val="1"/>
                <w:color w:val="auto"/>
              </w:rPr>
            </w:pPr>
          </w:p>
        </w:tc>
      </w:tr>
      <w:tr>
        <w:trPr>
          <w:trHeight w:val="55"/>
        </w:trPr>
        <w:tc>
          <w:tcPr>
            <w:tcW w:w="76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Redeemable noncontrolling interest</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74"/>
        </w:trPr>
        <w:tc>
          <w:tcPr>
            <w:tcW w:w="76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6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auto"/>
                <w:w w:val="99"/>
              </w:rPr>
              <w:t>Common stock, $1 par value, 200,000,000 shares authorized; 100,884,145 and 84,496,113 shares issued and outstanding, respectively, at March</w:t>
            </w:r>
          </w:p>
        </w:tc>
        <w:tc>
          <w:tcPr>
            <w:tcW w:w="138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31, 2022; and 102,415,883 and 85,636,154 shares issued and outstanding, respectively, at December 31, 2021</w:t>
            </w:r>
          </w:p>
        </w:tc>
        <w:tc>
          <w:tcPr>
            <w:tcW w:w="13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1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Treasury stock, 16,388,032 shares and 16,779,729 shares, at cost as of March 31, 2022, and December 31, 2021, respectively</w:t>
            </w:r>
          </w:p>
        </w:tc>
        <w:tc>
          <w:tcPr>
            <w:tcW w:w="13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comprehensive loss</w:t>
            </w:r>
          </w:p>
        </w:tc>
        <w:tc>
          <w:tcPr>
            <w:tcW w:w="1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3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0" w:type="dxa"/>
            <w:vAlign w:val="bottom"/>
          </w:tcPr>
          <w:p>
            <w:pPr>
              <w:spacing w:after="0"/>
              <w:rPr>
                <w:sz w:val="1"/>
                <w:szCs w:val="1"/>
                <w:color w:val="auto"/>
              </w:rPr>
            </w:pPr>
          </w:p>
        </w:tc>
      </w:tr>
      <w:tr>
        <w:trPr>
          <w:trHeight w:val="159"/>
        </w:trPr>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2,670</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 amounts 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r>
      <w:tr>
        <w:trPr>
          <w:trHeight w:val="151"/>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net income:</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 of joint ventures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Deferred taxes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0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adjustments, net</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assets and liabilities (net of acquisitions and divestitures):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Income taxes payable, net of receivables</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provided by operating activities</w:t>
            </w: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425</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314</w:t>
            </w:r>
          </w:p>
        </w:tc>
      </w:tr>
      <w:tr>
        <w:trPr>
          <w:trHeight w:val="149"/>
        </w:trPr>
        <w:tc>
          <w:tcPr>
            <w:tcW w:w="20" w:type="dxa"/>
            <w:vAlign w:val="bottom"/>
          </w:tcPr>
          <w:p>
            <w:pPr>
              <w:spacing w:after="0"/>
              <w:rPr>
                <w:sz w:val="12"/>
                <w:szCs w:val="12"/>
                <w:color w:val="auto"/>
              </w:rPr>
            </w:pPr>
          </w:p>
        </w:tc>
        <w:tc>
          <w:tcPr>
            <w:tcW w:w="81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1"/>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additions</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business divestiture</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investing activities</w:t>
            </w: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9"/>
        </w:trPr>
        <w:tc>
          <w:tcPr>
            <w:tcW w:w="20" w:type="dxa"/>
            <w:vAlign w:val="bottom"/>
            <w:tcBorders>
              <w:bottom w:val="single" w:sz="8" w:color="CCEEFF"/>
            </w:tcBorders>
          </w:tcPr>
          <w:p>
            <w:pPr>
              <w:spacing w:after="0"/>
              <w:rPr>
                <w:sz w:val="13"/>
                <w:szCs w:val="13"/>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used in investing activities</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r>
      <w:tr>
        <w:trPr>
          <w:trHeight w:val="151"/>
        </w:trPr>
        <w:tc>
          <w:tcPr>
            <w:tcW w:w="20" w:type="dxa"/>
            <w:vAlign w:val="bottom"/>
            <w:shd w:val="clear" w:color="auto" w:fill="CCEEFF"/>
          </w:tcPr>
          <w:p>
            <w:pPr>
              <w:spacing w:after="0"/>
              <w:rPr>
                <w:sz w:val="13"/>
                <w:szCs w:val="13"/>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Borrowing of long-term debt</w:t>
            </w:r>
          </w:p>
        </w:tc>
        <w:tc>
          <w:tcPr>
            <w:tcW w:w="10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 of long-term debt, including redemption premium</w:t>
            </w:r>
          </w:p>
        </w:tc>
        <w:tc>
          <w:tcPr>
            <w:tcW w:w="10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68"/>
        </w:trPr>
        <w:tc>
          <w:tcPr>
            <w:tcW w:w="20" w:type="dxa"/>
            <w:vAlign w:val="bottom"/>
          </w:tcPr>
          <w:p>
            <w:pPr>
              <w:spacing w:after="0"/>
              <w:rPr>
                <w:sz w:val="14"/>
                <w:szCs w:val="14"/>
                <w:color w:val="auto"/>
              </w:rPr>
            </w:pPr>
          </w:p>
        </w:tc>
        <w:tc>
          <w:tcPr>
            <w:tcW w:w="8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used in financing activities</w:t>
            </w: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r>
      <w:tr>
        <w:trPr>
          <w:trHeight w:val="158"/>
        </w:trPr>
        <w:tc>
          <w:tcPr>
            <w:tcW w:w="20" w:type="dxa"/>
            <w:vAlign w:val="bottom"/>
            <w:tcBorders>
              <w:bottom w:val="single" w:sz="8" w:color="CCEEFF"/>
            </w:tcBorders>
          </w:tcPr>
          <w:p>
            <w:pPr>
              <w:spacing w:after="0"/>
              <w:rPr>
                <w:sz w:val="13"/>
                <w:szCs w:val="13"/>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EFFECT OF EXCHANGE RATE ON CASH, CASH EQUIVALENTS AND RESTRICTED CASH</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68"/>
        </w:trPr>
        <w:tc>
          <w:tcPr>
            <w:tcW w:w="20" w:type="dxa"/>
            <w:vAlign w:val="bottom"/>
            <w:tcBorders>
              <w:bottom w:val="single" w:sz="8" w:color="CCEEFF"/>
            </w:tcBorders>
          </w:tcPr>
          <w:p>
            <w:pPr>
              <w:spacing w:after="0"/>
              <w:rPr>
                <w:sz w:val="14"/>
                <w:szCs w:val="14"/>
                <w:color w:val="auto"/>
              </w:rPr>
            </w:pPr>
          </w:p>
        </w:tc>
        <w:tc>
          <w:tcPr>
            <w:tcW w:w="8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Supplemental cash flow information:</w:t>
            </w:r>
          </w:p>
        </w:tc>
        <w:tc>
          <w:tcPr>
            <w:tcW w:w="6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income taxes, net of cash received</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20" w:type="dxa"/>
            <w:vAlign w:val="bottom"/>
            <w:shd w:val="clear" w:color="auto" w:fill="CCEEFF"/>
          </w:tcPr>
          <w:p>
            <w:pPr>
              <w:spacing w:after="0"/>
              <w:rPr>
                <w:sz w:val="14"/>
                <w:szCs w:val="14"/>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 of cash received</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5"/>
        </w:trPr>
        <w:tc>
          <w:tcPr>
            <w:tcW w:w="20" w:type="dxa"/>
            <w:vAlign w:val="bottom"/>
          </w:tcPr>
          <w:p>
            <w:pPr>
              <w:spacing w:after="0"/>
              <w:rPr>
                <w:sz w:val="14"/>
                <w:szCs w:val="14"/>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Unpaid capital expenditures</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Dollar and share amounts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8"/>
          </w:tcPr>
          <w:p>
            <w:pPr>
              <w:ind w:left="3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11"/>
                <w:szCs w:val="11"/>
                <w:color w:val="auto"/>
              </w:rPr>
            </w:pPr>
          </w:p>
        </w:tc>
        <w:tc>
          <w:tcPr>
            <w:tcW w:w="1620" w:type="dxa"/>
            <w:vAlign w:val="bottom"/>
            <w:gridSpan w:val="8"/>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320"/>
              <w:spacing w:after="0" w:line="106"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3"/>
            <w:vMerge w:val="restart"/>
          </w:tcPr>
          <w:p>
            <w:pPr>
              <w:ind w:left="100"/>
              <w:spacing w:after="0" w:line="106"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3"/>
            <w:vMerge w:val="restart"/>
          </w:tcPr>
          <w:p>
            <w:pPr>
              <w:jc w:val="center"/>
              <w:ind w:right="300"/>
              <w:spacing w:after="0" w:line="106"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restart"/>
          </w:tcPr>
          <w:p>
            <w:pPr>
              <w:jc w:val="center"/>
              <w:ind w:right="280"/>
              <w:spacing w:after="0" w:line="106"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2"/>
                <w:szCs w:val="2"/>
                <w:color w:val="auto"/>
              </w:rPr>
            </w:pPr>
          </w:p>
        </w:tc>
        <w:tc>
          <w:tcPr>
            <w:tcW w:w="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6"/>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17</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w w:val="99"/>
              </w:rPr>
              <w:t>(390)</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838"/>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($0.22 per share)</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center"/>
              <w:ind w:left="838"/>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838"/>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7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center"/>
              <w:ind w:left="838"/>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awards</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838"/>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w:t>
            </w:r>
          </w:p>
        </w:tc>
        <w:tc>
          <w:tcPr>
            <w:tcW w:w="7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center"/>
              <w:ind w:left="838"/>
              <w:spacing w:after="0"/>
              <w:rPr>
                <w:sz w:val="20"/>
                <w:szCs w:val="20"/>
                <w:color w:val="auto"/>
              </w:rPr>
            </w:pPr>
            <w:r>
              <w:rPr>
                <w:rFonts w:ascii="Times New Roman" w:cs="Times New Roman" w:eastAsia="Times New Roman" w:hAnsi="Times New Roman"/>
                <w:sz w:val="13"/>
                <w:szCs w:val="13"/>
                <w:color w:val="auto"/>
                <w:w w:val="91"/>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based compensation</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left="918"/>
              <w:spacing w:after="0"/>
              <w:rPr>
                <w:sz w:val="20"/>
                <w:szCs w:val="20"/>
                <w:color w:val="auto"/>
              </w:rPr>
            </w:pPr>
            <w:r>
              <w:rPr>
                <w:rFonts w:ascii="Times New Roman" w:cs="Times New Roman" w:eastAsia="Times New Roman" w:hAnsi="Times New Roman"/>
                <w:sz w:val="13"/>
                <w:szCs w:val="13"/>
                <w:color w:val="auto"/>
                <w:w w:val="91"/>
              </w:rPr>
              <w:t>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2022</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16</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w w:val="99"/>
              </w:rPr>
              <w:t>(391)</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1,601</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8"/>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8"/>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0" w:type="dxa"/>
            <w:vAlign w:val="bottom"/>
          </w:tcPr>
          <w:p>
            <w:pPr>
              <w:spacing w:after="0"/>
              <w:rPr>
                <w:sz w:val="24"/>
                <w:szCs w:val="24"/>
                <w:color w:val="auto"/>
              </w:rPr>
            </w:pPr>
          </w:p>
        </w:tc>
        <w:tc>
          <w:tcPr>
            <w:tcW w:w="1620" w:type="dxa"/>
            <w:vAlign w:val="bottom"/>
            <w:gridSpan w:val="8"/>
          </w:tcPr>
          <w:p>
            <w:pPr>
              <w:ind w:left="4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3"/>
            <w:vMerge w:val="restart"/>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3"/>
            <w:vMerge w:val="restart"/>
          </w:tcPr>
          <w:p>
            <w:pPr>
              <w:ind w:left="140"/>
              <w:spacing w:after="0" w:line="108"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gridSpan w:val="3"/>
            <w:vMerge w:val="restart"/>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restart"/>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3"/>
                <w:szCs w:val="3"/>
                <w:color w:val="auto"/>
              </w:rPr>
            </w:pPr>
          </w:p>
        </w:tc>
        <w:tc>
          <w:tcPr>
            <w:tcW w:w="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124</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124</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17</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(397)</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452</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1,206</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tcBorders>
            <w:gridSpan w:val="2"/>
            <w:shd w:val="clear" w:color="auto" w:fill="CCEEFF"/>
          </w:tcPr>
          <w:p>
            <w:pPr>
              <w:jc w:val="center"/>
              <w:ind w:left="878"/>
              <w:spacing w:after="0"/>
              <w:rPr>
                <w:sz w:val="20"/>
                <w:szCs w:val="20"/>
                <w:color w:val="auto"/>
              </w:rPr>
            </w:pPr>
            <w:r>
              <w:rPr>
                <w:rFonts w:ascii="Times New Roman" w:cs="Times New Roman" w:eastAsia="Times New Roman" w:hAnsi="Times New Roman"/>
                <w:sz w:val="13"/>
                <w:szCs w:val="13"/>
                <w:b w:val="1"/>
                <w:bCs w:val="1"/>
                <w:color w:val="auto"/>
                <w:w w:val="99"/>
              </w:rPr>
              <w:t>(151)</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($0.16 per share)</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awards</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Purchase of stock</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8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w w:val="98"/>
              </w:rPr>
              <w:t>Compensation expense associated with stock-based</w:t>
            </w: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compensation</w:t>
            </w: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2021</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121</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121</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17</w:t>
            </w: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bottom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(393)</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443</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1,390</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gridSpan w:val="2"/>
            <w:shd w:val="clear" w:color="auto" w:fill="CCEEFF"/>
          </w:tcPr>
          <w:p>
            <w:pPr>
              <w:jc w:val="center"/>
              <w:ind w:left="878"/>
              <w:spacing w:after="0"/>
              <w:rPr>
                <w:sz w:val="20"/>
                <w:szCs w:val="20"/>
                <w:color w:val="auto"/>
              </w:rPr>
            </w:pPr>
            <w:r>
              <w:rPr>
                <w:rFonts w:ascii="Times New Roman" w:cs="Times New Roman" w:eastAsia="Times New Roman" w:hAnsi="Times New Roman"/>
                <w:sz w:val="13"/>
                <w:szCs w:val="13"/>
                <w:b w:val="1"/>
                <w:bCs w:val="1"/>
                <w:color w:val="auto"/>
                <w:w w:val="99"/>
              </w:rPr>
              <w:t>(157)</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 AND BASIS FOR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and reliability. The Company operates 25 plants across the U.S., Canada, Chile, and Brazil, through foreign subsidiaries, and operates facilities through joint ventures. The principal customers for our building solutions are retailers, wholesalers, and homebuilding and industrial businesses, in North America and South America, with limited sales to Asia, Australia, and Europe. References to "LP," the "Company," "we," "our," and "us" refer to Louisiana-Pacific Corporation and its consolidated subsidiaries as a whole.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Presentation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In the opinion of management, all adjustments considered necessary for a fair presentation have been included and are of a normal and recurring nature. These Condensed Consolidated Financial Statements and related Notes should be read in conjunction with our annual report on Form 10-K for the fiscal year ended December 31, 2021, filed with the SEC on February 22, 2022 (2021 Annual Report on Form 10-K). Results of operations for interim periods are not necessarily indicative of results to be expected for an entire year.</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REVENUE</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following table presents our reportable segment revenues, disaggregated by revenue source. We disaggregate revenue from contracts with customers into major product lines. We have determined that disaggregating revenue into these categories achieves the disclosure objective to depict how the nature, amount, timing, and uncertainty of revenue and cash flows are affected by economic factors.</w:t>
      </w:r>
    </w:p>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noted in the segment reporting information in Note 18 below, our reportable segments are Siding, Oriented Strand Board (OSB), Engineered Wood Products (EWP), and South America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9"/>
        </w:trPr>
        <w:tc>
          <w:tcPr>
            <w:tcW w:w="27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EWP</w:t>
            </w:r>
          </w:p>
        </w:tc>
        <w:tc>
          <w:tcPr>
            <w:tcW w:w="10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2"/>
        </w:trPr>
        <w:tc>
          <w:tcPr>
            <w:tcW w:w="540" w:type="dxa"/>
            <w:vAlign w:val="bottom"/>
            <w:tcBorders>
              <w:top w:val="single" w:sz="8" w:color="CCEEFF"/>
              <w:left w:val="single" w:sz="8" w:color="CCEEFF"/>
              <w:bottom w:val="single" w:sz="8" w:color="auto"/>
            </w:tcBorders>
            <w:gridSpan w:val="2"/>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w w:val="92"/>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r>
      <w:tr>
        <w:trPr>
          <w:trHeight w:val="172"/>
        </w:trPr>
        <w:tc>
          <w:tcPr>
            <w:tcW w:w="276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2"/>
              </w:rPr>
              <w:t>(1)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r>
      <w:tr>
        <w:trPr>
          <w:trHeight w:val="168"/>
        </w:trPr>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I-Joist</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2"/>
        </w:trPr>
        <w:tc>
          <w:tcPr>
            <w:tcW w:w="276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LVL</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r>
      <w:tr>
        <w:trPr>
          <w:trHeight w:val="158"/>
        </w:trPr>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w w:val="92"/>
              </w:rPr>
              <w:t>(1)</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w:t>
            </w:r>
          </w:p>
        </w:tc>
      </w:tr>
      <w:tr>
        <w:trPr>
          <w:trHeight w:val="120"/>
        </w:trPr>
        <w:tc>
          <w:tcPr>
            <w:tcW w:w="2760" w:type="dxa"/>
            <w:vAlign w:val="bottom"/>
            <w:tcBorders>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Commodity</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168"/>
        </w:trPr>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OSB - commodity</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r>
      <w:tr>
        <w:trPr>
          <w:trHeight w:val="172"/>
        </w:trPr>
        <w:tc>
          <w:tcPr>
            <w:tcW w:w="276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Plywood</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8"/>
        </w:trPr>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1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20"/>
        </w:trPr>
        <w:tc>
          <w:tcPr>
            <w:tcW w:w="2760" w:type="dxa"/>
            <w:vAlign w:val="bottom"/>
            <w:tcBorders>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Other</w:t>
            </w: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r>
        <w:trPr>
          <w:trHeight w:val="168"/>
        </w:trPr>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85"/>
        </w:trPr>
        <w:tc>
          <w:tcPr>
            <w:tcW w:w="30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2"/>
              </w:rPr>
              <w:t>(1)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8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2021</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4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OSB</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EWP</w:t>
            </w:r>
          </w:p>
        </w:tc>
        <w:tc>
          <w:tcPr>
            <w:tcW w:w="10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South America</w:t>
            </w: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2"/>
        </w:trPr>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CCEEFF"/>
              <w:bottom w:val="single" w:sz="8" w:color="auto"/>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w w:val="92"/>
              </w:rPr>
              <w:t>Value-add</w:t>
            </w:r>
          </w:p>
        </w:tc>
        <w:tc>
          <w:tcPr>
            <w:tcW w:w="2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CCEEFF"/>
            </w:tcBorders>
            <w:shd w:val="clear" w:color="auto" w:fill="CCEEFF"/>
          </w:tcPr>
          <w:p>
            <w:pPr>
              <w:spacing w:after="0"/>
              <w:rPr>
                <w:sz w:val="11"/>
                <w:szCs w:val="11"/>
                <w:color w:val="auto"/>
              </w:rPr>
            </w:pPr>
          </w:p>
        </w:tc>
        <w:tc>
          <w:tcPr>
            <w:tcW w:w="4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I-Joist</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20" w:type="dxa"/>
            <w:vAlign w:val="bottom"/>
            <w:shd w:val="clear" w:color="auto" w:fill="CCEEFF"/>
          </w:tcPr>
          <w:p>
            <w:pPr>
              <w:spacing w:after="0"/>
              <w:rPr>
                <w:sz w:val="14"/>
                <w:szCs w:val="14"/>
                <w:color w:val="auto"/>
              </w:rPr>
            </w:pPr>
          </w:p>
        </w:tc>
        <w:tc>
          <w:tcPr>
            <w:tcW w:w="2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LVL</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LSL</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Commodity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r>
      <w:tr>
        <w:trPr>
          <w:trHeight w:val="168"/>
        </w:trPr>
        <w:tc>
          <w:tcPr>
            <w:tcW w:w="20" w:type="dxa"/>
            <w:vAlign w:val="bottom"/>
          </w:tcPr>
          <w:p>
            <w:pPr>
              <w:spacing w:after="0"/>
              <w:rPr>
                <w:sz w:val="14"/>
                <w:szCs w:val="14"/>
                <w:color w:val="auto"/>
              </w:rPr>
            </w:pPr>
          </w:p>
        </w:tc>
        <w:tc>
          <w:tcPr>
            <w:tcW w:w="27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Plywood</w:t>
            </w:r>
          </w:p>
        </w:tc>
        <w:tc>
          <w:tcPr>
            <w:tcW w:w="22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138"/>
        </w:trPr>
        <w:tc>
          <w:tcPr>
            <w:tcW w:w="20" w:type="dxa"/>
            <w:vAlign w:val="bottom"/>
          </w:tcPr>
          <w:p>
            <w:pPr>
              <w:spacing w:after="0"/>
              <w:rPr>
                <w:sz w:val="11"/>
                <w:szCs w:val="11"/>
                <w:color w:val="auto"/>
              </w:rPr>
            </w:pPr>
          </w:p>
        </w:tc>
        <w:tc>
          <w:tcPr>
            <w:tcW w:w="274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27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8"/>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w:t>
            </w: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Revenue is recognized when obligations under the terms of a contract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2" w:right="31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to promote sales of products, and to maintain competitive pricing. Customer program costs and incentives, including rebates and promotion and volume allowances, are accounted for as deductions from net sales at the time the program is initiated. These reductions from revenue are recorded at the time of sale or the implementation of the program based on management’s best estimates. Estimates are based on historical and projected experience for each type of program or customer. Volume allowances are accrued based on management’s estimates of customer volume achievement and other factors incorporated into customer agreements, such as new product purchases, store sell-through, and merchandising support. Management adjusts accruals when circumstances indicate (typically as a result of a change in volume expectations).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EARNINGS PER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is based upon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(SSARs), restricted stock units, and performance stock units) be excluded from the calculation of diluted earnings per share for the periods in which losses are reported because the effect is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(dollar amounts in millions, except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income attributed to LP</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Dilutive effect of employee stock plans</w:t>
            </w:r>
          </w:p>
        </w:tc>
        <w:tc>
          <w:tcPr>
            <w:tcW w:w="1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used for diluted earnings per share</w:t>
            </w:r>
          </w:p>
        </w:tc>
        <w:tc>
          <w:tcPr>
            <w:tcW w:w="1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Earnings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82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7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earnings</w:t>
            </w: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3"/>
                <w:szCs w:val="13"/>
                <w:color w:val="auto"/>
              </w:rPr>
              <w:t>Diluted earnings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820" w:type="dxa"/>
            <w:vAlign w:val="bottom"/>
            <w:vMerge w:val="continue"/>
          </w:tcPr>
          <w:p>
            <w:pPr>
              <w:spacing w:after="0"/>
              <w:rPr>
                <w:sz w:val="11"/>
                <w:szCs w:val="11"/>
                <w:color w:val="auto"/>
              </w:rPr>
            </w:pPr>
          </w:p>
        </w:tc>
        <w:tc>
          <w:tcPr>
            <w:tcW w:w="1180" w:type="dxa"/>
            <w:vAlign w:val="bottom"/>
            <w:tcBorders>
              <w:bottom w:val="single" w:sz="8" w:color="auto"/>
            </w:tcBorders>
          </w:tcPr>
          <w:p>
            <w:pPr>
              <w:jc w:val="right"/>
              <w:ind w:right="103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11"/>
                <w:szCs w:val="11"/>
                <w:color w:val="auto"/>
              </w:rPr>
            </w:pPr>
          </w:p>
        </w:tc>
        <w:tc>
          <w:tcPr>
            <w:tcW w:w="1180" w:type="dxa"/>
            <w:vAlign w:val="bottom"/>
            <w:tcBorders>
              <w:bottom w:val="single" w:sz="8" w:color="auto"/>
            </w:tcBorders>
          </w:tcPr>
          <w:p>
            <w:pPr>
              <w:jc w:val="right"/>
              <w:ind w:right="103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FAIR VALUE MEASUREMENTS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2" w:name="page13"/>
    <w:bookmarkEnd w:id="12"/>
    <w:p>
      <w:pPr>
        <w:jc w:val="both"/>
        <w:spacing w:after="0" w:line="287" w:lineRule="auto"/>
        <w:rPr>
          <w:sz w:val="20"/>
          <w:szCs w:val="20"/>
          <w:color w:val="auto"/>
        </w:rPr>
      </w:pPr>
      <w:r>
        <w:rPr>
          <w:rFonts w:ascii="Times New Roman" w:cs="Times New Roman" w:eastAsia="Times New Roman" w:hAnsi="Times New Roman"/>
          <w:sz w:val="14"/>
          <w:szCs w:val="14"/>
          <w:color w:val="auto"/>
        </w:rPr>
        <w:t>Trading securities consist of rabbi trust financial assets, which are recorded in Other assets in our Condensed Consolidated Balance Sheets. The assets of the rabbi trust are invested in mutual funds and are reported at fair value based on active market quotations, which represent Level 1 inputs.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3.625% Senior Notes due in 2029 (2029 Senior Notes) was estimated to be $324 million and $358 million as of March 31, 2022, and December 31, 2021, respectively, based upon market quotations. The 2029 Senior Notes and other long-term debt are categorized as Level 1 in the U.S. GAAP fair value hierarchy. Fair values are based on trading activity among the Company’s lenders and the average bid and ask price as determined using published rates.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outstanding amounts borrowed under our Amended Credit Facility (defined below) as of March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Carrying amounts reported on the balance sheet for cash and cash equivalents, accounts receivables, and accounts payable approximate fair value due to the short-term maturity of these items.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RECEIVABLES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consisted of the following (dollar amounts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3"/>
        </w:trPr>
        <w:tc>
          <w:tcPr>
            <w:tcW w:w="71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Trade receivables</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receivable</w:t>
            </w:r>
          </w:p>
        </w:tc>
        <w:tc>
          <w:tcPr>
            <w:tcW w:w="166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5"/>
        </w:trPr>
        <w:tc>
          <w:tcPr>
            <w:tcW w:w="71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receivables are primarily generated by sales of our products to our wholesale and retail customers. Other receivables as of March 31, 2022 and December 31, 2021, primarily consist of sales tax receivables, vendor rebates, and other miscellaneous receivables.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INVENTORIES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Inventories are valued at the lower of cost or net realizable value. Inventory cost includes materials, labor, and operating overhead. The major types of inventories (work in process is not material and is included in Semi-finished inventory) are as follows (dollar amounts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3"/>
        </w:trPr>
        <w:tc>
          <w:tcPr>
            <w:tcW w:w="71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Logs</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raw materials</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Semi-finished inventory</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r>
      <w:tr>
        <w:trPr>
          <w:trHeight w:val="185"/>
        </w:trPr>
        <w:tc>
          <w:tcPr>
            <w:tcW w:w="71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DIVESTITURES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2022, we sold our 50% equity interest in two joint ventures that produce I-joists to Resolute Forest Products Inc. (Resolute) for $59 million. The total net carrying value of our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3" w:name="page14"/>
    <w:bookmarkEnd w:id="13"/>
    <w:p>
      <w:pPr>
        <w:jc w:val="both"/>
        <w:spacing w:after="0" w:line="270" w:lineRule="auto"/>
        <w:rPr>
          <w:sz w:val="20"/>
          <w:szCs w:val="20"/>
          <w:color w:val="auto"/>
        </w:rPr>
      </w:pPr>
      <w:r>
        <w:rPr>
          <w:rFonts w:ascii="Times New Roman" w:cs="Times New Roman" w:eastAsia="Times New Roman" w:hAnsi="Times New Roman"/>
          <w:sz w:val="14"/>
          <w:szCs w:val="14"/>
          <w:color w:val="auto"/>
        </w:rPr>
        <w:t>investment at the date of sale was $19 million, and we recognized a gain associated with the sale of $39 million in the three-month period ended March 31, 2022, within Other operating credits and charges, net, in the Condensed Consolidated Statements of Income. The Condensed Consolidated Statements of Income for the three months ended March 31, 2022 and 2021, include income from these joint ventures of $5 million and $2 million, respectively.</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closing of the sale of our equity interest in the joint ventures, LP entered into separate agreements with Resolute to continue serving as the exclusive distributor of the engineered wood products manufactured at the two operations.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GOODWILL AND OTHER INTANGIBLES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goodwill and other intangible assets for the three months ended March 31, 2022, are provided in the following table (dollar amounts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Timber licenses</w:t>
            </w:r>
            <w:r>
              <w:rPr>
                <w:rFonts w:ascii="Times New Roman" w:cs="Times New Roman" w:eastAsia="Times New Roman" w:hAnsi="Times New Roman"/>
                <w:sz w:val="16"/>
                <w:szCs w:val="16"/>
                <w:b w:val="1"/>
                <w:bCs w:val="1"/>
                <w:color w:val="auto"/>
                <w:vertAlign w:val="superscript"/>
              </w:rPr>
              <w:t>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Developed Technology</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Trademarks</w:t>
            </w:r>
          </w:p>
        </w:tc>
      </w:tr>
      <w:tr>
        <w:trPr>
          <w:trHeight w:val="16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 December 31, 2021</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0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17</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2"/>
              </w:rPr>
              <w:t>(1)</w:t>
            </w: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w w:val="92"/>
              </w:rPr>
              <w:t>(1)</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 March 31, 2022</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Timber licenses are included in Timber and timberlands on the Condensed Consolidated Balance Sheets.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REDEEMABLE NONCONTROLLING INTEREST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Redeemable noncontrolling interest is interest in subsidiaries that is redeemable outside of our control either for cash or other assets. These interests are classified as mezzanine equity and measured at the greater of estimated redemption value or carrying value at the end of each reporting period. Net loss attributed to noncontrolling interest is recorded in the Condensed Consolidated Statements of Income. Any adjustments to the redemption value of redeemable noncontrolling interest are recognized in either net income or through accumulated paid-in capital, depending on the nature of the underlying security (preferred or common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redeemable noncontrolling interest as of March 31, 2022, are as follows (dollar amounts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 December 31, 2021</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3"/>
                <w:szCs w:val="13"/>
                <w:color w:val="auto"/>
                <w:w w:val="92"/>
              </w:rPr>
              <w:t>(1)</w:t>
            </w:r>
          </w:p>
        </w:tc>
      </w:tr>
      <w:tr>
        <w:trPr>
          <w:trHeight w:val="18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 March 31, 2022</w:t>
            </w: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center"/>
              <w:ind w:left="1316"/>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INCOME TAXES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interim periods, we recognize income tax expense by applying the estimated annual effective income tax rate to year-to-date results unless this method does not result in a reliable estimate of year-to-date income tax expense. Each period, the income tax accrual is adjusted to the latest estimate, and the difference from the previously accrued year-to-date balance is adjusted in the current quarter. Changes in profitability estimates in various jurisdictions will impact our quarterly effective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4" w:name="page15"/>
    <w:bookmarkEnd w:id="14"/>
    <w:p>
      <w:pPr>
        <w:jc w:val="both"/>
        <w:spacing w:after="0" w:line="287" w:lineRule="auto"/>
        <w:rPr>
          <w:sz w:val="20"/>
          <w:szCs w:val="20"/>
          <w:color w:val="auto"/>
        </w:rPr>
      </w:pPr>
      <w:r>
        <w:rPr>
          <w:rFonts w:ascii="Times New Roman" w:cs="Times New Roman" w:eastAsia="Times New Roman" w:hAnsi="Times New Roman"/>
          <w:sz w:val="14"/>
          <w:szCs w:val="14"/>
          <w:color w:val="auto"/>
        </w:rPr>
        <w:t>The tax provision for income taxes for the three months ended March 31, 2022 and 2021, reflected an estimated annual tax rate of 24% and 25%, respectively, excluding discrete items discussed below. The total effective tax rate for the three months ended March 31, 2022 was 22%, compared to 23% for the comparable period in 2021.</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recognized a net discrete tax benefit of $9 million and $5 million during the three months ended March 31, 2022 and 2021, respectively, with the most significant benefit related to excess tax benefits from stock-based compensation for both periods.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STOCK-BASED COMPENSATION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stock award plans for key employees and directors, pursuant to which awards of stock options, SSARs, restricted stock, restricted stock units, and performance stock units are granted. In addition, we offer an employee stock purchase plan to employees.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2022, we granted awards of 135,381 restricted stock units and 88,239 performance stock units, at an average grant date fair value of $70.55 per share.</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recognized $7 million and $1 million in stock-based compensation expense during the three months ended March 31, 2022 and 2021, respectively. At March 31, 2022, there was $36 million of unrecognized stock-based compensation expense related to unvested performance stock units, restricted stock units, and SSARs attributable to future service.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COMMITMENTS AND CONTINGENCIES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reserves for various contingent liabilities as follows (dollar amounts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3"/>
        </w:trPr>
        <w:tc>
          <w:tcPr>
            <w:tcW w:w="6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Environmental reserves</w:t>
            </w:r>
          </w:p>
        </w:tc>
        <w:tc>
          <w:tcPr>
            <w:tcW w:w="1820" w:type="dxa"/>
            <w:vAlign w:val="bottom"/>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reserves</w:t>
            </w:r>
          </w:p>
        </w:tc>
        <w:tc>
          <w:tcPr>
            <w:tcW w:w="1820" w:type="dxa"/>
            <w:vAlign w:val="bottom"/>
          </w:tcPr>
          <w:p>
            <w:pPr>
              <w:spacing w:after="0"/>
              <w:rPr>
                <w:sz w:val="14"/>
                <w:szCs w:val="14"/>
                <w:color w:val="auto"/>
              </w:rPr>
            </w:pP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6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contingencies</w:t>
            </w:r>
          </w:p>
        </w:tc>
        <w:tc>
          <w:tcPr>
            <w:tcW w:w="18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6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Current portion (included in Accounts payable and accrued liabilities)</w:t>
            </w:r>
          </w:p>
        </w:tc>
        <w:tc>
          <w:tcPr>
            <w:tcW w:w="1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3"/>
                <w:szCs w:val="13"/>
                <w:color w:val="auto"/>
                <w:w w:val="92"/>
              </w:rPr>
              <w:t>(1)</w:t>
            </w:r>
          </w:p>
        </w:tc>
      </w:tr>
      <w:tr>
        <w:trPr>
          <w:trHeight w:val="185"/>
        </w:trPr>
        <w:tc>
          <w:tcPr>
            <w:tcW w:w="6640" w:type="dxa"/>
            <w:vAlign w:val="bottom"/>
            <w:tcBorders>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Long-term portion</w:t>
            </w:r>
          </w:p>
        </w:tc>
        <w:tc>
          <w:tcPr>
            <w:tcW w:w="1820" w:type="dxa"/>
            <w:vAlign w:val="bottom"/>
            <w:tcBorders>
              <w:bottom w:val="single" w:sz="8" w:color="auto"/>
            </w:tcBorders>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4"/>
          <w:szCs w:val="14"/>
          <w:color w:val="auto"/>
        </w:rPr>
        <w:t>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From time to time, we and our subsidiaries are parties to certain legal proceedings. Based on the information currently available, management believes the resolution of such proceedings will not have a material effect on our financial position, results of operations, cash flows, or liquidity.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IMPAIRMENT OF LONG-LIVED ASSETS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review the carrying values of our long-lived assets for potential impairments and believe we have adequate support for the carrying value of our long-lived assets.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 As of March 31, 2022, there were no indications of impairment.</w:t>
      </w:r>
    </w:p>
    <w:p>
      <w:pPr>
        <w:jc w:val="both"/>
        <w:spacing w:after="0" w:line="259" w:lineRule="auto"/>
        <w:rPr>
          <w:sz w:val="20"/>
          <w:szCs w:val="20"/>
          <w:color w:val="auto"/>
        </w:rPr>
      </w:pPr>
      <w:r>
        <w:rPr>
          <w:rFonts w:ascii="Times New Roman" w:cs="Times New Roman" w:eastAsia="Times New Roman" w:hAnsi="Times New Roman"/>
          <w:sz w:val="14"/>
          <w:szCs w:val="14"/>
          <w:color w:val="auto"/>
        </w:rPr>
        <w:t>We also review from time to time potential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NOTE 14. PRODUCT WARRANTIES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warranties on the sale of most of our products and record an accrual for estimated future claims. Such accruals are based upon historical experience and management’s estimate of the level of future claims. The activity in warranty reserves for the three months ended March 31, 2022 and 2021, is summarized in the following table (dollar amounts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300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40" w:type="dxa"/>
            <w:vAlign w:val="bottom"/>
            <w:tcBorders>
              <w:bottom w:val="single" w:sz="8" w:color="auto"/>
            </w:tcBorders>
          </w:tcPr>
          <w:p>
            <w:pPr>
              <w:spacing w:after="0"/>
              <w:rPr>
                <w:sz w:val="14"/>
                <w:szCs w:val="14"/>
                <w:color w:val="auto"/>
              </w:rPr>
            </w:pPr>
          </w:p>
        </w:tc>
      </w:tr>
      <w:tr>
        <w:trPr>
          <w:trHeight w:val="162"/>
        </w:trPr>
        <w:tc>
          <w:tcPr>
            <w:tcW w:w="7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to expense</w:t>
            </w: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1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8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warranty reserves</w:t>
            </w:r>
          </w:p>
        </w:tc>
        <w:tc>
          <w:tcPr>
            <w:tcW w:w="1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portion of warranty reserves (included in Accounts payable and accrued liabilities)</w:t>
            </w:r>
          </w:p>
        </w:tc>
        <w:tc>
          <w:tcPr>
            <w:tcW w:w="1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840" w:type="dxa"/>
            <w:vAlign w:val="bottom"/>
          </w:tcPr>
          <w:p>
            <w:pPr>
              <w:ind w:left="280"/>
              <w:spacing w:after="0" w:line="146" w:lineRule="exact"/>
              <w:rPr>
                <w:sz w:val="20"/>
                <w:szCs w:val="20"/>
                <w:color w:val="auto"/>
              </w:rPr>
            </w:pPr>
            <w:r>
              <w:rPr>
                <w:rFonts w:ascii="Times New Roman" w:cs="Times New Roman" w:eastAsia="Times New Roman" w:hAnsi="Times New Roman"/>
                <w:sz w:val="13"/>
                <w:szCs w:val="13"/>
                <w:color w:val="auto"/>
              </w:rPr>
              <w:t>Long-term portion of warranty reserves (included in Other long-term liabilities)</w:t>
            </w:r>
          </w:p>
        </w:tc>
        <w:tc>
          <w:tcPr>
            <w:tcW w:w="122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78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continue to monitor warranty and other claims associated with our products and believe as of March 31, 2022, that the warranty reserve balances associated with these matters are adequate to cover future warranty payments. However, it is possible that additional changes may be required in the future.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DEFINED BENEFIT PENSION PLANS</w:t>
      </w:r>
    </w:p>
    <w:p>
      <w:pPr>
        <w:spacing w:after="0" w:line="20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4"/>
          <w:szCs w:val="14"/>
          <w:color w:val="auto"/>
        </w:rPr>
        <w:t>The following table summarizes our net periodic pension cost for our defined benefit pension and postretirement plans during the three months ended March 31, 2022 and 2021 (dollar amounts in millions):</w:t>
      </w: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300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r>
      <w:tr>
        <w:trPr>
          <w:trHeight w:val="161"/>
        </w:trPr>
        <w:tc>
          <w:tcPr>
            <w:tcW w:w="78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40" w:type="dxa"/>
            <w:vAlign w:val="bottom"/>
            <w:tcBorders>
              <w:bottom w:val="single" w:sz="8" w:color="auto"/>
            </w:tcBorders>
          </w:tcPr>
          <w:p>
            <w:pPr>
              <w:spacing w:after="0"/>
              <w:rPr>
                <w:sz w:val="14"/>
                <w:szCs w:val="14"/>
                <w:color w:val="auto"/>
              </w:rPr>
            </w:pPr>
          </w:p>
        </w:tc>
      </w:tr>
      <w:tr>
        <w:trPr>
          <w:trHeight w:val="162"/>
        </w:trPr>
        <w:tc>
          <w:tcPr>
            <w:tcW w:w="7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Service cost</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8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 components of net periodic pension cost</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w:t>
            </w: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12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8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2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1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Amortization of net loss</w:t>
            </w:r>
          </w:p>
        </w:tc>
        <w:tc>
          <w:tcPr>
            <w:tcW w:w="1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5"/>
        </w:trPr>
        <w:tc>
          <w:tcPr>
            <w:tcW w:w="784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periodic pension cost</w:t>
            </w: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Other components of net periodic pension cost are included in Other non-operating items on our Condensed Consolidated Statements of Income.</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2021, the Company initiated the termination of our frozen U.S. and Canadian defined benefit pension plans (the Plan), which would result in the full settlement of the Company's Plan obligations. The distribution of Plan assets pursuant to the termination will not be made until the Plan termination satisfies all regulatory requirements, which is expected to occur by the end of 2022. Plan participants will receive their full accrued benefits from Plan assets by electing either lump-sum distributions or annuity contracts with a qualifying third-party annuity provider. The Plan termination is expected to result in pension settlement expense in 2022, which will be determined based on prevailing market conditions, the actual lump-sum distributions, and annuity purchase rates at the date of distribution. As a result, we are currently unable to reasonably estimate the timing or final amount of such settlement charges. Upon settlement, we expect to recognize pre-tax pension settlement charges that will include (1) a non-cash charge for the recognition of all pre-tax actuarial losses accumulated in Accumulated other comprehensive loss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17" w:name="page18"/>
    <w:bookmarkEnd w:id="17"/>
    <w:p>
      <w:pPr>
        <w:spacing w:after="0" w:line="287" w:lineRule="auto"/>
        <w:rPr>
          <w:sz w:val="20"/>
          <w:szCs w:val="20"/>
          <w:color w:val="auto"/>
        </w:rPr>
      </w:pPr>
      <w:r>
        <w:rPr>
          <w:rFonts w:ascii="Times New Roman" w:cs="Times New Roman" w:eastAsia="Times New Roman" w:hAnsi="Times New Roman"/>
          <w:sz w:val="14"/>
          <w:szCs w:val="14"/>
          <w:color w:val="auto"/>
        </w:rPr>
        <w:t>million as of March 31, 2022) and (2) any cash contributions to settle the Plan’s obligations ($8 million net projected benefit obligation as of March 31, 2022). The actual amount of the settlement charges and any potential cash contribution will depend on various factors, including interest rates, Plan asset returns, and the lump-sum election rate.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ACCUMULATED COMPREHENSIVE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comprehensive loss is provided in the following table for the three months ended March 31, 2022 and 2021 (dollar amounts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35"/>
              <w:spacing w:after="0"/>
              <w:rPr>
                <w:sz w:val="20"/>
                <w:szCs w:val="20"/>
                <w:color w:val="auto"/>
              </w:rPr>
            </w:pPr>
            <w:r>
              <w:rPr>
                <w:rFonts w:ascii="Times New Roman" w:cs="Times New Roman" w:eastAsia="Times New Roman" w:hAnsi="Times New Roman"/>
                <w:sz w:val="13"/>
                <w:szCs w:val="13"/>
                <w:b w:val="1"/>
                <w:bCs w:val="1"/>
                <w:color w:val="auto"/>
                <w:w w:val="95"/>
              </w:rPr>
              <w:t>Translation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w:t>
            </w:r>
          </w:p>
        </w:tc>
        <w:tc>
          <w:tcPr>
            <w:tcW w:w="0" w:type="dxa"/>
            <w:vAlign w:val="bottom"/>
          </w:tcPr>
          <w:p>
            <w:pPr>
              <w:spacing w:after="0"/>
              <w:rPr>
                <w:sz w:val="1"/>
                <w:szCs w:val="1"/>
                <w:color w:val="auto"/>
              </w:rPr>
            </w:pPr>
          </w:p>
        </w:tc>
      </w:tr>
      <w:tr>
        <w:trPr>
          <w:trHeight w:val="180"/>
        </w:trPr>
        <w:tc>
          <w:tcPr>
            <w:tcW w:w="5500" w:type="dxa"/>
            <w:vAlign w:val="bottom"/>
          </w:tcPr>
          <w:p>
            <w:pPr>
              <w:ind w:left="20"/>
              <w:spacing w:after="0" w:line="181"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0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3"/>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1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500" w:type="dxa"/>
            <w:vAlign w:val="bottom"/>
          </w:tcPr>
          <w:p>
            <w:pPr>
              <w:spacing w:after="0"/>
              <w:rPr>
                <w:sz w:val="23"/>
                <w:szCs w:val="23"/>
                <w:color w:val="auto"/>
              </w:rPr>
            </w:pPr>
          </w:p>
        </w:tc>
        <w:tc>
          <w:tcPr>
            <w:tcW w:w="100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center"/>
              <w:ind w:left="235"/>
              <w:spacing w:after="0"/>
              <w:rPr>
                <w:sz w:val="20"/>
                <w:szCs w:val="20"/>
                <w:color w:val="auto"/>
              </w:rPr>
            </w:pPr>
            <w:r>
              <w:rPr>
                <w:rFonts w:ascii="Times New Roman" w:cs="Times New Roman" w:eastAsia="Times New Roman" w:hAnsi="Times New Roman"/>
                <w:sz w:val="13"/>
                <w:szCs w:val="13"/>
                <w:b w:val="1"/>
                <w:bCs w:val="1"/>
                <w:color w:val="auto"/>
                <w:w w:val="95"/>
              </w:rPr>
              <w:t>Translation</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vMerge w:val="restart"/>
          </w:tcPr>
          <w:p>
            <w:pPr>
              <w:jc w:val="right"/>
              <w:ind w:right="4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5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w:t>
            </w:r>
          </w:p>
        </w:tc>
        <w:tc>
          <w:tcPr>
            <w:tcW w:w="0" w:type="dxa"/>
            <w:vAlign w:val="bottom"/>
          </w:tcPr>
          <w:p>
            <w:pPr>
              <w:spacing w:after="0"/>
              <w:rPr>
                <w:sz w:val="1"/>
                <w:szCs w:val="1"/>
                <w:color w:val="auto"/>
              </w:rPr>
            </w:pPr>
          </w:p>
        </w:tc>
      </w:tr>
      <w:tr>
        <w:trPr>
          <w:trHeight w:val="170"/>
        </w:trPr>
        <w:tc>
          <w:tcPr>
            <w:tcW w:w="55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0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5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10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Amounts of actuarial loss and prior service cost are components of net periodic benefit cost.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OTHER OPERATING AND NON-OPERATING ITEMS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2022, we recognized a gain of $39 million on the sale of our 50% interest in two joint ventures. See Note 7 above. In addition, we incurred severance and other charges of $1 million related to certain reorganizations.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2021, we recorded a gain of $1 million related to the sale of assets previously classified as held for sale, offset by other expenses, including severance associated with certain reorganizations within the corporate office.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non-operating items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2022, we recorded realized foreign currency losses of $9 million primarily related to the strengthening of the Chilean peso and Brazilian real.</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2021, we recorded an early debt extinguishment charge of $11 million related to the redemption of our 2024 Senior Notes, offset by a foreign currency gain of $1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NOTE 18. SELECTED SEGMENT DATA</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in four segments: Siding, OSB, EWP, and South America. Our business units have been aggregated into these four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the performance of our business segments based on net sales and Adjusted EBITDA. Accordingly, our chief operating decision maker evaluates performance and allocates resources based primarily on net sales and Adjusted EBITDA for our business segments. Adjusted EBITDA is a non-GAAP financial measure and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about our product segments is as follows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9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820" w:type="dxa"/>
            <w:vAlign w:val="bottom"/>
          </w:tcPr>
          <w:p>
            <w:pPr>
              <w:spacing w:after="0"/>
              <w:rPr>
                <w:sz w:val="13"/>
                <w:szCs w:val="13"/>
                <w:color w:val="auto"/>
              </w:rPr>
            </w:pPr>
          </w:p>
        </w:tc>
        <w:tc>
          <w:tcPr>
            <w:tcW w:w="11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2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Siding</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0" w:type="dxa"/>
            <w:vAlign w:val="bottom"/>
          </w:tcPr>
          <w:p>
            <w:pPr>
              <w:spacing w:after="0"/>
              <w:rPr>
                <w:sz w:val="1"/>
                <w:szCs w:val="1"/>
                <w:color w:val="auto"/>
              </w:rPr>
            </w:pPr>
          </w:p>
        </w:tc>
      </w:tr>
      <w:tr>
        <w:trPr>
          <w:trHeight w:val="168"/>
        </w:trPr>
        <w:tc>
          <w:tcPr>
            <w:tcW w:w="7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OSB</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EWP</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68"/>
        </w:trPr>
        <w:tc>
          <w:tcPr>
            <w:tcW w:w="7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South America</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Intersegment sales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sales</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1,337</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PROFIT BY SEGMENT</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82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attributed to LP</w:t>
            </w: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636</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EWP</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 America</w:t>
            </w: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636</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SUBSEQUENT EVENT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2, 2021, LP's Board of Directors authorized the Second 2021 Share Repurchase Program under which we may repurchase up to $500 million of shares of our common stock.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 to March 31, 2022, through May 3, 2022, we used $182 million to repurchase 2.9 million shares of LP common stock under the Second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statements that are forward-looking statements that are based on the beliefs of our management, as well as assumptions made by, and information currently available to, our management. See "Cautionary Statement Regarding Forward-Looking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serve these markets, we operate in four segments: Siding, OSB, EWP, and South America.</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2021, we ceased Laminated Strand Lumber (LSL) production at our Houlton, Maine facility to begin the conversion of that facility to Siding Solutions (defined below) production. We continue to explore strategic alternatives with respect to the remaining EWP segment, including a possible sale in whole or in part, as previously announced.</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three months ended March 31, 2022, we sold our 50% equity interest in two joint ventures that produce I-joists to Resolute Forest Products Inc. (Resolute) for $59 million. The joint ventures were comprised of Resolute-LP Engineered Wood Larouche Inc. in Larouche, Quebec, and Resolute-LP Engineered Wood St-Prime Limited Partnership in Saint-Prime, Quebec. The total net carrying value of our equity method investment at the date of sale was $19 million. We recognized a gain on the sale of $39 million in the three-month period ended March 31, 2022, within Other operating credits and charges, net, in the Condensed Consolidated Statements of Income. The Condensed Consolidated Statements of Income for the three months ended March 31, 2022 and 2021 include income from these joint ventures of $5 million and $2 million, respectively. In connection with the closing of the sale of our equity interest in the joint ventures, LP entered into separate agreements with Resolute to continue serving as the exclusive distributor of the engineered wood products manufactured at the two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Demand for our Building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Demand for our products correlates positively with new home construction and repair and remodeling activity in North America, which historically has been characterized by significant cyclicality.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U.S. Department of Census reported on April 19, 2022, that actual single housing starts were 3% higher for the three months ended March 31, 2022, as compared to the same period in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Repair and remodeling activity is difficult to reasonably measure, but many indications, including the increase in LP’s retail sales, suggest that repair and remodeling activity is continuing to grow.</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Although housing market demand has recently been very strong, future economic conditions in the United States and the demand for homes remain uncertain due to continuing COVID-19-related disruptions, government directives, actions and economic relief efforts related thereto, and the impact of these actions on the economy, employment levels, consumer confidence, and financial markets, among other things. Additionally, as a result of increased demand in the housing market and a strengthening economy in the United States, we have experienced increases in material prices, supply disruptions, and labor shortages, which will be a challenge for LP as we continue to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Supply and Demand for OSB</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OSB is a commodity product, and it is subject to competition from manufacturers worldwide. Product supply is influenced primarily by fluctuations in available manufacturing capacity and imports. The ratio of overall OSB demand to capacity generally drives price. We experienced increased demand for commodity OSB during the three months ended March 31, 2022; however, we cannot predict whether the prices of our OSB products will remain at current levels or increase or decrease in the future.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factors affecting our results, refer to the “Overview” within our “Management's Discussion and Analysis of Financial Condition and Results of Operations” section and our “Risk Factors” section contained in our 2021 Annual Report on Form 10-K, and to the “Cautionary Statement Regarding Forward-Looking Statements” section in this quarterly report on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Critical Accounting Policies and Significant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Note 1 of the Notes to the Condensed Consolidated Financial Statements included in our 2021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there have been no changes in the application of principles, methods, and assumptions used to determine our significant estimates since December 31, 2021, we may be required to revise certain accounting estimates and judgments related to the economic and business impact of the COVID-19 pandemic or the invasion of Ukraine by Russia, such as, but not limited to, those related to the valuation of goodwill, intangibles, long-lived assets, accounts receivable, and inventory, which could have a material adverse effect on our financial position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Non-GAAP Financial Measures and Other Key Performance Indicators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income attributed to LP before interest expense, provision for income taxes, depreciation and amortization, and exclude stock-based compensation expense, loss on impairment attributed to LP, product-line discontinuance charges, other operating credits and charges, net, loss on early debt extinguishment, investment income, pension settlement charges, and other non-operating items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excluding loss on impairment attributed to LP, product-line discontinuance charges, interest expense outside of normal operations, other operating credits and charges, net, loss on early debt extinguishment, gain (loss) on acquisition, pension settlement charges, and adjusting for a normalized tax rate as Adjusted Income (Adjusted Income). We also disclose Adjusted Diluted EPS,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Adjusted EBITDA, Adjusted Income, and Adjusted Diluted EPS are not substitutes for the U.S. GAAP measures of net income and net income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2" w:name="page23"/>
    <w:bookmarkEnd w:id="22"/>
    <w:p>
      <w:pPr>
        <w:spacing w:after="0" w:line="287" w:lineRule="auto"/>
        <w:rPr>
          <w:sz w:val="20"/>
          <w:szCs w:val="20"/>
          <w:color w:val="auto"/>
        </w:rPr>
      </w:pPr>
      <w:r>
        <w:rPr>
          <w:rFonts w:ascii="Times New Roman" w:cs="Times New Roman" w:eastAsia="Times New Roman" w:hAnsi="Times New Roman"/>
          <w:sz w:val="14"/>
          <w:szCs w:val="14"/>
          <w:color w:val="auto"/>
        </w:rPr>
        <w:t>EBITDA, Adjusted Income, and Adjusted Diluted EPS have material limitations as performance measures because they exclude items that are actually incurred or experienced in connection with the operation of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Net income to Adjusted EBITDA (dollar amounts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r>
      <w:tr>
        <w:trPr>
          <w:trHeight w:val="16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attributed to LP</w:t>
            </w: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2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0"/>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EWP</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South America</w:t>
            </w: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The following table provides the reconciliation of Net income to Adjusted Income (dollar amounts in millions, except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r>
      <w:tr>
        <w:trPr>
          <w:trHeight w:val="16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r>
      <w:tr>
        <w:trPr>
          <w:trHeight w:val="16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attributed to LP</w:t>
            </w: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1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Reported tax provision</w:t>
            </w:r>
          </w:p>
        </w:tc>
        <w:tc>
          <w:tcPr>
            <w:tcW w:w="1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58"/>
        </w:trPr>
        <w:tc>
          <w:tcPr>
            <w:tcW w:w="7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Adjusted income before tax</w:t>
            </w: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170"/>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Normalized tax provision at 25%</w:t>
            </w:r>
          </w:p>
        </w:tc>
        <w:tc>
          <w:tcPr>
            <w:tcW w:w="1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3"/>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Income</w:t>
            </w:r>
          </w:p>
        </w:tc>
        <w:tc>
          <w:tcPr>
            <w:tcW w:w="118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439</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320</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2"/>
        </w:trPr>
        <w:tc>
          <w:tcPr>
            <w:tcW w:w="7820" w:type="dxa"/>
            <w:vAlign w:val="bottom"/>
            <w:shd w:val="clear" w:color="auto" w:fill="CCEEFF"/>
          </w:tcPr>
          <w:p>
            <w:pPr>
              <w:ind w:left="100"/>
              <w:spacing w:after="0" w:line="148" w:lineRule="exact"/>
              <w:rPr>
                <w:sz w:val="20"/>
                <w:szCs w:val="20"/>
                <w:color w:val="auto"/>
              </w:rPr>
            </w:pPr>
            <w:r>
              <w:rPr>
                <w:rFonts w:ascii="Times New Roman" w:cs="Times New Roman" w:eastAsia="Times New Roman" w:hAnsi="Times New Roman"/>
                <w:sz w:val="13"/>
                <w:szCs w:val="13"/>
                <w:color w:val="auto"/>
              </w:rPr>
              <w:t>Diluted shares outstanding</w:t>
            </w: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9"/>
        </w:trPr>
        <w:tc>
          <w:tcPr>
            <w:tcW w:w="7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net income per share attributed to LP</w:t>
            </w:r>
          </w:p>
        </w:tc>
        <w:tc>
          <w:tcPr>
            <w:tcW w:w="1180" w:type="dxa"/>
            <w:vAlign w:val="bottom"/>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5.60</w:t>
            </w:r>
          </w:p>
        </w:tc>
        <w:tc>
          <w:tcPr>
            <w:tcW w:w="100" w:type="dxa"/>
            <w:vAlign w:val="bottom"/>
          </w:tcPr>
          <w:p>
            <w:pPr>
              <w:spacing w:after="0"/>
              <w:rPr>
                <w:sz w:val="14"/>
                <w:szCs w:val="14"/>
                <w:color w:val="auto"/>
              </w:rPr>
            </w:pPr>
          </w:p>
        </w:tc>
        <w:tc>
          <w:tcPr>
            <w:tcW w:w="1180" w:type="dxa"/>
            <w:vAlign w:val="bottom"/>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3.00</w:t>
            </w: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Diluted EPS</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Indicators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addition, management monitors certain key performance indicators to evaluate our business performance, which include our Overall Equipment Effectiveness (OEE) and our sales volume relative to housing starts, as provided by reports from the U.S. Department of Census.</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tables set forth: (1) housing starts, (2) our North American sales volume, and (3) OEE. We consider the following items to be key performance indicators because LP’s management uses these metrics to evaluate our business and trends, measure our performance, and make strategic decisions, and believes that the key performance indicators presented provide additional perspective and insights when analyzing the core operating performance of LP. These key performance indicators should not be considered superior to, as a substitute for or as an alternative to, and should be considered in conjunction with, the U.S. GAAP financial measures presented herein. These measures may not be comparable to similarly-titled performance indicators used by other companies.</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similarly-titled indicators reported by other companies.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tcPr>
          <w:p>
            <w:pPr>
              <w:spacing w:after="0"/>
              <w:rPr>
                <w:sz w:val="14"/>
                <w:szCs w:val="14"/>
                <w:color w:val="auto"/>
              </w:rPr>
            </w:pPr>
          </w:p>
        </w:tc>
        <w:tc>
          <w:tcPr>
            <w:tcW w:w="3420" w:type="dxa"/>
            <w:vAlign w:val="bottom"/>
            <w:tcBorders>
              <w:bottom w:val="single" w:sz="8" w:color="auto"/>
            </w:tcBorders>
            <w:gridSpan w:val="3"/>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61"/>
        </w:trPr>
        <w:tc>
          <w:tcPr>
            <w:tcW w:w="786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786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3"/>
                <w:szCs w:val="13"/>
                <w:b w:val="1"/>
                <w:bCs w:val="1"/>
                <w:color w:val="auto"/>
              </w:rPr>
              <w:t>Housing starts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68"/>
        </w:trPr>
        <w:tc>
          <w:tcPr>
            <w:tcW w:w="7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Single-Family</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r>
      <w:tr>
        <w:trPr>
          <w:trHeight w:val="1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Multi-Family</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0"/>
        </w:trPr>
        <w:tc>
          <w:tcPr>
            <w:tcW w:w="7860" w:type="dxa"/>
            <w:vAlign w:val="bottom"/>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r>
      <w:tr>
        <w:trPr>
          <w:trHeight w:val="20"/>
        </w:trPr>
        <w:tc>
          <w:tcPr>
            <w:tcW w:w="78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4" w:name="page25"/>
    <w:bookmarkEnd w:id="24"/>
    <w:p>
      <w:pPr>
        <w:ind w:left="80" w:hanging="61"/>
        <w:spacing w:after="0"/>
        <w:tabs>
          <w:tab w:leader="none" w:pos="8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Actual U.S. Housing starts data reported by U.S. Census Bureau as published through April 19, 2022.</w:t>
      </w:r>
    </w:p>
    <w:p>
      <w:pPr>
        <w:spacing w:after="0" w:line="2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sales volumes for our products in our Siding, OSB and EWP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volumes differently and, therefore, as presented by us, sales volumes may not be comparable to similarly-titled measures reported by other companies. We believe that sales volumes can be a useful measure for evaluating and understanding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sales volumes for the three months ended March 31, 2022 and 2021: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Three Months Ended March 31, 2021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33"/>
        </w:trPr>
        <w:tc>
          <w:tcPr>
            <w:tcW w:w="25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Sales Volume</w:t>
            </w:r>
          </w:p>
        </w:tc>
        <w:tc>
          <w:tcPr>
            <w:tcW w:w="220" w:type="dxa"/>
            <w:vAlign w:val="bottom"/>
          </w:tcPr>
          <w:p>
            <w:pPr>
              <w:spacing w:after="0"/>
              <w:rPr>
                <w:sz w:val="11"/>
                <w:szCs w:val="11"/>
                <w:color w:val="auto"/>
              </w:rPr>
            </w:pPr>
          </w:p>
        </w:tc>
        <w:tc>
          <w:tcPr>
            <w:tcW w:w="680" w:type="dxa"/>
            <w:vAlign w:val="bottom"/>
            <w:gridSpan w:val="2"/>
          </w:tcPr>
          <w:p>
            <w:pPr>
              <w:jc w:val="right"/>
              <w:ind w:right="276"/>
              <w:spacing w:after="0" w:line="133" w:lineRule="exact"/>
              <w:rPr>
                <w:sz w:val="20"/>
                <w:szCs w:val="20"/>
                <w:color w:val="auto"/>
              </w:rPr>
            </w:pPr>
            <w:r>
              <w:rPr>
                <w:rFonts w:ascii="Times New Roman" w:cs="Times New Roman" w:eastAsia="Times New Roman" w:hAnsi="Times New Roman"/>
                <w:sz w:val="13"/>
                <w:szCs w:val="13"/>
                <w:b w:val="1"/>
                <w:bCs w:val="1"/>
                <w:color w:val="auto"/>
                <w:w w:val="90"/>
              </w:rPr>
              <w:t>Siding</w:t>
            </w:r>
          </w:p>
        </w:tc>
        <w:tc>
          <w:tcPr>
            <w:tcW w:w="800" w:type="dxa"/>
            <w:vAlign w:val="bottom"/>
            <w:gridSpan w:val="3"/>
          </w:tcPr>
          <w:p>
            <w:pPr>
              <w:ind w:left="160"/>
              <w:spacing w:after="0" w:line="133" w:lineRule="exact"/>
              <w:rPr>
                <w:sz w:val="20"/>
                <w:szCs w:val="20"/>
                <w:color w:val="auto"/>
              </w:rPr>
            </w:pPr>
            <w:r>
              <w:rPr>
                <w:rFonts w:ascii="Times New Roman" w:cs="Times New Roman" w:eastAsia="Times New Roman" w:hAnsi="Times New Roman"/>
                <w:sz w:val="13"/>
                <w:szCs w:val="13"/>
                <w:b w:val="1"/>
                <w:bCs w:val="1"/>
                <w:color w:val="auto"/>
              </w:rPr>
              <w:t>OSB</w:t>
            </w:r>
          </w:p>
        </w:tc>
        <w:tc>
          <w:tcPr>
            <w:tcW w:w="720" w:type="dxa"/>
            <w:vAlign w:val="bottom"/>
            <w:gridSpan w:val="3"/>
          </w:tcPr>
          <w:p>
            <w:pPr>
              <w:jc w:val="right"/>
              <w:ind w:right="216"/>
              <w:spacing w:after="0" w:line="133" w:lineRule="exact"/>
              <w:rPr>
                <w:sz w:val="20"/>
                <w:szCs w:val="20"/>
                <w:color w:val="auto"/>
              </w:rPr>
            </w:pPr>
            <w:r>
              <w:rPr>
                <w:rFonts w:ascii="Times New Roman" w:cs="Times New Roman" w:eastAsia="Times New Roman" w:hAnsi="Times New Roman"/>
                <w:sz w:val="13"/>
                <w:szCs w:val="13"/>
                <w:b w:val="1"/>
                <w:bCs w:val="1"/>
                <w:color w:val="auto"/>
              </w:rPr>
              <w:t>EWP</w:t>
            </w:r>
          </w:p>
        </w:tc>
        <w:tc>
          <w:tcPr>
            <w:tcW w:w="1340" w:type="dxa"/>
            <w:vAlign w:val="bottom"/>
            <w:gridSpan w:val="3"/>
          </w:tcPr>
          <w:p>
            <w:pPr>
              <w:jc w:val="right"/>
              <w:ind w:right="420"/>
              <w:spacing w:after="0" w:line="133" w:lineRule="exact"/>
              <w:rPr>
                <w:sz w:val="20"/>
                <w:szCs w:val="20"/>
                <w:color w:val="auto"/>
              </w:rPr>
            </w:pPr>
            <w:r>
              <w:rPr>
                <w:rFonts w:ascii="Times New Roman" w:cs="Times New Roman" w:eastAsia="Times New Roman" w:hAnsi="Times New Roman"/>
                <w:sz w:val="13"/>
                <w:szCs w:val="13"/>
                <w:b w:val="1"/>
                <w:bCs w:val="1"/>
                <w:color w:val="auto"/>
              </w:rPr>
              <w:t>South America</w:t>
            </w:r>
          </w:p>
        </w:tc>
        <w:tc>
          <w:tcPr>
            <w:tcW w:w="580" w:type="dxa"/>
            <w:vAlign w:val="bottom"/>
            <w:gridSpan w:val="2"/>
          </w:tcPr>
          <w:p>
            <w:pPr>
              <w:jc w:val="right"/>
              <w:ind w:right="236"/>
              <w:spacing w:after="0" w:line="133"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416"/>
              <w:spacing w:after="0" w:line="133" w:lineRule="exact"/>
              <w:rPr>
                <w:sz w:val="20"/>
                <w:szCs w:val="20"/>
                <w:color w:val="auto"/>
              </w:rPr>
            </w:pPr>
            <w:r>
              <w:rPr>
                <w:rFonts w:ascii="Times New Roman" w:cs="Times New Roman" w:eastAsia="Times New Roman" w:hAnsi="Times New Roman"/>
                <w:sz w:val="13"/>
                <w:szCs w:val="13"/>
                <w:b w:val="1"/>
                <w:bCs w:val="1"/>
                <w:color w:val="auto"/>
                <w:w w:val="95"/>
              </w:rPr>
              <w:t>Siding</w:t>
            </w:r>
          </w:p>
        </w:tc>
        <w:tc>
          <w:tcPr>
            <w:tcW w:w="780" w:type="dxa"/>
            <w:vAlign w:val="bottom"/>
            <w:gridSpan w:val="2"/>
          </w:tcPr>
          <w:p>
            <w:pPr>
              <w:jc w:val="right"/>
              <w:ind w:right="456"/>
              <w:spacing w:after="0" w:line="133" w:lineRule="exact"/>
              <w:rPr>
                <w:sz w:val="20"/>
                <w:szCs w:val="20"/>
                <w:color w:val="auto"/>
              </w:rPr>
            </w:pPr>
            <w:r>
              <w:rPr>
                <w:rFonts w:ascii="Times New Roman" w:cs="Times New Roman" w:eastAsia="Times New Roman" w:hAnsi="Times New Roman"/>
                <w:sz w:val="13"/>
                <w:szCs w:val="13"/>
                <w:b w:val="1"/>
                <w:bCs w:val="1"/>
                <w:color w:val="auto"/>
                <w:w w:val="92"/>
              </w:rPr>
              <w:t>OSB</w:t>
            </w:r>
          </w:p>
        </w:tc>
        <w:tc>
          <w:tcPr>
            <w:tcW w:w="680" w:type="dxa"/>
            <w:vAlign w:val="bottom"/>
            <w:gridSpan w:val="2"/>
          </w:tcPr>
          <w:p>
            <w:pPr>
              <w:jc w:val="right"/>
              <w:ind w:right="316"/>
              <w:spacing w:after="0" w:line="133" w:lineRule="exact"/>
              <w:rPr>
                <w:sz w:val="20"/>
                <w:szCs w:val="20"/>
                <w:color w:val="auto"/>
              </w:rPr>
            </w:pPr>
            <w:r>
              <w:rPr>
                <w:rFonts w:ascii="Times New Roman" w:cs="Times New Roman" w:eastAsia="Times New Roman" w:hAnsi="Times New Roman"/>
                <w:sz w:val="13"/>
                <w:szCs w:val="13"/>
                <w:b w:val="1"/>
                <w:bCs w:val="1"/>
                <w:color w:val="auto"/>
                <w:w w:val="94"/>
              </w:rPr>
              <w:t>EWP</w:t>
            </w:r>
          </w:p>
        </w:tc>
        <w:tc>
          <w:tcPr>
            <w:tcW w:w="1080" w:type="dxa"/>
            <w:vAlign w:val="bottom"/>
            <w:gridSpan w:val="2"/>
          </w:tcPr>
          <w:p>
            <w:pPr>
              <w:jc w:val="right"/>
              <w:ind w:right="260"/>
              <w:spacing w:after="0" w:line="133" w:lineRule="exact"/>
              <w:rPr>
                <w:sz w:val="20"/>
                <w:szCs w:val="20"/>
                <w:color w:val="auto"/>
              </w:rPr>
            </w:pPr>
            <w:r>
              <w:rPr>
                <w:rFonts w:ascii="Times New Roman" w:cs="Times New Roman" w:eastAsia="Times New Roman" w:hAnsi="Times New Roman"/>
                <w:sz w:val="13"/>
                <w:szCs w:val="13"/>
                <w:b w:val="1"/>
                <w:bCs w:val="1"/>
                <w:color w:val="auto"/>
                <w:w w:val="95"/>
              </w:rPr>
              <w:t>South America</w:t>
            </w:r>
          </w:p>
        </w:tc>
        <w:tc>
          <w:tcPr>
            <w:tcW w:w="740" w:type="dxa"/>
            <w:vAlign w:val="bottom"/>
            <w:gridSpan w:val="3"/>
          </w:tcPr>
          <w:p>
            <w:pPr>
              <w:jc w:val="right"/>
              <w:ind w:right="30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7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Siding Solutions (MMSF)</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421</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406</w:t>
            </w: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420</w:t>
            </w:r>
          </w:p>
        </w:tc>
      </w:tr>
      <w:tr>
        <w:trPr>
          <w:trHeight w:val="168"/>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commodity (MMSF)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center"/>
              <w:ind w:left="296"/>
              <w:spacing w:after="0"/>
              <w:rPr>
                <w:sz w:val="20"/>
                <w:szCs w:val="20"/>
                <w:color w:val="auto"/>
              </w:rPr>
            </w:pPr>
            <w:r>
              <w:rPr>
                <w:rFonts w:ascii="Times New Roman" w:cs="Times New Roman" w:eastAsia="Times New Roman" w:hAnsi="Times New Roman"/>
                <w:sz w:val="13"/>
                <w:szCs w:val="13"/>
                <w:color w:val="auto"/>
              </w:rPr>
              <w:t>437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236"/>
              <w:spacing w:after="0"/>
              <w:rPr>
                <w:sz w:val="20"/>
                <w:szCs w:val="20"/>
                <w:color w:val="auto"/>
              </w:rPr>
            </w:pPr>
            <w:r>
              <w:rPr>
                <w:rFonts w:ascii="Times New Roman" w:cs="Times New Roman" w:eastAsia="Times New Roman" w:hAnsi="Times New Roman"/>
                <w:sz w:val="13"/>
                <w:szCs w:val="13"/>
                <w:color w:val="auto"/>
              </w:rPr>
              <w:t>456</w:t>
            </w:r>
          </w:p>
        </w:tc>
        <w:tc>
          <w:tcPr>
            <w:tcW w:w="300" w:type="dxa"/>
            <w:vAlign w:val="bottom"/>
          </w:tcPr>
          <w:p>
            <w:pPr>
              <w:spacing w:after="0"/>
              <w:rPr>
                <w:sz w:val="14"/>
                <w:szCs w:val="14"/>
                <w:color w:val="auto"/>
              </w:rPr>
            </w:pPr>
          </w:p>
        </w:tc>
        <w:tc>
          <w:tcPr>
            <w:tcW w:w="3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456</w:t>
            </w:r>
          </w:p>
        </w:tc>
      </w:tr>
      <w:tr>
        <w:trPr>
          <w:trHeight w:val="17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CEEFF"/>
          </w:tcPr>
          <w:p>
            <w:pPr>
              <w:jc w:val="center"/>
              <w:ind w:left="296"/>
              <w:spacing w:after="0"/>
              <w:rPr>
                <w:sz w:val="20"/>
                <w:szCs w:val="20"/>
                <w:color w:val="auto"/>
              </w:rPr>
            </w:pPr>
            <w:r>
              <w:rPr>
                <w:rFonts w:ascii="Times New Roman" w:cs="Times New Roman" w:eastAsia="Times New Roman" w:hAnsi="Times New Roman"/>
                <w:sz w:val="13"/>
                <w:szCs w:val="13"/>
                <w:color w:val="auto"/>
              </w:rPr>
              <w:t>525</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150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402</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147</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549</w:t>
            </w:r>
          </w:p>
        </w:tc>
      </w:tr>
      <w:tr>
        <w:trPr>
          <w:trHeight w:val="168"/>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I-Joist (MMLF)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30</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LVL (MCF)</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1,807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1,911</w:t>
            </w: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1,911</w:t>
            </w:r>
          </w:p>
        </w:tc>
      </w:tr>
      <w:tr>
        <w:trPr>
          <w:trHeight w:val="165"/>
        </w:trPr>
        <w:tc>
          <w:tcPr>
            <w:tcW w:w="2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LSL (MCF)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rPr>
              <w:t>441</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441</w:t>
            </w:r>
          </w:p>
        </w:tc>
      </w:tr>
    </w:tbl>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It should be noted that other companies may present OEE differently and, therefore, as presented by us, OEE may not be comparable to similarly-titled measures reported by other companies. We believe that when used in conjunction with other metrics, OEE can be a useful measure for evaluating our ability to generate profits, and that providing this measure should allow interested persons to more readily monitor operational improvements. During the quarter ended March 31, 2022, we modified our OEE measure to use a best in LP class target across all sites. This modification will allow us to optimize capital investments, focus maintenance and reliability improvements, and improve overall equipment efficiency. All previously-reported periods have been adjusted accordingly. OEE for the three months ended March 31, 2022 and 2021, for each of our segments is listed below:</w:t>
      </w:r>
    </w:p>
    <w:p>
      <w:pPr>
        <w:spacing w:after="0" w:line="8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20" w:type="dxa"/>
            <w:vAlign w:val="bottom"/>
            <w:tcBorders>
              <w:bottom w:val="single" w:sz="8" w:color="CCEEFF"/>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0"/>
        </w:trPr>
        <w:tc>
          <w:tcPr>
            <w:tcW w:w="74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Siding</w:t>
            </w:r>
          </w:p>
        </w:tc>
        <w:tc>
          <w:tcPr>
            <w:tcW w:w="13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73 %</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EWP</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r>
      <w:tr>
        <w:trPr>
          <w:trHeight w:val="165"/>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South America</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70 %</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results of operations are separately discussed below for each of our segments, as well as for the “Other” category, which comprises other products that are not individually significant. See Note 18 of the Notes to the Condensed Consolidated Financial Statements included in Item 1 of this quarterly report on Form 10-Q for further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1"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color w:val="auto"/>
        </w:rPr>
        <w:t>Siding</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Siding segment serves diverse end markets with a broad product offering of engineered wood siding, trim, and fascia,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sales, Adjusted EBITDA, and Adjusted EBITDA margin for this segment were as follows (dollar 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940" w:type="dxa"/>
            <w:vAlign w:val="bottom"/>
            <w:tcBorders>
              <w:bottom w:val="single" w:sz="8" w:color="auto"/>
            </w:tcBorders>
          </w:tcPr>
          <w:p>
            <w:pPr>
              <w:spacing w:after="0"/>
              <w:rPr>
                <w:sz w:val="14"/>
                <w:szCs w:val="14"/>
                <w:color w:val="auto"/>
              </w:rPr>
            </w:pPr>
          </w:p>
        </w:tc>
      </w:tr>
      <w:tr>
        <w:trPr>
          <w:trHeight w:val="161"/>
        </w:trPr>
        <w:tc>
          <w:tcPr>
            <w:tcW w:w="742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2"/>
        </w:trPr>
        <w:tc>
          <w:tcPr>
            <w:tcW w:w="7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8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339"/>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Sales in this segment by product line were as follows (dollar amounts in millions):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92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2"/>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8"/>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186"/>
        </w:trPr>
        <w:tc>
          <w:tcPr>
            <w:tcW w:w="7560" w:type="dxa"/>
            <w:vAlign w:val="bottom"/>
            <w:tcBorders>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sales prices and unit shipments for the three months ended March 31, 2022, compared to the corresponding period in 2021,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2"/>
                <w:szCs w:val="12"/>
                <w:color w:val="auto"/>
              </w:rPr>
            </w:pPr>
          </w:p>
        </w:tc>
        <w:tc>
          <w:tcPr>
            <w:tcW w:w="3320" w:type="dxa"/>
            <w:vAlign w:val="bottom"/>
            <w:gridSpan w:val="4"/>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440" w:type="dxa"/>
            <w:vAlign w:val="bottom"/>
          </w:tcPr>
          <w:p>
            <w:pPr>
              <w:spacing w:after="0"/>
              <w:rPr>
                <w:sz w:val="12"/>
                <w:szCs w:val="12"/>
                <w:color w:val="auto"/>
              </w:rPr>
            </w:pPr>
          </w:p>
        </w:tc>
      </w:tr>
      <w:tr>
        <w:trPr>
          <w:trHeight w:val="169"/>
        </w:trPr>
        <w:tc>
          <w:tcPr>
            <w:tcW w:w="75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836"/>
              <w:spacing w:after="0"/>
              <w:rPr>
                <w:sz w:val="20"/>
                <w:szCs w:val="20"/>
                <w:color w:val="auto"/>
              </w:rPr>
            </w:pPr>
            <w:r>
              <w:rPr>
                <w:rFonts w:ascii="Times New Roman" w:cs="Times New Roman" w:eastAsia="Times New Roman" w:hAnsi="Times New Roman"/>
                <w:sz w:val="13"/>
                <w:szCs w:val="13"/>
                <w:b w:val="1"/>
                <w:bCs w:val="1"/>
                <w:color w:val="auto"/>
                <w:w w:val="97"/>
              </w:rPr>
              <w:t>2022 versus 2021</w:t>
            </w:r>
          </w:p>
        </w:tc>
        <w:tc>
          <w:tcPr>
            <w:tcW w:w="440" w:type="dxa"/>
            <w:vAlign w:val="bottom"/>
            <w:tcBorders>
              <w:bottom w:val="single" w:sz="8" w:color="auto"/>
            </w:tcBorders>
          </w:tcPr>
          <w:p>
            <w:pPr>
              <w:spacing w:after="0"/>
              <w:rPr>
                <w:sz w:val="14"/>
                <w:szCs w:val="14"/>
                <w:color w:val="auto"/>
              </w:rPr>
            </w:pPr>
          </w:p>
        </w:tc>
      </w:tr>
      <w:tr>
        <w:trPr>
          <w:trHeight w:val="119"/>
        </w:trPr>
        <w:tc>
          <w:tcPr>
            <w:tcW w:w="7520" w:type="dxa"/>
            <w:vAlign w:val="bottom"/>
          </w:tcPr>
          <w:p>
            <w:pPr>
              <w:spacing w:after="0"/>
              <w:rPr>
                <w:sz w:val="10"/>
                <w:szCs w:val="10"/>
                <w:color w:val="auto"/>
              </w:rPr>
            </w:pPr>
          </w:p>
        </w:tc>
        <w:tc>
          <w:tcPr>
            <w:tcW w:w="134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rPr>
              <w:t>Average Net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jc w:val="center"/>
              <w:ind w:left="39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440" w:type="dxa"/>
            <w:vAlign w:val="bottom"/>
          </w:tcPr>
          <w:p>
            <w:pPr>
              <w:spacing w:after="0"/>
              <w:rPr>
                <w:sz w:val="10"/>
                <w:szCs w:val="10"/>
                <w:color w:val="auto"/>
              </w:rPr>
            </w:pPr>
          </w:p>
        </w:tc>
      </w:tr>
      <w:tr>
        <w:trPr>
          <w:trHeight w:val="168"/>
        </w:trPr>
        <w:tc>
          <w:tcPr>
            <w:tcW w:w="75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8"/>
              </w:rPr>
              <w:t>Shipments</w:t>
            </w:r>
          </w:p>
        </w:tc>
        <w:tc>
          <w:tcPr>
            <w:tcW w:w="440" w:type="dxa"/>
            <w:vAlign w:val="bottom"/>
            <w:tcBorders>
              <w:bottom w:val="single" w:sz="8" w:color="auto"/>
            </w:tcBorders>
          </w:tcPr>
          <w:p>
            <w:pPr>
              <w:spacing w:after="0"/>
              <w:rPr>
                <w:sz w:val="14"/>
                <w:szCs w:val="14"/>
                <w:color w:val="auto"/>
              </w:rPr>
            </w:pPr>
          </w:p>
        </w:tc>
      </w:tr>
      <w:tr>
        <w:trPr>
          <w:trHeight w:val="163"/>
        </w:trPr>
        <w:tc>
          <w:tcPr>
            <w:tcW w:w="75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13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Siding Solutions price increases and higher sales of innovative products drove increases in both average net selling price and sales volume, resulting in 17% growth in Siding Solutions net sales. The decrease in Adjusted EBITDA of $7 million reflects price and volume growth offset by $26 million of raw material and freight cost inflation and $12 million of discretionary investments in support of future growth, including Houlton start up and sales and marketing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OSB</w:t>
      </w:r>
    </w:p>
    <w:p>
      <w:pPr>
        <w:spacing w:after="0" w:line="19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4"/>
          <w:szCs w:val="14"/>
          <w:color w:val="auto"/>
        </w:rPr>
        <w:t>The OSB segment manufactures and distributes OSB structural panel products, including our value-added OSB portfolio known as LP Structural Solutions (which includes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Sub-Flooring. OSB is manufactured using wood strands arranged in layers and bonded with resins.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sales, Adjusted EBITDA, and Adjusted EBITDA Margin for this segment were as follows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7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940" w:type="dxa"/>
            <w:vAlign w:val="bottom"/>
            <w:tcBorders>
              <w:bottom w:val="single" w:sz="8" w:color="auto"/>
            </w:tcBorders>
          </w:tcPr>
          <w:p>
            <w:pPr>
              <w:spacing w:after="0"/>
              <w:rPr>
                <w:sz w:val="14"/>
                <w:szCs w:val="14"/>
                <w:color w:val="auto"/>
              </w:rPr>
            </w:pPr>
          </w:p>
        </w:tc>
      </w:tr>
      <w:tr>
        <w:trPr>
          <w:trHeight w:val="161"/>
        </w:trPr>
        <w:tc>
          <w:tcPr>
            <w:tcW w:w="742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2"/>
        </w:trPr>
        <w:tc>
          <w:tcPr>
            <w:tcW w:w="7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43 %</w:t>
            </w: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8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Sales in this segment by product line were as follows (dollar 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Borders>
              <w:bottom w:val="single" w:sz="8" w:color="auto"/>
            </w:tcBorders>
          </w:tcPr>
          <w:p>
            <w:pPr>
              <w:spacing w:after="0"/>
              <w:rPr>
                <w:sz w:val="14"/>
                <w:szCs w:val="14"/>
                <w:color w:val="auto"/>
              </w:rPr>
            </w:pPr>
          </w:p>
        </w:tc>
      </w:tr>
      <w:tr>
        <w:trPr>
          <w:trHeight w:val="162"/>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8"/>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59"/>
        </w:trPr>
        <w:tc>
          <w:tcPr>
            <w:tcW w:w="7560" w:type="dxa"/>
            <w:vAlign w:val="bottom"/>
          </w:tcPr>
          <w:p>
            <w:pPr>
              <w:ind w:left="28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38 %</w:t>
            </w:r>
          </w:p>
        </w:tc>
      </w:tr>
      <w:tr>
        <w:trPr>
          <w:trHeight w:val="20"/>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sales prices and unit shipments for the three months ended March 31, 2022, compared to the corresponding period in 2021,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3320" w:type="dxa"/>
            <w:vAlign w:val="bottom"/>
            <w:gridSpan w:val="2"/>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460" w:type="dxa"/>
            <w:vAlign w:val="bottom"/>
          </w:tcPr>
          <w:p>
            <w:pPr>
              <w:spacing w:after="0"/>
              <w:rPr>
                <w:sz w:val="12"/>
                <w:szCs w:val="12"/>
                <w:color w:val="auto"/>
              </w:rPr>
            </w:pPr>
          </w:p>
        </w:tc>
      </w:tr>
      <w:tr>
        <w:trPr>
          <w:trHeight w:val="169"/>
        </w:trPr>
        <w:tc>
          <w:tcPr>
            <w:tcW w:w="75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rPr>
              <w:t>2022 versus 2021</w:t>
            </w:r>
          </w:p>
        </w:tc>
        <w:tc>
          <w:tcPr>
            <w:tcW w:w="460" w:type="dxa"/>
            <w:vAlign w:val="bottom"/>
            <w:tcBorders>
              <w:bottom w:val="single" w:sz="8" w:color="auto"/>
            </w:tcBorders>
          </w:tcPr>
          <w:p>
            <w:pPr>
              <w:spacing w:after="0"/>
              <w:rPr>
                <w:sz w:val="14"/>
                <w:szCs w:val="14"/>
                <w:color w:val="auto"/>
              </w:rPr>
            </w:pPr>
          </w:p>
        </w:tc>
      </w:tr>
      <w:tr>
        <w:trPr>
          <w:trHeight w:val="119"/>
        </w:trPr>
        <w:tc>
          <w:tcPr>
            <w:tcW w:w="7500" w:type="dxa"/>
            <w:vAlign w:val="bottom"/>
          </w:tcPr>
          <w:p>
            <w:pPr>
              <w:spacing w:after="0"/>
              <w:rPr>
                <w:sz w:val="10"/>
                <w:szCs w:val="10"/>
                <w:color w:val="auto"/>
              </w:rPr>
            </w:pPr>
          </w:p>
        </w:tc>
        <w:tc>
          <w:tcPr>
            <w:tcW w:w="134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rPr>
              <w:t>Average Net</w:t>
            </w:r>
          </w:p>
        </w:tc>
        <w:tc>
          <w:tcPr>
            <w:tcW w:w="1980" w:type="dxa"/>
            <w:vAlign w:val="bottom"/>
          </w:tcPr>
          <w:p>
            <w:pPr>
              <w:jc w:val="right"/>
              <w:ind w:right="276"/>
              <w:spacing w:after="0" w:line="119" w:lineRule="exact"/>
              <w:rPr>
                <w:sz w:val="20"/>
                <w:szCs w:val="20"/>
                <w:color w:val="auto"/>
              </w:rPr>
            </w:pPr>
            <w:r>
              <w:rPr>
                <w:rFonts w:ascii="Times New Roman" w:cs="Times New Roman" w:eastAsia="Times New Roman" w:hAnsi="Times New Roman"/>
                <w:sz w:val="13"/>
                <w:szCs w:val="13"/>
                <w:color w:val="auto"/>
              </w:rPr>
              <w:t>Unit</w:t>
            </w:r>
          </w:p>
        </w:tc>
        <w:tc>
          <w:tcPr>
            <w:tcW w:w="460" w:type="dxa"/>
            <w:vAlign w:val="bottom"/>
          </w:tcPr>
          <w:p>
            <w:pPr>
              <w:spacing w:after="0"/>
              <w:rPr>
                <w:sz w:val="10"/>
                <w:szCs w:val="10"/>
                <w:color w:val="auto"/>
              </w:rPr>
            </w:pPr>
          </w:p>
        </w:tc>
      </w:tr>
      <w:tr>
        <w:trPr>
          <w:trHeight w:val="168"/>
        </w:trPr>
        <w:tc>
          <w:tcPr>
            <w:tcW w:w="7500" w:type="dxa"/>
            <w:vAlign w:val="bottom"/>
          </w:tcPr>
          <w:p>
            <w:pPr>
              <w:spacing w:after="0"/>
              <w:rPr>
                <w:sz w:val="14"/>
                <w:szCs w:val="14"/>
                <w:color w:val="auto"/>
              </w:rPr>
            </w:pPr>
          </w:p>
        </w:tc>
        <w:tc>
          <w:tcPr>
            <w:tcW w:w="13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Selling Price</w:t>
            </w:r>
          </w:p>
        </w:tc>
        <w:tc>
          <w:tcPr>
            <w:tcW w:w="19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Shipments</w:t>
            </w:r>
          </w:p>
        </w:tc>
        <w:tc>
          <w:tcPr>
            <w:tcW w:w="460" w:type="dxa"/>
            <w:vAlign w:val="bottom"/>
          </w:tcPr>
          <w:p>
            <w:pPr>
              <w:spacing w:after="0"/>
              <w:rPr>
                <w:sz w:val="14"/>
                <w:szCs w:val="14"/>
                <w:color w:val="auto"/>
              </w:rPr>
            </w:pPr>
          </w:p>
        </w:tc>
      </w:tr>
      <w:tr>
        <w:trPr>
          <w:trHeight w:val="172"/>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1980" w:type="dxa"/>
            <w:vAlign w:val="bottom"/>
            <w:shd w:val="clear" w:color="auto" w:fill="CCEEFF"/>
          </w:tcPr>
          <w:p>
            <w:pPr>
              <w:jc w:val="right"/>
              <w:ind w:right="1436"/>
              <w:spacing w:after="0"/>
              <w:rPr>
                <w:sz w:val="20"/>
                <w:szCs w:val="20"/>
                <w:color w:val="auto"/>
              </w:rPr>
            </w:pPr>
            <w:r>
              <w:rPr>
                <w:rFonts w:ascii="Times New Roman" w:cs="Times New Roman" w:eastAsia="Times New Roman" w:hAnsi="Times New Roman"/>
                <w:sz w:val="13"/>
                <w:szCs w:val="13"/>
                <w:color w:val="auto"/>
              </w:rPr>
              <w:t>22 %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65"/>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1980" w:type="dxa"/>
            <w:vAlign w:val="bottom"/>
          </w:tcPr>
          <w:p>
            <w:pPr>
              <w:jc w:val="right"/>
              <w:ind w:right="1436"/>
              <w:spacing w:after="0"/>
              <w:rPr>
                <w:sz w:val="20"/>
                <w:szCs w:val="20"/>
                <w:color w:val="auto"/>
              </w:rPr>
            </w:pPr>
            <w:r>
              <w:rPr>
                <w:rFonts w:ascii="Times New Roman" w:cs="Times New Roman" w:eastAsia="Times New Roman" w:hAnsi="Times New Roman"/>
                <w:sz w:val="13"/>
                <w:szCs w:val="13"/>
                <w:color w:val="auto"/>
              </w:rPr>
              <w:t>24 %</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bl>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OSB average net selling prices increased year-over-year by 23% and OSB sales volume increased year-over-year by 12%, resulting in 38% net sales growth. The increase in Adjusted EBITDA of $151 million reflects $130 million from higher prices and $42 million from higher sales volumes (primarily Structural Solutions), and $20 million of increased raw material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EWP</w:t>
      </w:r>
    </w:p>
    <w:p>
      <w:pPr>
        <w:spacing w:after="0" w:line="18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The EWP segment is comprised of LP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SolidStart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I-Joist (I-Joist), Laminated Veneer Lumber (LVL) and other related products. This segment also includes the sales of plywood produced as an ancillary product of the LVL production process and I-Joist products produced by the joint ventures, in which LP sold its equity stake during the three months ended March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2021, LP ceased production of Laminated Strand Lumber (LSL) at the Houlton, Maine facility to begin the conversion of that facility to Siding Solutions production.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sales, Adjusted EBITDA, and Adjusted EBITDA margin for this segment were as follows (dollar amounts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940" w:type="dxa"/>
            <w:vAlign w:val="bottom"/>
            <w:tcBorders>
              <w:bottom w:val="single" w:sz="8" w:color="auto"/>
            </w:tcBorders>
          </w:tcPr>
          <w:p>
            <w:pPr>
              <w:spacing w:after="0"/>
              <w:rPr>
                <w:sz w:val="14"/>
                <w:szCs w:val="14"/>
                <w:color w:val="auto"/>
              </w:rPr>
            </w:pPr>
          </w:p>
        </w:tc>
      </w:tr>
      <w:tr>
        <w:trPr>
          <w:trHeight w:val="161"/>
        </w:trPr>
        <w:tc>
          <w:tcPr>
            <w:tcW w:w="742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2"/>
        </w:trPr>
        <w:tc>
          <w:tcPr>
            <w:tcW w:w="7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0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408 %</w:t>
            </w: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8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Sales in this segment by product line were as follows (dollar 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Borders>
              <w:bottom w:val="single" w:sz="8" w:color="auto"/>
            </w:tcBorders>
          </w:tcPr>
          <w:p>
            <w:pPr>
              <w:spacing w:after="0"/>
              <w:rPr>
                <w:sz w:val="14"/>
                <w:szCs w:val="14"/>
                <w:color w:val="auto"/>
              </w:rPr>
            </w:pPr>
          </w:p>
        </w:tc>
      </w:tr>
      <w:tr>
        <w:trPr>
          <w:trHeight w:val="162"/>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I-Joist</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8"/>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LVL</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LSL</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68"/>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including plywood and related products</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6"/>
        </w:trPr>
        <w:tc>
          <w:tcPr>
            <w:tcW w:w="7560" w:type="dxa"/>
            <w:vAlign w:val="bottom"/>
            <w:tcBorders>
              <w:bottom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sales prices and unit shipments for the three months ended March 31, 2022, compared to the corresponding period in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3320" w:type="dxa"/>
            <w:vAlign w:val="bottom"/>
            <w:gridSpan w:val="4"/>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460" w:type="dxa"/>
            <w:vAlign w:val="bottom"/>
          </w:tcPr>
          <w:p>
            <w:pPr>
              <w:spacing w:after="0"/>
              <w:rPr>
                <w:sz w:val="12"/>
                <w:szCs w:val="12"/>
                <w:color w:val="auto"/>
              </w:rPr>
            </w:pPr>
          </w:p>
        </w:tc>
      </w:tr>
      <w:tr>
        <w:trPr>
          <w:trHeight w:val="169"/>
        </w:trPr>
        <w:tc>
          <w:tcPr>
            <w:tcW w:w="75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796"/>
              <w:spacing w:after="0"/>
              <w:rPr>
                <w:sz w:val="20"/>
                <w:szCs w:val="20"/>
                <w:color w:val="auto"/>
              </w:rPr>
            </w:pPr>
            <w:r>
              <w:rPr>
                <w:rFonts w:ascii="Times New Roman" w:cs="Times New Roman" w:eastAsia="Times New Roman" w:hAnsi="Times New Roman"/>
                <w:sz w:val="13"/>
                <w:szCs w:val="13"/>
                <w:b w:val="1"/>
                <w:bCs w:val="1"/>
                <w:color w:val="auto"/>
                <w:w w:val="97"/>
              </w:rPr>
              <w:t>2022 versus 2021</w:t>
            </w:r>
          </w:p>
        </w:tc>
        <w:tc>
          <w:tcPr>
            <w:tcW w:w="460" w:type="dxa"/>
            <w:vAlign w:val="bottom"/>
            <w:tcBorders>
              <w:bottom w:val="single" w:sz="8" w:color="auto"/>
            </w:tcBorders>
          </w:tcPr>
          <w:p>
            <w:pPr>
              <w:spacing w:after="0"/>
              <w:rPr>
                <w:sz w:val="14"/>
                <w:szCs w:val="14"/>
                <w:color w:val="auto"/>
              </w:rPr>
            </w:pPr>
          </w:p>
        </w:tc>
      </w:tr>
      <w:tr>
        <w:trPr>
          <w:trHeight w:val="119"/>
        </w:trPr>
        <w:tc>
          <w:tcPr>
            <w:tcW w:w="7500" w:type="dxa"/>
            <w:vAlign w:val="bottom"/>
          </w:tcPr>
          <w:p>
            <w:pPr>
              <w:spacing w:after="0"/>
              <w:rPr>
                <w:sz w:val="10"/>
                <w:szCs w:val="10"/>
                <w:color w:val="auto"/>
              </w:rPr>
            </w:pPr>
          </w:p>
        </w:tc>
        <w:tc>
          <w:tcPr>
            <w:tcW w:w="134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rPr>
              <w:t>Average Net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center"/>
              <w:ind w:left="41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460" w:type="dxa"/>
            <w:vAlign w:val="bottom"/>
          </w:tcPr>
          <w:p>
            <w:pPr>
              <w:spacing w:after="0"/>
              <w:rPr>
                <w:sz w:val="10"/>
                <w:szCs w:val="10"/>
                <w:color w:val="auto"/>
              </w:rPr>
            </w:pPr>
          </w:p>
        </w:tc>
      </w:tr>
      <w:tr>
        <w:trPr>
          <w:trHeight w:val="168"/>
        </w:trPr>
        <w:tc>
          <w:tcPr>
            <w:tcW w:w="75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Selling Price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color w:val="auto"/>
                <w:w w:val="98"/>
              </w:rPr>
              <w:t>Shipments</w:t>
            </w:r>
          </w:p>
        </w:tc>
        <w:tc>
          <w:tcPr>
            <w:tcW w:w="46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I-Joist</w:t>
            </w: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5"/>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LVL</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3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sales for EWP increased year-over-year primarily due to price increases in response to significantly higher input costs, partially offset by the discontinuation of LSL production. Resulting increases in Adjusted EBITDA reflect the net effect of these price and cost increases.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South America</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South America segment manufactures and distributes OSB structural panel and siding products in South America and certain export markets. This segment has manufacturing operations in two countries, Chile and Brazil, and operates sales offices in Chile, Brazil, Peru, Columbia, Argentina, and Paraguay.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sales, Adjusted EBITDA, and Adjusted EBITDA margin for this segment were as follows (dollar amounts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940" w:type="dxa"/>
            <w:vAlign w:val="bottom"/>
            <w:tcBorders>
              <w:bottom w:val="single" w:sz="8" w:color="auto"/>
            </w:tcBorders>
          </w:tcPr>
          <w:p>
            <w:pPr>
              <w:spacing w:after="0"/>
              <w:rPr>
                <w:sz w:val="14"/>
                <w:szCs w:val="14"/>
                <w:color w:val="auto"/>
              </w:rPr>
            </w:pPr>
          </w:p>
        </w:tc>
      </w:tr>
      <w:tr>
        <w:trPr>
          <w:trHeight w:val="161"/>
        </w:trPr>
        <w:tc>
          <w:tcPr>
            <w:tcW w:w="7420" w:type="dxa"/>
            <w:vAlign w:val="bottom"/>
          </w:tcPr>
          <w:p>
            <w:pPr>
              <w:spacing w:after="0"/>
              <w:rPr>
                <w:sz w:val="14"/>
                <w:szCs w:val="14"/>
                <w:color w:val="auto"/>
              </w:rPr>
            </w:pPr>
          </w:p>
        </w:tc>
        <w:tc>
          <w:tcPr>
            <w:tcW w:w="820" w:type="dxa"/>
            <w:vAlign w:val="bottom"/>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40" w:type="dxa"/>
            <w:vAlign w:val="bottom"/>
          </w:tcPr>
          <w:p>
            <w:pPr>
              <w:spacing w:after="0"/>
              <w:rPr>
                <w:sz w:val="14"/>
                <w:szCs w:val="14"/>
                <w:color w:val="auto"/>
              </w:rPr>
            </w:pPr>
          </w:p>
        </w:tc>
        <w:tc>
          <w:tcPr>
            <w:tcW w:w="110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2"/>
        </w:trPr>
        <w:tc>
          <w:tcPr>
            <w:tcW w:w="7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20" w:type="dxa"/>
            <w:vAlign w:val="bottom"/>
            <w:tcBorders>
              <w:top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67</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r>
      <w:tr>
        <w:trPr>
          <w:trHeight w:val="168"/>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82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25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72"/>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 margin</w:t>
            </w:r>
          </w:p>
        </w:tc>
        <w:tc>
          <w:tcPr>
            <w:tcW w:w="8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5"/>
              </w:rPr>
              <w:t>39 %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Sales in this segment by product line were as follows (dollar 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920" w:type="dxa"/>
            <w:vAlign w:val="bottom"/>
            <w:tcBorders>
              <w:bottom w:val="single" w:sz="8" w:color="auto"/>
            </w:tcBorders>
          </w:tcPr>
          <w:p>
            <w:pPr>
              <w:spacing w:after="0"/>
              <w:rPr>
                <w:sz w:val="14"/>
                <w:szCs w:val="14"/>
                <w:color w:val="auto"/>
              </w:rPr>
            </w:pPr>
          </w:p>
        </w:tc>
      </w:tr>
      <w:tr>
        <w:trPr>
          <w:trHeight w:val="161"/>
        </w:trPr>
        <w:tc>
          <w:tcPr>
            <w:tcW w:w="7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62"/>
        </w:trPr>
        <w:tc>
          <w:tcPr>
            <w:tcW w:w="7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r>
      <w:tr>
        <w:trPr>
          <w:trHeight w:val="168"/>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8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8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59"/>
        </w:trPr>
        <w:tc>
          <w:tcPr>
            <w:tcW w:w="7560" w:type="dxa"/>
            <w:vAlign w:val="bottom"/>
          </w:tcPr>
          <w:p>
            <w:pPr>
              <w:ind w:left="280"/>
              <w:spacing w:after="0" w:line="146" w:lineRule="exact"/>
              <w:rPr>
                <w:sz w:val="20"/>
                <w:szCs w:val="20"/>
                <w:color w:val="auto"/>
              </w:rPr>
            </w:pPr>
            <w:r>
              <w:rPr>
                <w:rFonts w:ascii="Times New Roman" w:cs="Times New Roman" w:eastAsia="Times New Roman" w:hAnsi="Times New Roman"/>
                <w:sz w:val="13"/>
                <w:szCs w:val="13"/>
                <w:color w:val="auto"/>
              </w:rPr>
              <w:t>Total</w:t>
            </w:r>
          </w:p>
        </w:tc>
        <w:tc>
          <w:tcPr>
            <w:tcW w:w="8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26 %</w:t>
            </w:r>
          </w:p>
        </w:tc>
      </w:tr>
      <w:tr>
        <w:trPr>
          <w:trHeight w:val="20"/>
        </w:trPr>
        <w:tc>
          <w:tcPr>
            <w:tcW w:w="7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sales prices and unit shipments for the three months ended March 31, 2022, compared to the corresponding period in 2021,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3280" w:type="dxa"/>
            <w:vAlign w:val="bottom"/>
            <w:gridSpan w:val="4"/>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7"/>
              </w:rPr>
              <w:t>Three Months Ended March 31,</w:t>
            </w:r>
          </w:p>
        </w:tc>
        <w:tc>
          <w:tcPr>
            <w:tcW w:w="500" w:type="dxa"/>
            <w:vAlign w:val="bottom"/>
          </w:tcPr>
          <w:p>
            <w:pPr>
              <w:spacing w:after="0"/>
              <w:rPr>
                <w:sz w:val="12"/>
                <w:szCs w:val="12"/>
                <w:color w:val="auto"/>
              </w:rPr>
            </w:pPr>
          </w:p>
        </w:tc>
      </w:tr>
      <w:tr>
        <w:trPr>
          <w:trHeight w:val="169"/>
        </w:trPr>
        <w:tc>
          <w:tcPr>
            <w:tcW w:w="75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756"/>
              <w:spacing w:after="0"/>
              <w:rPr>
                <w:sz w:val="20"/>
                <w:szCs w:val="20"/>
                <w:color w:val="auto"/>
              </w:rPr>
            </w:pPr>
            <w:r>
              <w:rPr>
                <w:rFonts w:ascii="Times New Roman" w:cs="Times New Roman" w:eastAsia="Times New Roman" w:hAnsi="Times New Roman"/>
                <w:sz w:val="13"/>
                <w:szCs w:val="13"/>
                <w:b w:val="1"/>
                <w:bCs w:val="1"/>
                <w:color w:val="auto"/>
                <w:w w:val="97"/>
              </w:rPr>
              <w:t>2022 versus 2021</w:t>
            </w:r>
          </w:p>
        </w:tc>
        <w:tc>
          <w:tcPr>
            <w:tcW w:w="500" w:type="dxa"/>
            <w:vAlign w:val="bottom"/>
            <w:tcBorders>
              <w:bottom w:val="single" w:sz="8" w:color="auto"/>
            </w:tcBorders>
          </w:tcPr>
          <w:p>
            <w:pPr>
              <w:spacing w:after="0"/>
              <w:rPr>
                <w:sz w:val="14"/>
                <w:szCs w:val="14"/>
                <w:color w:val="auto"/>
              </w:rPr>
            </w:pPr>
          </w:p>
        </w:tc>
      </w:tr>
      <w:tr>
        <w:trPr>
          <w:trHeight w:val="119"/>
        </w:trPr>
        <w:tc>
          <w:tcPr>
            <w:tcW w:w="7500" w:type="dxa"/>
            <w:vAlign w:val="bottom"/>
          </w:tcPr>
          <w:p>
            <w:pPr>
              <w:spacing w:after="0"/>
              <w:rPr>
                <w:sz w:val="10"/>
                <w:szCs w:val="10"/>
                <w:color w:val="auto"/>
              </w:rPr>
            </w:pPr>
          </w:p>
        </w:tc>
        <w:tc>
          <w:tcPr>
            <w:tcW w:w="1340" w:type="dxa"/>
            <w:vAlign w:val="bottom"/>
          </w:tcPr>
          <w:p>
            <w:pPr>
              <w:ind w:left="600"/>
              <w:spacing w:after="0" w:line="119" w:lineRule="exact"/>
              <w:rPr>
                <w:sz w:val="20"/>
                <w:szCs w:val="20"/>
                <w:color w:val="auto"/>
              </w:rPr>
            </w:pPr>
            <w:r>
              <w:rPr>
                <w:rFonts w:ascii="Times New Roman" w:cs="Times New Roman" w:eastAsia="Times New Roman" w:hAnsi="Times New Roman"/>
                <w:sz w:val="13"/>
                <w:szCs w:val="13"/>
                <w:color w:val="auto"/>
              </w:rPr>
              <w:t>Average Net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45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500" w:type="dxa"/>
            <w:vAlign w:val="bottom"/>
          </w:tcPr>
          <w:p>
            <w:pPr>
              <w:spacing w:after="0"/>
              <w:rPr>
                <w:sz w:val="10"/>
                <w:szCs w:val="10"/>
                <w:color w:val="auto"/>
              </w:rPr>
            </w:pPr>
          </w:p>
        </w:tc>
      </w:tr>
      <w:tr>
        <w:trPr>
          <w:trHeight w:val="168"/>
        </w:trPr>
        <w:tc>
          <w:tcPr>
            <w:tcW w:w="75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rPr>
              <w:t>Selling Price</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ind w:left="456"/>
              <w:spacing w:after="0"/>
              <w:rPr>
                <w:sz w:val="20"/>
                <w:szCs w:val="20"/>
                <w:color w:val="auto"/>
              </w:rPr>
            </w:pPr>
            <w:r>
              <w:rPr>
                <w:rFonts w:ascii="Times New Roman" w:cs="Times New Roman" w:eastAsia="Times New Roman" w:hAnsi="Times New Roman"/>
                <w:sz w:val="13"/>
                <w:szCs w:val="13"/>
                <w:color w:val="auto"/>
                <w:w w:val="98"/>
              </w:rPr>
              <w:t>Shipments</w:t>
            </w:r>
          </w:p>
        </w:tc>
        <w:tc>
          <w:tcPr>
            <w:tcW w:w="500" w:type="dxa"/>
            <w:vAlign w:val="bottom"/>
            <w:tcBorders>
              <w:bottom w:val="single" w:sz="8" w:color="auto"/>
            </w:tcBorders>
          </w:tcPr>
          <w:p>
            <w:pPr>
              <w:spacing w:after="0"/>
              <w:rPr>
                <w:sz w:val="14"/>
                <w:szCs w:val="14"/>
                <w:color w:val="auto"/>
              </w:rPr>
            </w:pPr>
          </w:p>
        </w:tc>
      </w:tr>
      <w:tr>
        <w:trPr>
          <w:trHeight w:val="163"/>
        </w:trPr>
        <w:tc>
          <w:tcPr>
            <w:tcW w:w="7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65"/>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sales in South America increased year-over-year predominantly due to higher OSB and siding prices. Increased Adjusted EBITDA reflects the effect of these price increases, partially offset by higher costs of raw materials.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Products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Other products segment includes off-site framing operation Entekra Holdings, LLC, ("Entekra") remaining timber and timberlands, and other minor products, services, and closed operations, which do not qualify as discontinued operations. Other net sales were $26 million for the three months ended March 31, 2022, as compared to $18 million for the corresponding period in 2021. These increases are primarily due to increases in Entekra sales volumes.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was $(6) million for the three months ended March 31, 2022, as compared to $(5) million for the corresponding period in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Selling, general and administrative expenses were $65 million for the three months ended March 31, 2022, compared to $48 million for the corresponding period in 2021. The increase in 2022 is due to increased travel, sales and marketing, and corporate overhead primarily driven by the reduction of restrictions related to the COVID-19 pandemic, and costs associated with stock compensation and performance incentives.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recognized an estimated tax provision of $139 million for the three months ended March 31, 2022, compared to $96 million for the corresponding period of 2021. Each quarter the income tax accrual is adjusted to the latest estimate, and the difference from the previously accrued year-to-date balance is recorded in the current quarter. For 2022 and 2021, the primary differences between the U.S. statutory rate of 21% and the effective rate relate to state income tax.</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Legal and Environmental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5" w:right="31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legal and environmental matters involving us and the potential impact thereof on our financial position, results of operations and cash flows, see Items 3, 7 and 8 in our 2021 Annual Report on Form 10-K and Note 12 of the Notes to the Condensed Consolidated Financial Statements included in Item 1 of this quarterly report on Form 10-Q.</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principal sources of liquidity are existing cash and investment balances, cash generated by our operations, and our ability to borrow under such credit facilities as we may have in effect from time to time. We may also, from time to time, issue and sell equity, debt or hybrid securities, or engage in other capital market transactions.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effecting any such repurchases may be changed at any time, or from time to time, without prior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2022 and 2021, cash provided by operations was $425 million and $314 million, respectively. The improvement in cash provided by operations for the period ended March 31, 2022, was primarily related to increases in OSB commodity pricing and revenue growth in Siding Solutions.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2022 and 2021, cash used in investing activities was $33 million and $32 million, respectively. During the three months ended March 31, 2022, we received $59 million in proceeds from the sale of our 50% equity interest in two joint ventures.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for the three months ended March 31, 2022 and 2021, were $92 million and $34 million, respectively, primarily related to siding conversion expenditures and growth and maintenance capital. We expect to fund our capital expenditures through cash on hand and cash generated from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three months ended March 31, 2022, cash used in financing activities was $137 million. On November 2, 2021, LP's Board of Directors authorized a share repurchase plan under which LP was authorized to repurchase shares of LP's common stock totaling up to $500 million (the Second 2021 Share Repurchase Program). During the three months ended March 31, 2022, we used $104 million to repurchase shares of LP common stock under the Second 2021 Share Repurchase Program, and we paid cash dividends of $19 million. Additionally, we used $15 million to repurchase stock from employees in connection with income tax withholding requirements associated with our employee stock-based compensation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three months ended March 31, 2021, cash used in financing activities was $158 million. During the three months ended March 31, 2021, we used $122 million to repurchase shares of LP common stock under the 2020 Share Repurchase Program, and we paid cash dividends of $17 million. Additionally, in March 2021, we issued $350 million aggregate principal amount of the 2029 Senior Notes and, in February 2021, LP delivered to holders of the 2024 Senior Notes a conditional notice of redemption to redeem on March 27, 2021 all of the 2024 Senior Notes outstanding at a redemption price of 102.438% of the principal amount thereof plus accrued and unpaid interest up to, but not including, the redemption date. The redemption notice became irrevocable on March 11, 2021, and the 2024 Senior Notes were fully redeemed on March 27, 2021. In connection with these aforementioned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0" w:name="page31"/>
    <w:bookmarkEnd w:id="30"/>
    <w:p>
      <w:pPr>
        <w:jc w:val="both"/>
        <w:spacing w:after="0" w:line="287" w:lineRule="auto"/>
        <w:rPr>
          <w:sz w:val="20"/>
          <w:szCs w:val="20"/>
          <w:color w:val="auto"/>
        </w:rPr>
      </w:pPr>
      <w:r>
        <w:rPr>
          <w:rFonts w:ascii="Times New Roman" w:cs="Times New Roman" w:eastAsia="Times New Roman" w:hAnsi="Times New Roman"/>
          <w:sz w:val="14"/>
          <w:szCs w:val="14"/>
          <w:color w:val="auto"/>
        </w:rPr>
        <w:t>activities, we paid $13 million in redemption premiums and debt issuance costs. The remaining financing activities relate to the repurchase of stock from employees in connection with income tax withholding requirements associated with our employee stock-based compensation plans.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Facility and Letter of Credit Facility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June 2021 and August 2021, we entered into the third and fourth amendments to our revolving credit facility, dated as of June 27, 2019 (Credit Facility), with American AgCredit, PCA, as administrative agent, and CoBank, ACB, as letter of credit issuer (as amended, the Amended Credit Facility). The Amended Credit Facility provides for a revolving credit facility in the principal amount of up to $550 million, with a $60 million sub-limit for letters of credit. The Amended Credit Facility, and all loans thereunder, become due on June 8, 2027. As of March 31, 2022, we had no amounts outstanding under the Amended Credit Facility.</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Amended Credit Facility contains various restrictive covenants and customary events of default, the occurrence of which could result in the acceleration of our obligation to repay the indebtedness outstanding thereunder. The Amended Credit Facility also contains financial covenants that require us and our consolidated subsidiaries to have, as of the end of each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57.5%. As of March 31, 2022, we were in compliance with all financial covenants under the Amended Credit Facility.</w:t>
      </w: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Amended Credit Facility, including the capitalization ratio covenant. As of March 31, 2022, we were in compliance with all financial covenants under the Letter of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Liquidity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Off-Balance Sheet Arrangements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31, 2022, we had standby letters of credit of $13 million outstanding related to collateral for environmental impact on owned properties, a deposit for a forestry license, and insurance collateral, including workers' compensation.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 Impairments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review our mill and investment assets for potential impairments at least annually and believe we have adequate support for the carrying value of our assets as of March 31, 2022.</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demand and pricing for our products are significantly below cycle average demand and pricing, should we decide to invest capital in alternative projects, should changes occur related to our wood supply for these locations, or should demand and pricing of our products fall as a result of the long-term effects of the COVID-19 pandemic, it is possible that future impairment charges will be required. As of March 31, 2022, there were no indications of impairment.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review, from time, to time possible dispositions of various assets, considering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1" w:name="page32"/>
    <w:bookmarkEnd w:id="31"/>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international operations have exposure to foreign currency rate risks, primarily due to fluctuations in the Canadian dollar, the Brazilian real, and the Chilean peso.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material currency rate hedges with respect to our exposure from operations, although we may do so in the future.</w:t>
      </w:r>
    </w:p>
    <w:p>
      <w:pPr>
        <w:spacing w:after="0" w:line="14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previously disclosed under caption “Item 3: Quantitative and Qualitative Disclosures about Market Risk)” in our 2021 Annual Report on Form 10-K.</w:t>
      </w:r>
    </w:p>
    <w:p>
      <w:pPr>
        <w:spacing w:after="0" w:line="16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are exposed to market risk associated with changes in interest rates on our variable rate long-term debt. As of March 31, 2022, we had no outstanding amounts borrowed under our Amended Credit Facility. We do not currently have any derivative or hedging arrangements, or other known exposures, to changes in interest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historically have not entered into material commodity futures and swaps, although we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2" w:name="page33"/>
    <w:bookmarkEnd w:id="32"/>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March 31, 2022,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March 31, 2022, LP’s disclosure controls and procedures were effective.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our most recently completed fiscal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3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39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description of certain legal and environmental matters involving LP set forth in Item 1 of this quarterly report on Form 10-Q under Note 12 to the Notes to the Condensed Consolidated Financial Statements contained herein is incorporated herein by reference.</w:t>
      </w:r>
    </w:p>
    <w:p>
      <w:pPr>
        <w:spacing w:after="0" w:line="33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91"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4"/>
          <w:szCs w:val="14"/>
          <w:color w:val="auto"/>
        </w:rPr>
        <w:t>In addition to the other information set forth in this quarterly report on Form 10-Q, an investor should carefully consider the factors discussed in Part I, “Item 1A. Risk Factors” in the Company’s 2021 Annual Report on Form 10-K. Except as set forth below, there were no material changes to the risk factors previously disclosed under caption "Item 1A. Risk Factors" in our 2021 Annual Report on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impact of the Russian invasion of Ukraine on the global economy, energy supplies and raw materials is uncertain, but may prove to negatively impact our business and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short and long-term implications of Russia’s invasion of Ukraine are difficult to predict at this time. We continue to monitor any adverse impact that the outbreak of war in Ukraine and the subsequent institution of sanctions against Russia by the United States and several European and Asian countries may have on the global economy in general, on our business and operations and on the businesses and operations of our suppliers and customers. For example, a prolonged conflict may result in increased inflation, escalating energy prices and constrained availability, and thus increasing costs, of raw materials. We will continue to monitor this fluid situation and develop contingency plans as necessary to address any disruptions to our business operations as they develop. To the extent the war in Ukraine may adversely affect our business as discussed above, it may also have the effect of heightening many of the other risks described in "Item 1A. Risk Factors" of our 2021 Annual Report on Form 10-K, such as those relating to data security, supply chain, volatility in prices of materials, and market conditions, any of which could negatively affect our business and financial condition.</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risks, as described in our 2021 Annual Report on Form 10-K, as supplemented above, are not the only risks facing the Company. Additional risks and uncertainties not currently known to us or that we currently deem immaterial also may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4" w:name="page35"/>
    <w:bookmarkEnd w:id="34"/>
    <w:p>
      <w:pPr>
        <w:spacing w:after="0" w:line="8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November 2, 2021, LP's Board of Directors authorized the Second 2021 Share Repurchase Program. LP may initiate, discontinue or resume purchases of its common stock under the Second 2021 Share Repurchase Program, and may make additional repurchases of common stock, in the open market, in block transactions and in privately-negotiated transactions, including under Rule 10b5-1 plans, at times and in such amounts as management deems appropriate without prior notice, subject to market and business conditions, regulatory requirements and other factors.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 of our common stock was repurchased under this authorization during the quarter ended March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 Shares</w:t>
            </w:r>
          </w:p>
        </w:tc>
        <w:tc>
          <w:tcPr>
            <w:tcW w:w="0" w:type="dxa"/>
            <w:vAlign w:val="bottom"/>
          </w:tcPr>
          <w:p>
            <w:pPr>
              <w:spacing w:after="0"/>
              <w:rPr>
                <w:sz w:val="1"/>
                <w:szCs w:val="1"/>
                <w:color w:val="auto"/>
              </w:rPr>
            </w:pPr>
          </w:p>
        </w:tc>
      </w:tr>
      <w:tr>
        <w:trPr>
          <w:trHeight w:val="127"/>
        </w:trPr>
        <w:tc>
          <w:tcPr>
            <w:tcW w:w="4000" w:type="dxa"/>
            <w:vAlign w:val="bottom"/>
          </w:tcPr>
          <w:p>
            <w:pPr>
              <w:spacing w:after="0"/>
              <w:rPr>
                <w:sz w:val="11"/>
                <w:szCs w:val="11"/>
                <w:color w:val="auto"/>
              </w:rPr>
            </w:pPr>
          </w:p>
        </w:tc>
        <w:tc>
          <w:tcPr>
            <w:tcW w:w="150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Average Price Paid Per</w:t>
            </w:r>
          </w:p>
        </w:tc>
        <w:tc>
          <w:tcPr>
            <w:tcW w:w="1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Available for Repurchase Under the</w:t>
            </w:r>
          </w:p>
        </w:tc>
        <w:tc>
          <w:tcPr>
            <w:tcW w:w="0" w:type="dxa"/>
            <w:vAlign w:val="bottom"/>
          </w:tcPr>
          <w:p>
            <w:pPr>
              <w:spacing w:after="0"/>
              <w:rPr>
                <w:sz w:val="1"/>
                <w:szCs w:val="1"/>
                <w:color w:val="auto"/>
              </w:rPr>
            </w:pPr>
          </w:p>
        </w:tc>
      </w:tr>
      <w:tr>
        <w:trPr>
          <w:trHeight w:val="12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8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Announced Purchase Plans 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Plans or Programs</w:t>
            </w:r>
          </w:p>
        </w:tc>
        <w:tc>
          <w:tcPr>
            <w:tcW w:w="0" w:type="dxa"/>
            <w:vAlign w:val="bottom"/>
          </w:tcPr>
          <w:p>
            <w:pPr>
              <w:spacing w:after="0"/>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15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84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2"/>
              </w:rPr>
              <w:t>Programs</w:t>
            </w:r>
            <w:r>
              <w:rPr>
                <w:rFonts w:ascii="Times New Roman" w:cs="Times New Roman" w:eastAsia="Times New Roman" w:hAnsi="Times New Roman"/>
                <w:sz w:val="16"/>
                <w:szCs w:val="16"/>
                <w:b w:val="1"/>
                <w:bCs w:val="1"/>
                <w:color w:val="auto"/>
                <w:w w:val="92"/>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w:t>
            </w:r>
            <w:r>
              <w:rPr>
                <w:rFonts w:ascii="Times New Roman" w:cs="Times New Roman" w:eastAsia="Times New Roman" w:hAnsi="Times New Roman"/>
                <w:sz w:val="13"/>
                <w:szCs w:val="13"/>
                <w:b w:val="1"/>
                <w:bCs w:val="1"/>
                <w:i w:val="1"/>
                <w:iCs w:val="1"/>
                <w:color w:val="auto"/>
                <w:w w:val="98"/>
              </w:rPr>
              <w:t>in millions</w:t>
            </w:r>
            <w:r>
              <w:rPr>
                <w:rFonts w:ascii="Times New Roman" w:cs="Times New Roman" w:eastAsia="Times New Roman" w:hAnsi="Times New Roman"/>
                <w:sz w:val="13"/>
                <w:szCs w:val="13"/>
                <w:b w:val="1"/>
                <w:bCs w:val="1"/>
                <w:color w:val="auto"/>
                <w:w w:val="98"/>
              </w:rPr>
              <w:t>) end</w:t>
            </w:r>
          </w:p>
        </w:tc>
        <w:tc>
          <w:tcPr>
            <w:tcW w:w="0" w:type="dxa"/>
            <w:vAlign w:val="bottom"/>
          </w:tcPr>
          <w:p>
            <w:pPr>
              <w:spacing w:after="0"/>
              <w:rPr>
                <w:sz w:val="1"/>
                <w:szCs w:val="1"/>
                <w:color w:val="auto"/>
              </w:rPr>
            </w:pPr>
          </w:p>
        </w:tc>
      </w:tr>
      <w:tr>
        <w:trPr>
          <w:trHeight w:val="160"/>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1, 2022 - January 31, 2022</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February 1, 2022 - February 28,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March 1, 2022 - March 31-2022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1,531,738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1,531,738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0" w:type="dxa"/>
            <w:vAlign w:val="bottom"/>
          </w:tcPr>
          <w:p>
            <w:pPr>
              <w:spacing w:after="0"/>
              <w:rPr>
                <w:sz w:val="1"/>
                <w:szCs w:val="1"/>
                <w:color w:val="auto"/>
              </w:rPr>
            </w:pPr>
          </w:p>
        </w:tc>
      </w:tr>
      <w:tr>
        <w:trPr>
          <w:trHeight w:val="163"/>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for First Quarter 2022</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1,531,738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1,531,738</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0"/>
          <w:szCs w:val="10"/>
          <w:color w:val="auto"/>
        </w:rPr>
        <w:t>On November 2, 2021, LP's Board of Directors authorized the Second 2021 Share Repurchase Program under which LP may repurchase shares of its common stock totaling up to $500 million. As of March 31, 2022, LP had used $104 million under the Second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5" w:name="page36"/>
    <w:bookmarkEnd w:id="35"/>
    <w:p>
      <w:pPr>
        <w:spacing w:after="0"/>
        <w:tabs>
          <w:tab w:leader="none" w:pos="10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11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Form of Restricted Stock Unit Award Agreement with retirement provisions under the 2013 Omnibus Stock Award Plan.*</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0000FF"/>
        </w:rPr>
        <w:t>Form of 2022 Performance Shares Award Agreement under the 2013 Omnibus Stock Award Plan.*</w:t>
      </w:r>
    </w:p>
    <w:p>
      <w:pPr>
        <w:ind w:left="360"/>
        <w:spacing w:after="0"/>
        <w:tabs>
          <w:tab w:leader="none" w:pos="96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52">
        <w:r>
          <w:rPr>
            <w:rFonts w:ascii="Times New Roman" w:cs="Times New Roman" w:eastAsia="Times New Roman" w:hAnsi="Times New Roman"/>
            <w:sz w:val="14"/>
            <w:szCs w:val="14"/>
            <w:u w:val="single" w:color="auto"/>
            <w:color w:val="0000FF"/>
          </w:rPr>
          <w:t>2022 Omnibus Stock Award Plan. Incorporated herein by reference to Annex A to LP's Definitive Proxy Statement on Schedule 14A, filed on March 18,</w:t>
        </w:r>
      </w:hyperlink>
    </w:p>
    <w:p>
      <w:pPr>
        <w:ind w:left="980"/>
        <w:spacing w:after="0"/>
        <w:rPr>
          <w:rFonts w:ascii="Times New Roman" w:cs="Times New Roman" w:eastAsia="Times New Roman" w:hAnsi="Times New Roman"/>
          <w:sz w:val="14"/>
          <w:szCs w:val="14"/>
          <w:u w:val="single" w:color="auto"/>
          <w:color w:val="0000FF"/>
        </w:rPr>
      </w:pPr>
      <w:hyperlink r:id="rId52">
        <w:r>
          <w:rPr>
            <w:rFonts w:ascii="Times New Roman" w:cs="Times New Roman" w:eastAsia="Times New Roman" w:hAnsi="Times New Roman"/>
            <w:sz w:val="14"/>
            <w:szCs w:val="14"/>
            <w:u w:val="single" w:color="auto"/>
            <w:color w:val="0000FF"/>
          </w:rPr>
          <w:t>2022.</w:t>
        </w:r>
      </w:hyperlink>
    </w:p>
    <w:p>
      <w:pPr>
        <w:spacing w:after="0" w:line="56"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u w:val="single" w:color="auto"/>
          <w:color w:val="0000FF"/>
        </w:rPr>
        <w:t>Form of Restricted Stock Unit Award Agreement with retirement provisions under the 2022 Omnibus Stock Award Plan.*</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4"/>
          <w:szCs w:val="14"/>
          <w:u w:val="single" w:color="auto"/>
          <w:color w:val="0000FF"/>
        </w:rPr>
        <w:t>Form of Restricted Stock Unit Award Agreement for directors under the 2022 Omnibus Stock Award Plan.*</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10.6</w:t>
      </w:r>
      <w:r>
        <w:rPr>
          <w:sz w:val="20"/>
          <w:szCs w:val="20"/>
          <w:color w:val="auto"/>
        </w:rPr>
        <w:tab/>
      </w:r>
      <w:r>
        <w:rPr>
          <w:rFonts w:ascii="Times New Roman" w:cs="Times New Roman" w:eastAsia="Times New Roman" w:hAnsi="Times New Roman"/>
          <w:sz w:val="14"/>
          <w:szCs w:val="14"/>
          <w:u w:val="single" w:color="auto"/>
          <w:color w:val="0000FF"/>
        </w:rPr>
        <w:t>Form of Performance Shares Award Agreement under the 2022 Omnibus Stock Award Plan.*</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u w:val="single" w:color="auto"/>
          <w:color w:val="0000FF"/>
        </w:rPr>
        <w:t>First Amendment to Louisiana-Pacific 2019 Employee Stock Purchase Plan.</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10.8</w:t>
      </w:r>
      <w:r>
        <w:rPr>
          <w:sz w:val="20"/>
          <w:szCs w:val="20"/>
          <w:color w:val="auto"/>
        </w:rPr>
        <w:tab/>
      </w:r>
      <w:r>
        <w:rPr>
          <w:rFonts w:ascii="Times New Roman" w:cs="Times New Roman" w:eastAsia="Times New Roman" w:hAnsi="Times New Roman"/>
          <w:sz w:val="14"/>
          <w:szCs w:val="14"/>
          <w:u w:val="single" w:color="auto"/>
          <w:color w:val="0000FF"/>
        </w:rPr>
        <w:t>Amended and Restated Louisiana-Pacific Corporation Non-Employee Director Compensation Plan.</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 xml:space="preserve">Certifications of Chief Executive Officer Pursuant to Rule 13a-14(a) under the Securities Exchange Act of 1934. </w:t>
      </w:r>
      <w:r>
        <w:rPr>
          <w:rFonts w:ascii="Times New Roman" w:cs="Times New Roman" w:eastAsia="Times New Roman" w:hAnsi="Times New Roman"/>
          <w:sz w:val="14"/>
          <w:szCs w:val="14"/>
          <w:color w:val="000000"/>
        </w:rPr>
        <w:t>*</w:t>
      </w:r>
    </w:p>
    <w:p>
      <w:pPr>
        <w:spacing w:after="0" w:line="62"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 xml:space="preserve">Certifications of Chief Financial Officer Pursuant to Rule 13a-14(a) under the Securities Exchange Act of 1934. </w:t>
      </w:r>
      <w:r>
        <w:rPr>
          <w:rFonts w:ascii="Times New Roman" w:cs="Times New Roman" w:eastAsia="Times New Roman" w:hAnsi="Times New Roman"/>
          <w:sz w:val="14"/>
          <w:szCs w:val="14"/>
          <w:color w:val="000000"/>
        </w:rPr>
        <w:t>*</w:t>
      </w:r>
    </w:p>
    <w:p>
      <w:pPr>
        <w:spacing w:after="0" w:line="62" w:lineRule="exact"/>
        <w:rPr>
          <w:sz w:val="20"/>
          <w:szCs w:val="20"/>
          <w:color w:val="auto"/>
        </w:rPr>
      </w:pPr>
    </w:p>
    <w:p>
      <w:pPr>
        <w:ind w:left="980" w:hanging="568"/>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Certifications pursuant to § 906 of the Sarbanes-Oxley Act of 2002.</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w:t>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101.INS</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w:t>
            </w:r>
          </w:p>
        </w:tc>
      </w:tr>
      <w:tr>
        <w:trPr>
          <w:trHeight w:val="184"/>
        </w:trPr>
        <w:tc>
          <w:tcPr>
            <w:tcW w:w="640" w:type="dxa"/>
            <w:vAlign w:val="bottom"/>
          </w:tcPr>
          <w:p>
            <w:pPr>
              <w:spacing w:after="0"/>
              <w:rPr>
                <w:sz w:val="16"/>
                <w:szCs w:val="16"/>
                <w:color w:val="auto"/>
              </w:rPr>
            </w:pP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document.*</w:t>
            </w:r>
          </w:p>
        </w:tc>
      </w:tr>
      <w:tr>
        <w:trPr>
          <w:trHeight w:val="229"/>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101.SCH</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23"/>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101.CAL</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23"/>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101.LAB</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23"/>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101.PRE</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23"/>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101.DEF</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23"/>
        </w:trPr>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5"/>
              </w:rPr>
              <w:t>104</w:t>
            </w:r>
          </w:p>
        </w:tc>
        <w:tc>
          <w:tcPr>
            <w:tcW w:w="8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document and contained in Exhibit 101)*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4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auto"/>
        </w:rPr>
        <w:t>SIGNATURES</w:t>
      </w:r>
    </w:p>
    <w:p>
      <w:pPr>
        <w:spacing w:after="0" w:line="83"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4"/>
                <w:szCs w:val="14"/>
                <w:color w:val="auto"/>
              </w:rPr>
              <w:t>LOUISIANA-PACIFIC CORPORATION</w:t>
            </w:r>
          </w:p>
        </w:tc>
      </w:tr>
      <w:tr>
        <w:trPr>
          <w:trHeight w:val="403"/>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3, 2022</w:t>
            </w:r>
          </w:p>
        </w:tc>
        <w:tc>
          <w:tcPr>
            <w:tcW w:w="242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140"/>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 Bradley Southern</w:t>
            </w:r>
          </w:p>
        </w:tc>
      </w:tr>
      <w:tr>
        <w:trPr>
          <w:trHeight w:val="150"/>
        </w:trPr>
        <w:tc>
          <w:tcPr>
            <w:tcW w:w="6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Executive Officer</w:t>
            </w:r>
          </w:p>
        </w:tc>
      </w:tr>
      <w:tr>
        <w:trPr>
          <w:trHeight w:val="42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3, 2022</w:t>
            </w:r>
          </w:p>
        </w:tc>
        <w:tc>
          <w:tcPr>
            <w:tcW w:w="242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40"/>
        </w:trPr>
        <w:tc>
          <w:tcPr>
            <w:tcW w:w="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Alan J.M. Haughie</w:t>
            </w:r>
          </w:p>
        </w:tc>
      </w:tr>
    </w:tbl>
    <w:p>
      <w:pPr>
        <w:spacing w:after="0" w:line="2"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1"/>
          <w:szCs w:val="11"/>
          <w:b w:val="1"/>
          <w:bCs w:val="1"/>
          <w:color w:val="auto"/>
        </w:rPr>
        <w:t>Executive Vice President and</w:t>
      </w:r>
    </w:p>
    <w:p>
      <w:pPr>
        <w:spacing w:after="0" w:line="33"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1"/>
          <w:szCs w:val="11"/>
          <w:b w:val="1"/>
          <w:bCs w:val="1"/>
          <w:color w:val="auto"/>
        </w:rPr>
        <w:t>Chief Financial Officer</w:t>
      </w:r>
    </w:p>
    <w:p>
      <w:pPr>
        <w:sectPr>
          <w:pgSz w:w="11900" w:h="16838" w:orient="portrait"/>
          <w:cols w:equalWidth="0" w:num="1">
            <w:col w:w="11280"/>
          </w:cols>
          <w:pgMar w:left="300" w:top="1143" w:right="319" w:bottom="144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Bradley Southern, certify that:</w:t>
      </w:r>
    </w:p>
    <w:p>
      <w:pPr>
        <w:spacing w:after="0" w:line="13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Date: May 3, 2022</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167"/>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 BRADLEY SOUTHERN</w:t>
            </w:r>
          </w:p>
        </w:tc>
      </w:tr>
      <w:tr>
        <w:trPr>
          <w:trHeight w:val="184"/>
        </w:trPr>
        <w:tc>
          <w:tcPr>
            <w:tcW w:w="56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730"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Alan Haughie, certify that:</w:t>
      </w:r>
    </w:p>
    <w:p>
      <w:pPr>
        <w:spacing w:after="0" w:line="13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report on Form 10-Q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Date: May 3, 2022</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67"/>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ALAN J.M. HAUGHIE</w:t>
            </w:r>
          </w:p>
        </w:tc>
      </w:tr>
      <w:tr>
        <w:trPr>
          <w:trHeight w:val="184"/>
        </w:trPr>
        <w:tc>
          <w:tcPr>
            <w:tcW w:w="56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920" w:right="319" w:bottom="1440" w:gutter="0" w:footer="0" w:header="0"/>
        </w:sectPr>
      </w:pPr>
    </w:p>
    <w:bookmarkStart w:id="111" w:name="page112"/>
    <w:bookmarkEnd w:id="111"/>
    <w:p>
      <w:pPr>
        <w:ind w:left="106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Certifications of Chief Executive Officer and Chief Financial Officer Pursuant to 18 U.S.C. § 1350 as Adopted Pursuant to Section 906 of the Sarbanes-Oxley Act of 2002</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 906 of the Sarbanes-Oxley Act of 2002, in connection with the filing of the Quarterly Report on Form 10-Q of Louisiana-Pacific Corporation (the “Company”) for the three months ended March 31, 2022, as filed with the Securities and Exchange Commission on the date hereof (the “Report”), each of the undersigned officers of the Company certifies, that, to such officer’s knowledge:</w:t>
      </w:r>
    </w:p>
    <w:p>
      <w:pPr>
        <w:spacing w:after="0" w:line="8" w:lineRule="exact"/>
        <w:rPr>
          <w:sz w:val="20"/>
          <w:szCs w:val="20"/>
          <w:color w:val="auto"/>
        </w:rPr>
      </w:pPr>
    </w:p>
    <w:p>
      <w:pPr>
        <w:ind w:left="760" w:hanging="437"/>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51" w:lineRule="exact"/>
        <w:rPr>
          <w:rFonts w:ascii="Times New Roman" w:cs="Times New Roman" w:eastAsia="Times New Roman" w:hAnsi="Times New Roman"/>
          <w:sz w:val="14"/>
          <w:szCs w:val="14"/>
          <w:color w:val="auto"/>
        </w:rPr>
      </w:pPr>
    </w:p>
    <w:p>
      <w:pPr>
        <w:ind w:left="760" w:hanging="437"/>
        <w:spacing w:after="0" w:line="287" w:lineRule="auto"/>
        <w:tabs>
          <w:tab w:leader="none" w:pos="75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3, 2022</w:t>
      </w:r>
    </w:p>
    <w:p>
      <w:pPr>
        <w:spacing w:after="0" w:line="11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W. BRADLEY SOUTHERN</w:t>
      </w:r>
    </w:p>
    <w:p>
      <w:pPr>
        <w:ind w:left="58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Alan J.M. Haughie</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Title: Chief Financial Officer</w:t>
      </w:r>
    </w:p>
    <w:p>
      <w:pPr>
        <w:spacing w:after="0" w:line="1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bullet"/>
      <w:start w:val="1"/>
    </w:lvl>
  </w:abstractNum>
  <w:abstractNum w:abstractNumId="4">
    <w:nsid w:val="12200854"/>
    <w:multiLevelType w:val="hybridMultilevel"/>
    <w:lvl w:ilvl="0">
      <w:lvlJc w:val="left"/>
      <w:lvlText w:val="%1"/>
      <w:numFmt w:val="decimal"/>
      <w:start w:val="3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52" Type="http://schemas.openxmlformats.org/officeDocument/2006/relationships/hyperlink" Target="https://www.sec.gov/Archives/edgar/data/60519/000130817922000083/llpx2022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2022-05-03T14:00:51Z</dcterms:created>
  <dcterms:modified xsi:type="dcterms:W3CDTF">2022-05-03T14:00:51Z</dcterms:modified>
</cp:coreProperties>
</file>