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701675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675005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66675</wp:posOffset>
            </wp:positionV>
            <wp:extent cx="17989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53340</wp:posOffset>
            </wp:positionV>
            <wp:extent cx="17989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209" w:lineRule="exact"/>
        <w:rPr>
          <w:sz w:val="24"/>
          <w:szCs w:val="24"/>
          <w:color w:val="auto"/>
        </w:rPr>
      </w:pPr>
    </w:p>
    <w:p>
      <w:pPr>
        <w:jc w:val="center"/>
        <w:ind w:left="3900" w:right="1220" w:hanging="2680"/>
        <w:spacing w:after="0" w:line="319" w:lineRule="auto"/>
        <w:tabs>
          <w:tab w:leader="none" w:pos="1449"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2024</w:t>
      </w:r>
    </w:p>
    <w:p>
      <w:pPr>
        <w:jc w:val="center"/>
        <w:ind w:left="4500" w:right="1180" w:hanging="3310"/>
        <w:spacing w:after="0" w:line="333" w:lineRule="auto"/>
        <w:tabs>
          <w:tab w:leader="none" w:pos="1464"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7"/>
          <w:szCs w:val="17"/>
          <w:b w:val="1"/>
          <w:bCs w:val="1"/>
          <w:color w:val="auto"/>
        </w:rPr>
        <w:t xml:space="preserve">TRANSITION REPORT PURSUANT TO SECTION 13 OR 15(d) OF THE SECURITIES EXCHANGE ACT OF 1934 Commission File Number </w:t>
      </w:r>
      <w:r>
        <w:rPr>
          <w:rFonts w:ascii="Times New Roman" w:cs="Times New Roman" w:eastAsia="Times New Roman" w:hAnsi="Times New Roman"/>
          <w:sz w:val="14"/>
          <w:szCs w:val="14"/>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-11430</wp:posOffset>
            </wp:positionV>
            <wp:extent cx="17989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5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LOUISIANA-PACIFIC CORPORATION</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46990</wp:posOffset>
            </wp:positionV>
            <wp:extent cx="17989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ectPr>
          <w:pgSz w:w="11900" w:h="16838" w:orient="portrait"/>
          <w:cols w:equalWidth="0" w:num="1">
            <w:col w:w="11280"/>
          </w:cols>
          <w:pgMar w:left="300" w:top="1165" w:right="319" w:bottom="1440" w:gutter="0" w:footer="0" w:header="0"/>
        </w:sectPr>
      </w:pPr>
    </w:p>
    <w:p>
      <w:pPr>
        <w:spacing w:after="0" w:line="24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93-0609074</w:t>
      </w:r>
    </w:p>
    <w:p>
      <w:pPr>
        <w:spacing w:after="0" w:line="10" w:lineRule="exact"/>
        <w:rPr>
          <w:sz w:val="24"/>
          <w:szCs w:val="24"/>
          <w:color w:val="auto"/>
        </w:rPr>
      </w:pPr>
    </w:p>
    <w:p>
      <w:pPr>
        <w:sectPr>
          <w:pgSz w:w="11900" w:h="16838" w:orient="portrait"/>
          <w:cols w:equalWidth="0" w:num="2">
            <w:col w:w="7400" w:space="720"/>
            <w:col w:w="3160"/>
          </w:cols>
          <w:pgMar w:left="300" w:top="1165" w:right="31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ind w:left="20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1"/>
          <w:szCs w:val="11"/>
          <w:b w:val="1"/>
          <w:bCs w:val="1"/>
          <w:color w:val="auto"/>
        </w:rPr>
        <w:t>(IRS Employer</w:t>
      </w:r>
    </w:p>
    <w:p>
      <w:pPr>
        <w:jc w:val="center"/>
        <w:ind w:right="236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74" w:lineRule="exact"/>
        <w:rPr>
          <w:sz w:val="24"/>
          <w:szCs w:val="24"/>
          <w:color w:val="auto"/>
        </w:rPr>
      </w:pPr>
    </w:p>
    <w:p>
      <w:pPr>
        <w:sectPr>
          <w:pgSz w:w="11900" w:h="16838" w:orient="portrait"/>
          <w:cols w:equalWidth="0" w:num="2">
            <w:col w:w="7300" w:space="720"/>
            <w:col w:w="3260"/>
          </w:cols>
          <w:pgMar w:left="300" w:top="1165" w:right="31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1610 West End Avenue, Suite 200, Nashville, TN 37203</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(Zip Code)</w:t>
      </w:r>
    </w:p>
    <w:p>
      <w:pPr>
        <w:sectPr>
          <w:pgSz w:w="11900" w:h="16838" w:orient="portrait"/>
          <w:cols w:equalWidth="0" w:num="1">
            <w:col w:w="11280"/>
          </w:cols>
          <w:pgMar w:left="300" w:top="1165" w:right="31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(615) 986 - 5600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51435</wp:posOffset>
            </wp:positionV>
            <wp:extent cx="17989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7" w:lineRule="exact"/>
        <w:rPr>
          <w:sz w:val="24"/>
          <w:szCs w:val="24"/>
          <w:color w:val="auto"/>
        </w:rPr>
      </w:pPr>
    </w:p>
    <w:tbl>
      <w:tblPr>
        <w:tblLayout w:type="fixed"/>
        <w:tblInd w:w="30" w:type="dxa"/>
        <w:tblCellMar>
          <w:top w:w="0" w:type="dxa"/>
          <w:left w:w="0" w:type="dxa"/>
          <w:bottom w:w="0" w:type="dxa"/>
          <w:right w:w="0" w:type="dxa"/>
        </w:tblCellMar>
      </w:tblPr>
      <w:tr>
        <w:trPr>
          <w:trHeight w:val="191"/>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5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1"/>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$1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LPX</w:t>
            </w:r>
          </w:p>
        </w:tc>
        <w:tc>
          <w:tcPr>
            <w:tcW w:w="5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91" w:lineRule="exact"/>
        <w:rPr>
          <w:sz w:val="24"/>
          <w:szCs w:val="24"/>
          <w:color w:val="auto"/>
        </w:rPr>
      </w:pPr>
    </w:p>
    <w:p>
      <w:pPr>
        <w:ind w:right="160"/>
        <w:spacing w:after="0" w:line="28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80"/>
        <w:spacing w:after="0" w:line="28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0"/>
        <w:spacing w:after="0" w:line="27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50"/>
        </w:trPr>
        <w:tc>
          <w:tcPr>
            <w:tcW w:w="244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Large accelerated filer</w:t>
            </w:r>
          </w:p>
        </w:tc>
        <w:tc>
          <w:tcPr>
            <w:tcW w:w="2560" w:type="dxa"/>
            <w:vAlign w:val="bottom"/>
          </w:tcPr>
          <w:p>
            <w:pPr>
              <w:ind w:left="880"/>
              <w:spacing w:after="0" w:line="151" w:lineRule="exact"/>
              <w:rPr>
                <w:sz w:val="20"/>
                <w:szCs w:val="20"/>
                <w:color w:val="auto"/>
              </w:rPr>
            </w:pPr>
            <w:r>
              <w:rPr>
                <w:rFonts w:ascii="Wingdings" w:cs="Wingdings" w:eastAsia="Wingdings" w:hAnsi="Wingdings"/>
                <w:sz w:val="14"/>
                <w:szCs w:val="14"/>
                <w:b w:val="1"/>
                <w:bCs w:val="1"/>
                <w:color w:val="auto"/>
              </w:rPr>
              <w:t>x</w:t>
            </w:r>
          </w:p>
        </w:tc>
        <w:tc>
          <w:tcPr>
            <w:tcW w:w="3920" w:type="dxa"/>
            <w:vAlign w:val="bottom"/>
          </w:tcPr>
          <w:p>
            <w:pPr>
              <w:ind w:left="1540"/>
              <w:spacing w:after="0" w:line="150" w:lineRule="exact"/>
              <w:rPr>
                <w:sz w:val="20"/>
                <w:szCs w:val="20"/>
                <w:color w:val="auto"/>
              </w:rPr>
            </w:pPr>
            <w:r>
              <w:rPr>
                <w:rFonts w:ascii="Times New Roman" w:cs="Times New Roman" w:eastAsia="Times New Roman" w:hAnsi="Times New Roman"/>
                <w:sz w:val="14"/>
                <w:szCs w:val="14"/>
                <w:color w:val="auto"/>
              </w:rPr>
              <w:t>Accelerated filer</w:t>
            </w:r>
          </w:p>
        </w:tc>
        <w:tc>
          <w:tcPr>
            <w:tcW w:w="960" w:type="dxa"/>
            <w:vAlign w:val="bottom"/>
          </w:tcPr>
          <w:p>
            <w:pPr>
              <w:ind w:left="840"/>
              <w:spacing w:after="0" w:line="151" w:lineRule="exact"/>
              <w:rPr>
                <w:sz w:val="20"/>
                <w:szCs w:val="20"/>
                <w:color w:val="auto"/>
              </w:rPr>
            </w:pPr>
            <w:r>
              <w:rPr>
                <w:rFonts w:ascii="Wingdings" w:cs="Wingdings" w:eastAsia="Wingdings" w:hAnsi="Wingdings"/>
                <w:sz w:val="14"/>
                <w:szCs w:val="14"/>
                <w:b w:val="1"/>
                <w:bCs w:val="1"/>
                <w:color w:val="auto"/>
                <w:w w:val="79"/>
              </w:rPr>
              <w:t>o</w:t>
            </w:r>
          </w:p>
        </w:tc>
      </w:tr>
      <w:tr>
        <w:trPr>
          <w:trHeight w:val="180"/>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560" w:type="dxa"/>
            <w:vAlign w:val="bottom"/>
          </w:tcPr>
          <w:p>
            <w:pPr>
              <w:ind w:left="880"/>
              <w:spacing w:after="0"/>
              <w:rPr>
                <w:sz w:val="20"/>
                <w:szCs w:val="20"/>
                <w:color w:val="auto"/>
              </w:rPr>
            </w:pPr>
            <w:r>
              <w:rPr>
                <w:rFonts w:ascii="Wingdings" w:cs="Wingdings" w:eastAsia="Wingdings" w:hAnsi="Wingdings"/>
                <w:sz w:val="14"/>
                <w:szCs w:val="14"/>
                <w:b w:val="1"/>
                <w:bCs w:val="1"/>
                <w:color w:val="auto"/>
              </w:rPr>
              <w:t>o</w:t>
            </w:r>
          </w:p>
        </w:tc>
        <w:tc>
          <w:tcPr>
            <w:tcW w:w="392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237"/>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560" w:type="dxa"/>
            <w:vAlign w:val="bottom"/>
          </w:tcPr>
          <w:p>
            <w:pPr>
              <w:ind w:left="88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392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80" w:lineRule="exact"/>
        <w:rPr>
          <w:sz w:val="24"/>
          <w:szCs w:val="24"/>
          <w:color w:val="auto"/>
        </w:rPr>
      </w:pPr>
    </w:p>
    <w:p>
      <w:pPr>
        <w:ind w:right="220"/>
        <w:spacing w:after="0" w:line="263"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61" w:lineRule="exact"/>
        <w:tabs>
          <w:tab w:leader="none" w:pos="65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2"/>
          <w:szCs w:val="12"/>
          <w:color w:val="auto"/>
        </w:rPr>
        <w:t>☒</w:t>
      </w:r>
    </w:p>
    <w:p>
      <w:pPr>
        <w:spacing w:after="0" w:line="79" w:lineRule="exact"/>
        <w:rPr>
          <w:sz w:val="24"/>
          <w:szCs w:val="24"/>
          <w:color w:val="auto"/>
        </w:rPr>
      </w:pPr>
    </w:p>
    <w:p>
      <w:pPr>
        <w:ind w:right="20"/>
        <w:spacing w:after="0" w:line="283"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71,671,837 shares of common stock, $1 par value, outstanding as of May 7, 2024.</w:t>
      </w:r>
    </w:p>
    <w:p>
      <w:pPr>
        <w:ind w:right="340"/>
        <w:spacing w:after="0" w:line="290" w:lineRule="auto"/>
        <w:rPr>
          <w:sz w:val="20"/>
          <w:szCs w:val="20"/>
          <w:color w:val="auto"/>
        </w:rPr>
      </w:pPr>
      <w:r>
        <w:rPr>
          <w:rFonts w:ascii="Times New Roman" w:cs="Times New Roman" w:eastAsia="Times New Roman" w:hAnsi="Times New Roman"/>
          <w:sz w:val="14"/>
          <w:szCs w:val="14"/>
          <w:i w:val="1"/>
          <w:iCs w:val="1"/>
          <w:color w:val="auto"/>
        </w:rPr>
        <w:t>Except as otherwise specified and unless the context otherwise requires, references to "LP," the “Company,” “we,” “us,” and “our” refer to Louisiana-Pacific Corporation and its consolidated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559435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19685</wp:posOffset>
            </wp:positionV>
            <wp:extent cx="71481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-6985</wp:posOffset>
            </wp:positionV>
            <wp:extent cx="71481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1165"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such forward-looking statements. This quarterly report on Form 10-Q contains, and other reports and documents we file with, or furnish to, the Securities and Exchange Commission (SEC) may contain forward-looking statements. These statements are based upon the beliefs and assumptions of, and on information available to, our management.</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statements are or may constitute forward-looking statements: (1) statements preceded by, followed by or that include words like “may,” “will,” “could,” “should,” “believe,” “expect,” “anticipate,” “intend,” “plan,” “estimate,” “project,” “target,” “potential,” “continue,” “likely,” or “future,” as well as similar expressions, or the negative or other variations thereof and (2) other statements regarding matters that are not historical facts, including without limitation, statements concerning plans for product development, forecasts of future costs and expenditures, possible outcomes of legal proceedings, capacity expansion and other growth initiatives, the adequacy of reserves for loss contingencies, and any statements regarding the Company's financial outlook.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that could cause actual results to differ materially from those expressed or implied by the forward-looking statements include, but are not limited to, the following:</w:t>
      </w:r>
    </w:p>
    <w:p>
      <w:pPr>
        <w:spacing w:after="0" w:line="94"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fiscal and monetary policies, including tariffs and levels of employment;</w:t>
      </w:r>
    </w:p>
    <w:p>
      <w:pPr>
        <w:spacing w:after="0" w:line="14" w:lineRule="exact"/>
        <w:rPr>
          <w:rFonts w:ascii="Times New Roman" w:cs="Times New Roman" w:eastAsia="Times New Roman" w:hAnsi="Times New Roman"/>
          <w:sz w:val="14"/>
          <w:szCs w:val="14"/>
          <w:color w:val="auto"/>
        </w:rPr>
      </w:pPr>
    </w:p>
    <w:p>
      <w:pPr>
        <w:ind w:left="520" w:right="120" w:hanging="260"/>
        <w:spacing w:after="0" w:line="24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and global economic conditions, including impacts from global pandemics, rising inflation, supply chain disruptions, and new or ongoing military conflicts including the conflict between Russia and Ukraine and the conflict in Israel and the surrounding areas;</w:t>
      </w:r>
    </w:p>
    <w:p>
      <w:pPr>
        <w:spacing w:after="0" w:line="1"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commodity nature of a segment of our products and the prices for those products, which are determined in significant part by external factors such as total industry capacity and wider industry cycles affecting supply and demand trends;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capital;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financing for home mortgages;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level of home construction and repair and remodel activity;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competitive conditions and prices for our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relationship between supply of and demand for building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financial or business conditions of third-party wholesale distributors and dealers of building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relationship between the supply of and demand for raw materials, including wood fiber and resins, used in manufacturing our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energy, primarily natural gas, electricity, and diesel fuel;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transportation, including transportation services provided by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third-party vendors and suppliers for certain goods and services critical to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and financial impacts from manufacturing our products internationally;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the development, launch or production ramp-up of new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executives, management and other key employees;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formulate and implement effective succession plans from time to time for key members of our management team;</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public health issues (including global pandemics) on the economy, demand for our products or our operations, including the actions and recommendations of governmental authorities to contain such public health issues;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successfully complete and integrate acquisitions, divestitures, joint ventures, capital investments and other corporate strategic transactions;</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unplanned interruptions to our manufacturing operations, such as explosions, fires, inclement weather, natural disasters, accidents, equipment failures, labor shortages or disruptions, transportation interruptions,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 w:name="page3"/>
    <w:bookmarkEnd w:id="2"/>
    <w:p>
      <w:pPr>
        <w:ind w:left="520"/>
        <w:spacing w:after="0"/>
        <w:rPr>
          <w:sz w:val="20"/>
          <w:szCs w:val="20"/>
          <w:color w:val="auto"/>
        </w:rPr>
      </w:pPr>
      <w:r>
        <w:rPr>
          <w:rFonts w:ascii="Times New Roman" w:cs="Times New Roman" w:eastAsia="Times New Roman" w:hAnsi="Times New Roman"/>
          <w:sz w:val="14"/>
          <w:szCs w:val="14"/>
          <w:color w:val="auto"/>
        </w:rPr>
        <w:t>supply interruptions, public health issues (including pandemics and quarantines), riots, civil insurrection or social unrest, looting, protests, strikes, and street demonstrations;</w:t>
      </w:r>
    </w:p>
    <w:p>
      <w:pPr>
        <w:spacing w:after="0" w:line="23"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global or regional climate conditions, the impacts of climate change, and potential government policies adopted in response to such conditions;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other significant operating expenses;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currency values and exchange rates between the U.S. dollar and other currencies, particularly the Canadian dollar, Brazilian real, Chilean peso, and Argentine peso;</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and interpretations thereof;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circumstances giving rise to environmental liabilities or expenditures;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warranty costs exceeding our warranty reserves;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to or exploitation of our intellectual property or other proprietary information by our competitors or other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resolution of existing and future product-related litigation, environmental proceedings and remediation efforts, and other legal or environmental proceedings or matters;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covenants and events of default contained in our debt instruments;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any repurchases of our common stock and the payment of dividends on our common stock, which will depend on market and business conditions and other considerations;</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events affecting our information technology systems or those of our third-party providers and the related costs and impact of any disruption on our business;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public authorities, war, political or civil unrest, natural disasters, fire, floods, earthquakes, inclement weather, and other matters beyond our control.</w:t>
      </w:r>
    </w:p>
    <w:p>
      <w:pPr>
        <w:spacing w:after="0" w:line="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the foregoing and any risks and uncertainties specifically identified in the text surrounding forward-looking statements, any statements in the reports and other documents filed by us with, or furnished by us to,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and are inherently uncertain. We undertake no obligation to revise or update any of the forward-looking statements to reflect subsequent events or circumstances except to the extent required by applicable law.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THIRD-PARTY INFORMATION</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300" w:type="dxa"/>
            <w:vAlign w:val="bottom"/>
            <w:gridSpan w:val="2"/>
          </w:tcPr>
          <w:p>
            <w:pPr>
              <w:jc w:val="center"/>
              <w:ind w:right="2096"/>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3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4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9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300" w:type="dxa"/>
            <w:vAlign w:val="bottom"/>
            <w:gridSpan w:val="2"/>
          </w:tcPr>
          <w:p>
            <w:pPr>
              <w:jc w:val="center"/>
              <w:ind w:right="2116"/>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300" w:type="dxa"/>
            <w:vAlign w:val="bottom"/>
            <w:gridSpan w:val="2"/>
          </w:tcPr>
          <w:p>
            <w:pPr>
              <w:jc w:val="center"/>
              <w:ind w:right="2096"/>
              <w:spacing w:after="0"/>
              <w:rPr>
                <w:sz w:val="20"/>
                <w:szCs w:val="20"/>
                <w:color w:val="auto"/>
              </w:rPr>
            </w:pPr>
            <w:r>
              <w:rPr>
                <w:rFonts w:ascii="Times New Roman" w:cs="Times New Roman" w:eastAsia="Times New Roman" w:hAnsi="Times New Roman"/>
                <w:sz w:val="14"/>
                <w:szCs w:val="14"/>
                <w:color w:val="auto"/>
              </w:rPr>
              <w:t>Amounts in millions, except per share amounts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5300" w:type="dxa"/>
            <w:vAlign w:val="bottom"/>
            <w:gridSpan w:val="2"/>
          </w:tcPr>
          <w:p>
            <w:pPr>
              <w:jc w:val="center"/>
              <w:ind w:right="2116"/>
              <w:spacing w:after="0"/>
              <w:rPr>
                <w:sz w:val="20"/>
                <w:szCs w:val="20"/>
                <w:color w:val="auto"/>
              </w:rPr>
            </w:pPr>
            <w:r>
              <w:rPr>
                <w:rFonts w:ascii="Times New Roman" w:cs="Times New Roman" w:eastAsia="Times New Roman" w:hAnsi="Times New Roman"/>
                <w:sz w:val="14"/>
                <w:szCs w:val="14"/>
                <w:color w:val="auto"/>
              </w:rPr>
              <w:t>(Unaudited)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244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980" w:type="dxa"/>
            <w:vAlign w:val="bottom"/>
            <w:tcBorders>
              <w:bottom w:val="single" w:sz="8" w:color="CCEEFF"/>
            </w:tcBorders>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3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584</w:t>
            </w:r>
          </w:p>
        </w:tc>
        <w:tc>
          <w:tcPr>
            <w:tcW w:w="0" w:type="dxa"/>
            <w:vAlign w:val="bottom"/>
          </w:tcPr>
          <w:p>
            <w:pPr>
              <w:spacing w:after="0"/>
              <w:rPr>
                <w:sz w:val="1"/>
                <w:szCs w:val="1"/>
                <w:color w:val="auto"/>
              </w:rPr>
            </w:pPr>
          </w:p>
        </w:tc>
      </w:tr>
      <w:tr>
        <w:trPr>
          <w:trHeight w:val="168"/>
        </w:trPr>
        <w:tc>
          <w:tcPr>
            <w:tcW w:w="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Cost of sales</w:t>
            </w:r>
          </w:p>
        </w:tc>
        <w:tc>
          <w:tcPr>
            <w:tcW w:w="3100" w:type="dxa"/>
            <w:vAlign w:val="bottom"/>
            <w:tcBorders>
              <w:bottom w:val="single" w:sz="8" w:color="CCEEFF"/>
            </w:tcBorders>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310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68"/>
        </w:trPr>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4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72"/>
        </w:trPr>
        <w:tc>
          <w:tcPr>
            <w:tcW w:w="4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434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9"/>
        </w:trPr>
        <w:tc>
          <w:tcPr>
            <w:tcW w:w="40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Income from operations</w:t>
            </w:r>
          </w:p>
        </w:tc>
        <w:tc>
          <w:tcPr>
            <w:tcW w:w="4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145</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w:t>
            </w:r>
          </w:p>
        </w:tc>
        <w:tc>
          <w:tcPr>
            <w:tcW w:w="0" w:type="dxa"/>
            <w:vAlign w:val="bottom"/>
          </w:tcPr>
          <w:p>
            <w:pPr>
              <w:spacing w:after="0"/>
              <w:rPr>
                <w:sz w:val="1"/>
                <w:szCs w:val="1"/>
                <w:color w:val="auto"/>
              </w:rPr>
            </w:pPr>
          </w:p>
        </w:tc>
      </w:tr>
      <w:tr>
        <w:trPr>
          <w:trHeight w:val="171"/>
        </w:trPr>
        <w:tc>
          <w:tcPr>
            <w:tcW w:w="4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expense</w:t>
            </w:r>
          </w:p>
        </w:tc>
        <w:tc>
          <w:tcPr>
            <w:tcW w:w="4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40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Investment income</w:t>
            </w:r>
          </w:p>
        </w:tc>
        <w:tc>
          <w:tcPr>
            <w:tcW w:w="4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4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non-operating income (expense)</w:t>
            </w:r>
          </w:p>
        </w:tc>
        <w:tc>
          <w:tcPr>
            <w:tcW w:w="434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9"/>
        </w:trPr>
        <w:tc>
          <w:tcPr>
            <w:tcW w:w="40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4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148</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w:t>
            </w:r>
          </w:p>
        </w:tc>
        <w:tc>
          <w:tcPr>
            <w:tcW w:w="0" w:type="dxa"/>
            <w:vAlign w:val="bottom"/>
          </w:tcPr>
          <w:p>
            <w:pPr>
              <w:spacing w:after="0"/>
              <w:rPr>
                <w:sz w:val="1"/>
                <w:szCs w:val="1"/>
                <w:color w:val="auto"/>
              </w:rPr>
            </w:pPr>
          </w:p>
        </w:tc>
      </w:tr>
      <w:tr>
        <w:trPr>
          <w:trHeight w:val="171"/>
        </w:trPr>
        <w:tc>
          <w:tcPr>
            <w:tcW w:w="4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4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408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3"/>
                <w:szCs w:val="13"/>
                <w:color w:val="auto"/>
              </w:rPr>
              <w:t>Equity in unconsolidated affiliate</w:t>
            </w:r>
          </w:p>
        </w:tc>
        <w:tc>
          <w:tcPr>
            <w:tcW w:w="43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3100" w:type="dxa"/>
            <w:vAlign w:val="bottom"/>
            <w:tcBorders>
              <w:bottom w:val="single" w:sz="8" w:color="CCEEFF"/>
            </w:tcBorders>
            <w:shd w:val="clear" w:color="auto" w:fill="CCEEFF"/>
          </w:tcPr>
          <w:p>
            <w:pPr>
              <w:spacing w:after="0"/>
              <w:rPr>
                <w:sz w:val="15"/>
                <w:szCs w:val="15"/>
                <w:color w:val="auto"/>
              </w:rPr>
            </w:pPr>
          </w:p>
        </w:tc>
        <w:tc>
          <w:tcPr>
            <w:tcW w:w="4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gridSpan w:val="2"/>
            <w:vMerge w:val="restart"/>
          </w:tcPr>
          <w:p>
            <w:pPr>
              <w:ind w:left="260"/>
              <w:spacing w:after="0"/>
              <w:rPr>
                <w:sz w:val="20"/>
                <w:szCs w:val="20"/>
                <w:color w:val="auto"/>
              </w:rPr>
            </w:pPr>
            <w:r>
              <w:rPr>
                <w:rFonts w:ascii="Times New Roman" w:cs="Times New Roman" w:eastAsia="Times New Roman" w:hAnsi="Times New Roman"/>
                <w:sz w:val="13"/>
                <w:szCs w:val="13"/>
                <w:color w:val="auto"/>
              </w:rPr>
              <w:t>Net income attributed to non-controlling interest</w:t>
            </w:r>
          </w:p>
        </w:tc>
        <w:tc>
          <w:tcPr>
            <w:tcW w:w="4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080" w:type="dxa"/>
            <w:vAlign w:val="bottom"/>
            <w:tcBorders>
              <w:top w:val="single" w:sz="8" w:color="CCEEFF"/>
              <w:bottom w:val="single" w:sz="8" w:color="CCEEFF"/>
            </w:tcBorders>
            <w:gridSpan w:val="2"/>
            <w:vMerge w:val="continue"/>
          </w:tcPr>
          <w:p>
            <w:pPr>
              <w:spacing w:after="0"/>
              <w:rPr>
                <w:sz w:val="11"/>
                <w:szCs w:val="11"/>
                <w:color w:val="auto"/>
              </w:rPr>
            </w:pPr>
          </w:p>
        </w:tc>
        <w:tc>
          <w:tcPr>
            <w:tcW w:w="434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6"/>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attributed to LP</w:t>
            </w:r>
          </w:p>
        </w:tc>
        <w:tc>
          <w:tcPr>
            <w:tcW w:w="4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gridSpan w:val="2"/>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attributed to LP per share of common stock:</w:t>
            </w:r>
          </w:p>
        </w:tc>
        <w:tc>
          <w:tcPr>
            <w:tcW w:w="4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3100" w:type="dxa"/>
            <w:vAlign w:val="bottom"/>
          </w:tcPr>
          <w:p>
            <w:pPr>
              <w:spacing w:after="0"/>
              <w:rPr>
                <w:sz w:val="12"/>
                <w:szCs w:val="12"/>
                <w:color w:val="auto"/>
              </w:rPr>
            </w:pPr>
          </w:p>
        </w:tc>
        <w:tc>
          <w:tcPr>
            <w:tcW w:w="5300" w:type="dxa"/>
            <w:vAlign w:val="bottom"/>
            <w:gridSpan w:val="2"/>
          </w:tcPr>
          <w:p>
            <w:pPr>
              <w:jc w:val="right"/>
              <w:ind w:right="81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Pr>
          <w:p>
            <w:pPr>
              <w:spacing w:after="0"/>
              <w:rPr>
                <w:sz w:val="12"/>
                <w:szCs w:val="12"/>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Borders>
              <w:bottom w:val="single" w:sz="8" w:color="CCEEFF"/>
            </w:tcBorders>
            <w:shd w:val="clear" w:color="auto" w:fill="CCEEFF"/>
          </w:tcPr>
          <w:p>
            <w:pPr>
              <w:ind w:left="180"/>
              <w:spacing w:after="0" w:line="148" w:lineRule="exact"/>
              <w:rPr>
                <w:sz w:val="20"/>
                <w:szCs w:val="20"/>
                <w:color w:val="auto"/>
              </w:rPr>
            </w:pPr>
            <w:r>
              <w:rPr>
                <w:rFonts w:ascii="Times New Roman" w:cs="Times New Roman" w:eastAsia="Times New Roman" w:hAnsi="Times New Roman"/>
                <w:sz w:val="13"/>
                <w:szCs w:val="13"/>
                <w:color w:val="auto"/>
              </w:rPr>
              <w:t>Diluted</w:t>
            </w:r>
          </w:p>
        </w:tc>
        <w:tc>
          <w:tcPr>
            <w:tcW w:w="3100" w:type="dxa"/>
            <w:vAlign w:val="bottom"/>
            <w:tcBorders>
              <w:bottom w:val="single" w:sz="8" w:color="CCEEFF"/>
            </w:tcBorders>
            <w:shd w:val="clear" w:color="auto" w:fill="CCEEFF"/>
          </w:tcPr>
          <w:p>
            <w:pPr>
              <w:spacing w:after="0"/>
              <w:rPr>
                <w:sz w:val="14"/>
                <w:szCs w:val="14"/>
                <w:color w:val="auto"/>
              </w:rPr>
            </w:pPr>
          </w:p>
        </w:tc>
        <w:tc>
          <w:tcPr>
            <w:tcW w:w="4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gridSpan w:val="2"/>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Average shares of common stock used to compute Net income per share:</w:t>
            </w:r>
          </w:p>
        </w:tc>
        <w:tc>
          <w:tcPr>
            <w:tcW w:w="4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3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Borders>
              <w:bottom w:val="single" w:sz="8" w:color="CCEEFF"/>
            </w:tcBorders>
            <w:shd w:val="clear" w:color="auto" w:fill="CCEEFF"/>
          </w:tcPr>
          <w:p>
            <w:pPr>
              <w:ind w:left="180"/>
              <w:spacing w:after="0" w:line="148" w:lineRule="exact"/>
              <w:rPr>
                <w:sz w:val="20"/>
                <w:szCs w:val="20"/>
                <w:color w:val="auto"/>
              </w:rPr>
            </w:pPr>
            <w:r>
              <w:rPr>
                <w:rFonts w:ascii="Times New Roman" w:cs="Times New Roman" w:eastAsia="Times New Roman" w:hAnsi="Times New Roman"/>
                <w:sz w:val="13"/>
                <w:szCs w:val="13"/>
                <w:color w:val="auto"/>
              </w:rPr>
              <w:t>Diluted</w:t>
            </w:r>
          </w:p>
        </w:tc>
        <w:tc>
          <w:tcPr>
            <w:tcW w:w="3100" w:type="dxa"/>
            <w:vAlign w:val="bottom"/>
            <w:tcBorders>
              <w:bottom w:val="single" w:sz="8" w:color="CCEEFF"/>
            </w:tcBorders>
            <w:shd w:val="clear" w:color="auto" w:fill="CCEEFF"/>
          </w:tcPr>
          <w:p>
            <w:pPr>
              <w:spacing w:after="0"/>
              <w:rPr>
                <w:sz w:val="14"/>
                <w:szCs w:val="14"/>
                <w:color w:val="auto"/>
              </w:rPr>
            </w:pPr>
          </w:p>
        </w:tc>
        <w:tc>
          <w:tcPr>
            <w:tcW w:w="4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Amounts 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8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380" w:type="dxa"/>
            <w:vAlign w:val="bottom"/>
            <w:tcBorders>
              <w:bottom w:val="single" w:sz="8" w:color="auto"/>
            </w:tcBorders>
          </w:tcPr>
          <w:p>
            <w:pPr>
              <w:spacing w:after="0"/>
              <w:rPr>
                <w:sz w:val="14"/>
                <w:szCs w:val="14"/>
                <w:color w:val="auto"/>
              </w:rPr>
            </w:pPr>
          </w:p>
        </w:tc>
      </w:tr>
      <w:tr>
        <w:trPr>
          <w:trHeight w:val="161"/>
        </w:trPr>
        <w:tc>
          <w:tcPr>
            <w:tcW w:w="82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Borders>
              <w:bottom w:val="single" w:sz="8" w:color="auto"/>
            </w:tcBorders>
          </w:tcPr>
          <w:p>
            <w:pPr>
              <w:spacing w:after="0"/>
              <w:rPr>
                <w:sz w:val="14"/>
                <w:szCs w:val="14"/>
                <w:color w:val="auto"/>
              </w:rPr>
            </w:pPr>
          </w:p>
        </w:tc>
      </w:tr>
      <w:tr>
        <w:trPr>
          <w:trHeight w:val="162"/>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r>
      <w:tr>
        <w:trPr>
          <w:trHeight w:val="168"/>
        </w:trPr>
        <w:tc>
          <w:tcPr>
            <w:tcW w:w="8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2"/>
        </w:trPr>
        <w:tc>
          <w:tcPr>
            <w:tcW w:w="8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9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8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9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3"/>
        </w:trPr>
        <w:tc>
          <w:tcPr>
            <w:tcW w:w="828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Other comprehensive income (loss), net of tax</w:t>
            </w:r>
          </w:p>
        </w:tc>
        <w:tc>
          <w:tcPr>
            <w:tcW w:w="9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0"/>
        </w:trPr>
        <w:tc>
          <w:tcPr>
            <w:tcW w:w="8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93</w:t>
            </w:r>
          </w:p>
        </w:tc>
        <w:tc>
          <w:tcPr>
            <w:tcW w:w="1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52"/>
        </w:trPr>
        <w:tc>
          <w:tcPr>
            <w:tcW w:w="82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Comprehensive income associated with non-controlling interest</w:t>
            </w:r>
          </w:p>
        </w:tc>
        <w:tc>
          <w:tcPr>
            <w:tcW w:w="9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9"/>
        </w:trPr>
        <w:tc>
          <w:tcPr>
            <w:tcW w:w="8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Comprehensive income attributed to LP</w:t>
            </w:r>
          </w:p>
        </w:tc>
        <w:tc>
          <w:tcPr>
            <w:tcW w:w="98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93</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w:t>
            </w:r>
          </w:p>
        </w:tc>
      </w:tr>
      <w:tr>
        <w:trPr>
          <w:trHeight w:val="20"/>
        </w:trPr>
        <w:tc>
          <w:tcPr>
            <w:tcW w:w="8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80" w:top="823"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00" w:type="dxa"/>
            <w:vAlign w:val="bottom"/>
          </w:tcPr>
          <w:p>
            <w:pPr>
              <w:spacing w:after="0"/>
              <w:rPr>
                <w:sz w:val="14"/>
                <w:szCs w:val="14"/>
                <w:color w:val="auto"/>
              </w:rPr>
            </w:pP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52"/>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8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Receivables, net of allowance for doubtful accounts of $2 as of March 31, 2024 and December 31, 2023.</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9"/>
        </w:trPr>
        <w:tc>
          <w:tcPr>
            <w:tcW w:w="7640" w:type="dxa"/>
            <w:vAlign w:val="bottom"/>
            <w:tcBorders>
              <w:bottom w:val="single" w:sz="8" w:color="CCEEFF"/>
            </w:tcBorders>
          </w:tcPr>
          <w:p>
            <w:pPr>
              <w:ind w:left="28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842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778</w:t>
            </w:r>
          </w:p>
        </w:tc>
        <w:tc>
          <w:tcPr>
            <w:tcW w:w="0" w:type="dxa"/>
            <w:vAlign w:val="bottom"/>
          </w:tcPr>
          <w:p>
            <w:pPr>
              <w:spacing w:after="0"/>
              <w:rPr>
                <w:sz w:val="1"/>
                <w:szCs w:val="1"/>
                <w:color w:val="auto"/>
              </w:rPr>
            </w:pPr>
          </w:p>
        </w:tc>
      </w:tr>
      <w:tr>
        <w:trPr>
          <w:trHeight w:val="193"/>
        </w:trPr>
        <w:tc>
          <w:tcPr>
            <w:tcW w:w="7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1,540</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Timber and timberlands</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lease assets, net</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Goodwill and other intangible assets</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Investments in and advances to affiliates</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assets</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Deferred tax asset</w:t>
            </w: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6"/>
        </w:trPr>
        <w:tc>
          <w:tcPr>
            <w:tcW w:w="7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2,487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 payable</w:t>
            </w:r>
          </w:p>
        </w:tc>
        <w:tc>
          <w:tcPr>
            <w:tcW w:w="2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9"/>
        </w:trPr>
        <w:tc>
          <w:tcPr>
            <w:tcW w:w="7640" w:type="dxa"/>
            <w:vAlign w:val="bottom"/>
            <w:tcBorders>
              <w:bottom w:val="single" w:sz="8" w:color="CCEEFF"/>
            </w:tcBorders>
          </w:tcPr>
          <w:p>
            <w:pPr>
              <w:ind w:left="28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259</w:t>
            </w:r>
          </w:p>
        </w:tc>
        <w:tc>
          <w:tcPr>
            <w:tcW w:w="0" w:type="dxa"/>
            <w:vAlign w:val="bottom"/>
          </w:tcPr>
          <w:p>
            <w:pPr>
              <w:spacing w:after="0"/>
              <w:rPr>
                <w:sz w:val="1"/>
                <w:szCs w:val="1"/>
                <w:color w:val="auto"/>
              </w:rPr>
            </w:pPr>
          </w:p>
        </w:tc>
      </w:tr>
      <w:tr>
        <w:trPr>
          <w:trHeight w:val="193"/>
        </w:trPr>
        <w:tc>
          <w:tcPr>
            <w:tcW w:w="7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 debt</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income taxes</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Non-current operating lease liabilities</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Contingency reserves, excluding current portion</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61"/>
        </w:trPr>
        <w:tc>
          <w:tcPr>
            <w:tcW w:w="7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880</w:t>
            </w:r>
          </w:p>
        </w:tc>
        <w:tc>
          <w:tcPr>
            <w:tcW w:w="0" w:type="dxa"/>
            <w:vAlign w:val="bottom"/>
          </w:tcPr>
          <w:p>
            <w:pPr>
              <w:spacing w:after="0"/>
              <w:rPr>
                <w:sz w:val="1"/>
                <w:szCs w:val="1"/>
                <w:color w:val="auto"/>
              </w:rPr>
            </w:pPr>
          </w:p>
        </w:tc>
      </w:tr>
      <w:tr>
        <w:trPr>
          <w:trHeight w:val="193"/>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64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auto"/>
              </w:rPr>
              <w:t>Common stock, $1 par value, 200 shares authorized; 88 and 72 shares issued and outstanding, respectively, as of March 31, 2024 and</w:t>
            </w:r>
          </w:p>
        </w:tc>
        <w:tc>
          <w:tcPr>
            <w:tcW w:w="2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02"/>
        </w:trPr>
        <w:tc>
          <w:tcPr>
            <w:tcW w:w="7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December 31, 2023</w:t>
            </w:r>
          </w:p>
        </w:tc>
        <w:tc>
          <w:tcPr>
            <w:tcW w:w="28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7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Treasury stock, 16 shares at cost as of March 31, 2024 and December 31, 2023</w:t>
            </w: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Accumulated comprehensive loss</w:t>
            </w: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2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1,557</w:t>
            </w:r>
          </w:p>
        </w:tc>
        <w:tc>
          <w:tcPr>
            <w:tcW w:w="0" w:type="dxa"/>
            <w:vAlign w:val="bottom"/>
          </w:tcPr>
          <w:p>
            <w:pPr>
              <w:spacing w:after="0"/>
              <w:rPr>
                <w:sz w:val="1"/>
                <w:szCs w:val="1"/>
                <w:color w:val="auto"/>
              </w:rPr>
            </w:pPr>
          </w:p>
        </w:tc>
      </w:tr>
      <w:tr>
        <w:trPr>
          <w:trHeight w:val="159"/>
        </w:trPr>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2,487</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2,437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160" w:type="dxa"/>
            <w:vAlign w:val="bottom"/>
            <w:tcBorders>
              <w:bottom w:val="single" w:sz="8" w:color="auto"/>
            </w:tcBorders>
            <w:gridSpan w:val="4"/>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r>
      <w:tr>
        <w:trPr>
          <w:trHeight w:val="161"/>
        </w:trPr>
        <w:tc>
          <w:tcPr>
            <w:tcW w:w="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r>
      <w:tr>
        <w:trPr>
          <w:trHeight w:val="151"/>
        </w:trPr>
        <w:tc>
          <w:tcPr>
            <w:tcW w:w="20" w:type="dxa"/>
            <w:vAlign w:val="bottom"/>
            <w:shd w:val="clear" w:color="auto" w:fill="CCEEFF"/>
          </w:tcPr>
          <w:p>
            <w:pPr>
              <w:spacing w:after="0"/>
              <w:rPr>
                <w:sz w:val="13"/>
                <w:szCs w:val="13"/>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w:t>
            </w: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1260" w:type="dxa"/>
            <w:vAlign w:val="bottom"/>
          </w:tcPr>
          <w:p>
            <w:pPr>
              <w:jc w:val="right"/>
              <w:ind w:right="11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net income:</w:t>
            </w:r>
          </w:p>
        </w:tc>
        <w:tc>
          <w:tcPr>
            <w:tcW w:w="1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Pension loss due to settlement</w:t>
            </w:r>
          </w:p>
        </w:tc>
        <w:tc>
          <w:tcPr>
            <w:tcW w:w="1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20" w:type="dxa"/>
            <w:vAlign w:val="bottom"/>
          </w:tcPr>
          <w:p>
            <w:pPr>
              <w:spacing w:after="0"/>
              <w:rPr>
                <w:sz w:val="14"/>
                <w:szCs w:val="14"/>
                <w:color w:val="auto"/>
              </w:rPr>
            </w:pPr>
          </w:p>
        </w:tc>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Deferred taxes</w:t>
            </w:r>
          </w:p>
        </w:tc>
        <w:tc>
          <w:tcPr>
            <w:tcW w:w="1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currency remeasurement and transaction gains</w:t>
            </w:r>
          </w:p>
        </w:tc>
        <w:tc>
          <w:tcPr>
            <w:tcW w:w="1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0" w:type="dxa"/>
            <w:vAlign w:val="bottom"/>
          </w:tcPr>
          <w:p>
            <w:pPr>
              <w:spacing w:after="0"/>
              <w:rPr>
                <w:sz w:val="14"/>
                <w:szCs w:val="14"/>
                <w:color w:val="auto"/>
              </w:rPr>
            </w:pPr>
          </w:p>
        </w:tc>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Other adjustments, net</w:t>
            </w:r>
          </w:p>
        </w:tc>
        <w:tc>
          <w:tcPr>
            <w:tcW w:w="1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assets and liabilities (net of acquisitions and divestitures):</w:t>
            </w:r>
          </w:p>
        </w:tc>
        <w:tc>
          <w:tcPr>
            <w:tcW w:w="1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Receivables</w:t>
            </w:r>
          </w:p>
        </w:tc>
        <w:tc>
          <w:tcPr>
            <w:tcW w:w="1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Inventories</w:t>
            </w:r>
          </w:p>
        </w:tc>
        <w:tc>
          <w:tcPr>
            <w:tcW w:w="1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68"/>
        </w:trPr>
        <w:tc>
          <w:tcPr>
            <w:tcW w:w="20" w:type="dxa"/>
            <w:vAlign w:val="bottom"/>
          </w:tcPr>
          <w:p>
            <w:pPr>
              <w:spacing w:after="0"/>
              <w:rPr>
                <w:sz w:val="14"/>
                <w:szCs w:val="14"/>
                <w:color w:val="auto"/>
              </w:rPr>
            </w:pPr>
          </w:p>
        </w:tc>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68"/>
        </w:trPr>
        <w:tc>
          <w:tcPr>
            <w:tcW w:w="20" w:type="dxa"/>
            <w:vAlign w:val="bottom"/>
            <w:tcBorders>
              <w:bottom w:val="single" w:sz="8" w:color="CCEEFF"/>
            </w:tcBorders>
          </w:tcPr>
          <w:p>
            <w:pPr>
              <w:spacing w:after="0"/>
              <w:rPr>
                <w:sz w:val="14"/>
                <w:szCs w:val="14"/>
                <w:color w:val="auto"/>
              </w:rPr>
            </w:pPr>
          </w:p>
        </w:tc>
        <w:tc>
          <w:tcPr>
            <w:tcW w:w="75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Income taxes payable, net of receivables</w:t>
            </w:r>
          </w:p>
        </w:tc>
        <w:tc>
          <w:tcPr>
            <w:tcW w:w="1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3"/>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Net cash provided by (used in) operating activities</w:t>
            </w:r>
          </w:p>
        </w:tc>
        <w:tc>
          <w:tcPr>
            <w:tcW w:w="12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105</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w:t>
            </w:r>
          </w:p>
        </w:tc>
      </w:tr>
      <w:tr>
        <w:trPr>
          <w:trHeight w:val="149"/>
        </w:trPr>
        <w:tc>
          <w:tcPr>
            <w:tcW w:w="20" w:type="dxa"/>
            <w:vAlign w:val="bottom"/>
          </w:tcPr>
          <w:p>
            <w:pPr>
              <w:spacing w:after="0"/>
              <w:rPr>
                <w:sz w:val="12"/>
                <w:szCs w:val="12"/>
                <w:color w:val="auto"/>
              </w:rPr>
            </w:pPr>
          </w:p>
        </w:tc>
        <w:tc>
          <w:tcPr>
            <w:tcW w:w="75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1"/>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 additions</w:t>
            </w:r>
          </w:p>
        </w:tc>
        <w:tc>
          <w:tcPr>
            <w:tcW w:w="1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68"/>
        </w:trPr>
        <w:tc>
          <w:tcPr>
            <w:tcW w:w="20" w:type="dxa"/>
            <w:vAlign w:val="bottom"/>
          </w:tcPr>
          <w:p>
            <w:pPr>
              <w:spacing w:after="0"/>
              <w:rPr>
                <w:sz w:val="14"/>
                <w:szCs w:val="14"/>
                <w:color w:val="auto"/>
              </w:rPr>
            </w:pPr>
          </w:p>
        </w:tc>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Proceeds from sales of assets</w:t>
            </w:r>
          </w:p>
        </w:tc>
        <w:tc>
          <w:tcPr>
            <w:tcW w:w="12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7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Net cash used in investing activities</w:t>
            </w:r>
          </w:p>
        </w:tc>
        <w:tc>
          <w:tcPr>
            <w:tcW w:w="128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w:t>
            </w:r>
          </w:p>
        </w:tc>
      </w:tr>
      <w:tr>
        <w:trPr>
          <w:trHeight w:val="149"/>
        </w:trPr>
        <w:tc>
          <w:tcPr>
            <w:tcW w:w="20" w:type="dxa"/>
            <w:vAlign w:val="bottom"/>
          </w:tcPr>
          <w:p>
            <w:pPr>
              <w:spacing w:after="0"/>
              <w:rPr>
                <w:sz w:val="12"/>
                <w:szCs w:val="12"/>
                <w:color w:val="auto"/>
              </w:rPr>
            </w:pPr>
          </w:p>
        </w:tc>
        <w:tc>
          <w:tcPr>
            <w:tcW w:w="75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1"/>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 of cash dividends</w:t>
            </w:r>
          </w:p>
        </w:tc>
        <w:tc>
          <w:tcPr>
            <w:tcW w:w="1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20" w:type="dxa"/>
            <w:vAlign w:val="bottom"/>
          </w:tcPr>
          <w:p>
            <w:pPr>
              <w:spacing w:after="0"/>
              <w:rPr>
                <w:sz w:val="14"/>
                <w:szCs w:val="14"/>
                <w:color w:val="auto"/>
              </w:rPr>
            </w:pPr>
          </w:p>
        </w:tc>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12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9"/>
        </w:trPr>
        <w:tc>
          <w:tcPr>
            <w:tcW w:w="20" w:type="dxa"/>
            <w:vAlign w:val="bottom"/>
            <w:tcBorders>
              <w:bottom w:val="single" w:sz="8" w:color="CCEEFF"/>
            </w:tcBorders>
          </w:tcPr>
          <w:p>
            <w:pPr>
              <w:spacing w:after="0"/>
              <w:rPr>
                <w:sz w:val="13"/>
                <w:szCs w:val="13"/>
                <w:color w:val="auto"/>
              </w:rPr>
            </w:pPr>
          </w:p>
        </w:tc>
        <w:tc>
          <w:tcPr>
            <w:tcW w:w="7580" w:type="dxa"/>
            <w:vAlign w:val="bottom"/>
            <w:tcBorders>
              <w:bottom w:val="single" w:sz="8" w:color="CCEEFF"/>
            </w:tcBorders>
            <w:gridSpan w:val="2"/>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Net cash used in financing activities</w:t>
            </w:r>
          </w:p>
        </w:tc>
        <w:tc>
          <w:tcPr>
            <w:tcW w:w="1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1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w:t>
            </w:r>
          </w:p>
        </w:tc>
      </w:tr>
      <w:tr>
        <w:trPr>
          <w:trHeight w:val="16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EFFECT OF EXCHANGE RATE ON CASH, CASH EQUIVALENTS, AND RESTRICTED CASH</w:t>
            </w:r>
          </w:p>
        </w:tc>
        <w:tc>
          <w:tcPr>
            <w:tcW w:w="12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8"/>
        </w:trPr>
        <w:tc>
          <w:tcPr>
            <w:tcW w:w="20" w:type="dxa"/>
            <w:vAlign w:val="bottom"/>
          </w:tcPr>
          <w:p>
            <w:pPr>
              <w:spacing w:after="0"/>
              <w:rPr>
                <w:sz w:val="13"/>
                <w:szCs w:val="13"/>
                <w:color w:val="auto"/>
              </w:rPr>
            </w:pPr>
          </w:p>
        </w:tc>
        <w:tc>
          <w:tcPr>
            <w:tcW w:w="75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2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r>
      <w:tr>
        <w:trPr>
          <w:trHeight w:val="17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2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r>
      <w:tr>
        <w:trPr>
          <w:trHeight w:val="159"/>
        </w:trPr>
        <w:tc>
          <w:tcPr>
            <w:tcW w:w="20" w:type="dxa"/>
            <w:vAlign w:val="bottom"/>
          </w:tcPr>
          <w:p>
            <w:pPr>
              <w:spacing w:after="0"/>
              <w:rPr>
                <w:sz w:val="13"/>
                <w:szCs w:val="13"/>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28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244</w:t>
            </w:r>
          </w:p>
        </w:tc>
        <w:tc>
          <w:tcPr>
            <w:tcW w:w="100" w:type="dxa"/>
            <w:vAlign w:val="bottom"/>
          </w:tcPr>
          <w:p>
            <w:pPr>
              <w:spacing w:after="0"/>
              <w:rPr>
                <w:sz w:val="13"/>
                <w:szCs w:val="13"/>
                <w:color w:val="auto"/>
              </w:rPr>
            </w:pPr>
          </w:p>
        </w:tc>
        <w:tc>
          <w:tcPr>
            <w:tcW w:w="1260" w:type="dxa"/>
            <w:vAlign w:val="bottom"/>
            <w:tcBorders>
              <w:bottom w:val="single" w:sz="8" w:color="auto"/>
            </w:tcBorders>
          </w:tcPr>
          <w:p>
            <w:pPr>
              <w:jc w:val="right"/>
              <w:ind w:right="1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55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202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7"/>
              </w:rPr>
              <w:t>Supplemental cash flow information:</w:t>
            </w:r>
          </w:p>
        </w:tc>
        <w:tc>
          <w:tcPr>
            <w:tcW w:w="5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income taxes, net</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8"/>
        </w:trPr>
        <w:tc>
          <w:tcPr>
            <w:tcW w:w="20" w:type="dxa"/>
            <w:vAlign w:val="bottom"/>
          </w:tcPr>
          <w:p>
            <w:pPr>
              <w:spacing w:after="0"/>
              <w:rPr>
                <w:sz w:val="14"/>
                <w:szCs w:val="14"/>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paid for interest, net</w:t>
            </w:r>
          </w:p>
        </w:tc>
        <w:tc>
          <w:tcPr>
            <w:tcW w:w="1280" w:type="dxa"/>
            <w:vAlign w:val="bottom"/>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260" w:type="dxa"/>
            <w:vAlign w:val="bottom"/>
          </w:tcPr>
          <w:p>
            <w:pPr>
              <w:jc w:val="right"/>
              <w:ind w:right="11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20" w:type="dxa"/>
            <w:vAlign w:val="bottom"/>
            <w:shd w:val="clear" w:color="auto" w:fill="CCEEFF"/>
          </w:tcPr>
          <w:p>
            <w:pPr>
              <w:spacing w:after="0"/>
              <w:rPr>
                <w:sz w:val="14"/>
                <w:szCs w:val="14"/>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Unpaid capital expenditures</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8"/>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80" w:type="dxa"/>
            <w:vAlign w:val="bottom"/>
            <w:gridSpan w:val="7"/>
          </w:tcPr>
          <w:p>
            <w:pPr>
              <w:ind w:left="3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restart"/>
          </w:tcPr>
          <w:p>
            <w:pPr>
              <w:jc w:val="center"/>
              <w:ind w:right="240"/>
              <w:spacing w:after="0" w:line="106" w:lineRule="exact"/>
              <w:rPr>
                <w:sz w:val="20"/>
                <w:szCs w:val="20"/>
                <w:color w:val="auto"/>
              </w:rPr>
            </w:pPr>
            <w:r>
              <w:rPr>
                <w:rFonts w:ascii="Times New Roman" w:cs="Times New Roman" w:eastAsia="Times New Roman" w:hAnsi="Times New Roman"/>
                <w:sz w:val="12"/>
                <w:szCs w:val="12"/>
                <w:b w:val="1"/>
                <w:bCs w:val="1"/>
                <w:color w:val="auto"/>
              </w:rPr>
              <w:t>Paid-in</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gridSpan w:val="2"/>
            <w:vMerge w:val="restart"/>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vMerge w:val="restart"/>
          </w:tcPr>
          <w:p>
            <w:pPr>
              <w:jc w:val="center"/>
              <w:ind w:right="137"/>
              <w:spacing w:after="0" w:line="106"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line="20" w:lineRule="exact"/>
              <w:rPr>
                <w:sz w:val="1"/>
                <w:szCs w:val="1"/>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1,479</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 attributed to LP</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paid ($0.26 per share)</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Issuance of shares under stock plans</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40" w:type="dxa"/>
            <w:vAlign w:val="bottom"/>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Taxes paid related to net settlement of stock-based</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4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awards</w:t>
            </w:r>
          </w:p>
        </w:tc>
        <w:tc>
          <w:tcPr>
            <w:tcW w:w="72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3"/>
            <w:vMerge w:val="continue"/>
            <w:shd w:val="clear" w:color="auto" w:fill="CCEEFF"/>
          </w:tcPr>
          <w:p>
            <w:pPr>
              <w:spacing w:after="0"/>
              <w:rPr>
                <w:sz w:val="8"/>
                <w:szCs w:val="8"/>
                <w:color w:val="auto"/>
              </w:rPr>
            </w:pPr>
          </w:p>
        </w:tc>
        <w:tc>
          <w:tcPr>
            <w:tcW w:w="800" w:type="dxa"/>
            <w:vAlign w:val="bottom"/>
            <w:gridSpan w:val="4"/>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940" w:type="dxa"/>
            <w:vAlign w:val="bottom"/>
            <w:gridSpan w:val="2"/>
            <w:vMerge w:val="continue"/>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Purchase of stock</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4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Compensation expense associated with stock-based</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compensation</w:t>
            </w:r>
          </w:p>
        </w:tc>
        <w:tc>
          <w:tcPr>
            <w:tcW w:w="72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3"/>
            <w:vMerge w:val="continue"/>
            <w:shd w:val="clear" w:color="auto" w:fill="CCEEFF"/>
          </w:tcPr>
          <w:p>
            <w:pPr>
              <w:spacing w:after="0"/>
              <w:rPr>
                <w:sz w:val="8"/>
                <w:szCs w:val="8"/>
                <w:color w:val="auto"/>
              </w:rPr>
            </w:pPr>
          </w:p>
        </w:tc>
        <w:tc>
          <w:tcPr>
            <w:tcW w:w="800" w:type="dxa"/>
            <w:vAlign w:val="bottom"/>
            <w:gridSpan w:val="4"/>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940" w:type="dxa"/>
            <w:vAlign w:val="bottom"/>
            <w:gridSpan w:val="2"/>
            <w:vMerge w:val="continue"/>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1,617</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8"/>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80" w:type="dxa"/>
            <w:vAlign w:val="bottom"/>
            <w:gridSpan w:val="7"/>
          </w:tcPr>
          <w:p>
            <w:pPr>
              <w:ind w:left="3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6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restart"/>
          </w:tcPr>
          <w:p>
            <w:pPr>
              <w:jc w:val="center"/>
              <w:ind w:right="220"/>
              <w:spacing w:after="0" w:line="106" w:lineRule="exact"/>
              <w:rPr>
                <w:sz w:val="20"/>
                <w:szCs w:val="20"/>
                <w:color w:val="auto"/>
              </w:rPr>
            </w:pPr>
            <w:r>
              <w:rPr>
                <w:rFonts w:ascii="Times New Roman" w:cs="Times New Roman" w:eastAsia="Times New Roman" w:hAnsi="Times New Roman"/>
                <w:sz w:val="12"/>
                <w:szCs w:val="12"/>
                <w:b w:val="1"/>
                <w:bCs w:val="1"/>
                <w:color w:val="auto"/>
              </w:rPr>
              <w:t>Paid-in</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gridSpan w:val="2"/>
            <w:vMerge w:val="restart"/>
          </w:tcPr>
          <w:p>
            <w:pPr>
              <w:jc w:val="center"/>
              <w:ind w:right="260"/>
              <w:spacing w:after="0" w:line="106"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vMerge w:val="restart"/>
          </w:tcPr>
          <w:p>
            <w:pPr>
              <w:jc w:val="center"/>
              <w:ind w:right="117"/>
              <w:spacing w:after="0" w:line="106"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line="20" w:lineRule="exact"/>
              <w:rPr>
                <w:sz w:val="1"/>
                <w:szCs w:val="1"/>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462</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1,371</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Net income attributed to LP</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Dividends paid ($0.24 per share)</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Issuance of shares under stock plans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94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Taxes paid related to net settlement of stock-based</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02"/>
        </w:trPr>
        <w:tc>
          <w:tcPr>
            <w:tcW w:w="20" w:type="dxa"/>
            <w:vAlign w:val="bottom"/>
            <w:shd w:val="clear" w:color="auto" w:fill="CCEEFF"/>
          </w:tcPr>
          <w:p>
            <w:pPr>
              <w:spacing w:after="0"/>
              <w:rPr>
                <w:sz w:val="8"/>
                <w:szCs w:val="8"/>
                <w:color w:val="auto"/>
              </w:rPr>
            </w:pPr>
          </w:p>
        </w:tc>
        <w:tc>
          <w:tcPr>
            <w:tcW w:w="29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awards</w:t>
            </w:r>
          </w:p>
        </w:tc>
        <w:tc>
          <w:tcPr>
            <w:tcW w:w="72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3"/>
            <w:vMerge w:val="continue"/>
            <w:shd w:val="clear" w:color="auto" w:fill="CCEEFF"/>
          </w:tcPr>
          <w:p>
            <w:pPr>
              <w:spacing w:after="0"/>
              <w:rPr>
                <w:sz w:val="8"/>
                <w:szCs w:val="8"/>
                <w:color w:val="auto"/>
              </w:rPr>
            </w:pPr>
          </w:p>
        </w:tc>
        <w:tc>
          <w:tcPr>
            <w:tcW w:w="800" w:type="dxa"/>
            <w:vAlign w:val="bottom"/>
            <w:gridSpan w:val="4"/>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shd w:val="clear" w:color="auto" w:fill="CCEEFF"/>
          </w:tcPr>
          <w:p>
            <w:pPr>
              <w:spacing w:after="0"/>
              <w:rPr>
                <w:sz w:val="5"/>
                <w:szCs w:val="5"/>
                <w:color w:val="auto"/>
              </w:rPr>
            </w:pPr>
          </w:p>
        </w:tc>
        <w:tc>
          <w:tcPr>
            <w:tcW w:w="2940" w:type="dxa"/>
            <w:vAlign w:val="bottom"/>
            <w:gridSpan w:val="2"/>
            <w:vMerge w:val="continue"/>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94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3"/>
                <w:szCs w:val="13"/>
                <w:color w:val="auto"/>
              </w:rPr>
              <w:t>Compensation expense associated with stock-based</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compensation</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59"/>
        </w:trPr>
        <w:tc>
          <w:tcPr>
            <w:tcW w:w="294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Balance, March 31, 2023</w:t>
            </w:r>
          </w:p>
        </w:tc>
        <w:tc>
          <w:tcPr>
            <w:tcW w:w="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(388)</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455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1,375</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1,450</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OPERATIONS AND BASIS FOR PRESENTATION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Nature of Operations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and we make limited sales to customers in Asia, Australia, and Europe. The Company operates 22 plants across the U.S., Canada, Chile, and Brazil, in certain cases, through foreign subsidiaries, and operates additional facilities through a joint venture. References to "LP," the "Company," "we," "our," and "us" refer to Louisiana-Pacific Corporation and its consolidated subsidiaries as a whole.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14 - Selected Segment Data" below for further information regarding our products and segments.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accordance with accounting principles generally accepted in the United States of America (U.S. GAAP) for interim financial information. Accordingly, they do not include all the information and footnotes required by U.S. GAAP for complete consolidated financial statements. In the opinion of management, all adjustments considered necessary for a fair presentation have been included and are of a normal and recurring nature. These Condensed Consolidated Financial Statements and related Notes should be read in conjunction with our annual report on Form 10-K for the fiscal year ended December 31, 2023, filed with the SEC on February 14, 2024 (2023 Annual Report on Form 10-K). Results of operations for interim periods are not necessarily indicative of results to be expected for an entire year.</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Condensed Consolidated Financial Statements include the accounts of LP and our controlled subsidiaries. All intercompany transactions, profits, and balances have been eliminated. All dollar amounts included in tables in the Notes are in millions except per share amounts.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REVENUE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disaggregate revenue from contracts with customers into major product lines. We have determined that disaggregating revenue into these categories depicts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9" w:name="page10"/>
    <w:bookmarkEnd w:id="9"/>
    <w:p>
      <w:pPr>
        <w:jc w:val="both"/>
        <w:spacing w:after="0" w:line="287" w:lineRule="auto"/>
        <w:rPr>
          <w:sz w:val="20"/>
          <w:szCs w:val="20"/>
          <w:color w:val="auto"/>
        </w:rPr>
      </w:pPr>
      <w:r>
        <w:rPr>
          <w:rFonts w:ascii="Times New Roman" w:cs="Times New Roman" w:eastAsia="Times New Roman" w:hAnsi="Times New Roman"/>
          <w:sz w:val="14"/>
          <w:szCs w:val="14"/>
          <w:color w:val="auto"/>
        </w:rPr>
        <w:t>As noted in the segment reporting information in “Note 14 - Selected Segment Data” below, our reportable segments are Siding, Oriented Strand Board (OSB), and LP South America (LPSA). The following tables present our reportable segment revenues, disaggregated by revenue source (dollar amounts in millions):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 2024</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2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By product type and family:</w:t>
            </w:r>
          </w:p>
        </w:tc>
        <w:tc>
          <w:tcPr>
            <w:tcW w:w="26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28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OSB</w:t>
            </w:r>
          </w:p>
        </w:tc>
        <w:tc>
          <w:tcPr>
            <w:tcW w:w="2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LPSA</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1"/>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auto"/>
            </w:tcBorders>
            <w:gridSpan w:val="2"/>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w w:val="92"/>
              </w:rPr>
              <w:t>Value-add</w:t>
            </w:r>
          </w:p>
        </w:tc>
        <w:tc>
          <w:tcPr>
            <w:tcW w:w="37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426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Siding Solutions</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4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4"/>
                <w:szCs w:val="14"/>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r>
      <w:tr>
        <w:trPr>
          <w:trHeight w:val="172"/>
        </w:trPr>
        <w:tc>
          <w:tcPr>
            <w:tcW w:w="20" w:type="dxa"/>
            <w:vAlign w:val="bottom"/>
            <w:shd w:val="clear" w:color="auto" w:fill="CCEEFF"/>
          </w:tcPr>
          <w:p>
            <w:pPr>
              <w:spacing w:after="0"/>
              <w:rPr>
                <w:sz w:val="14"/>
                <w:szCs w:val="14"/>
                <w:color w:val="auto"/>
              </w:rPr>
            </w:pPr>
          </w:p>
        </w:tc>
        <w:tc>
          <w:tcPr>
            <w:tcW w:w="42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r>
      <w:tr>
        <w:trPr>
          <w:trHeight w:val="158"/>
        </w:trPr>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4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w:t>
            </w:r>
          </w:p>
        </w:tc>
      </w:tr>
      <w:tr>
        <w:trPr>
          <w:trHeight w:val="120"/>
        </w:trPr>
        <w:tc>
          <w:tcPr>
            <w:tcW w:w="20" w:type="dxa"/>
            <w:vAlign w:val="bottom"/>
            <w:shd w:val="clear" w:color="auto" w:fill="CCEEFF"/>
          </w:tcPr>
          <w:p>
            <w:pPr>
              <w:spacing w:after="0"/>
              <w:rPr>
                <w:sz w:val="10"/>
                <w:szCs w:val="10"/>
                <w:color w:val="auto"/>
              </w:rPr>
            </w:pPr>
          </w:p>
        </w:tc>
        <w:tc>
          <w:tcPr>
            <w:tcW w:w="4260" w:type="dxa"/>
            <w:vAlign w:val="bottom"/>
            <w:gridSpan w:val="4"/>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Commodity</w:t>
            </w: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32"/>
        </w:trPr>
        <w:tc>
          <w:tcPr>
            <w:tcW w:w="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r>
        <w:trPr>
          <w:trHeight w:val="168"/>
        </w:trPr>
        <w:tc>
          <w:tcPr>
            <w:tcW w:w="20" w:type="dxa"/>
            <w:vAlign w:val="bottom"/>
          </w:tcPr>
          <w:p>
            <w:pPr>
              <w:spacing w:after="0"/>
              <w:rPr>
                <w:sz w:val="14"/>
                <w:szCs w:val="14"/>
                <w:color w:val="auto"/>
              </w:rPr>
            </w:pPr>
          </w:p>
        </w:tc>
        <w:tc>
          <w:tcPr>
            <w:tcW w:w="426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OSB - commodity</w:t>
            </w:r>
          </w:p>
        </w:tc>
        <w:tc>
          <w:tcPr>
            <w:tcW w:w="26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r>
      <w:tr>
        <w:trPr>
          <w:trHeight w:val="194"/>
        </w:trPr>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138"/>
        </w:trPr>
        <w:tc>
          <w:tcPr>
            <w:tcW w:w="20" w:type="dxa"/>
            <w:vAlign w:val="bottom"/>
          </w:tcPr>
          <w:p>
            <w:pPr>
              <w:spacing w:after="0"/>
              <w:rPr>
                <w:sz w:val="11"/>
                <w:szCs w:val="11"/>
                <w:color w:val="auto"/>
              </w:rPr>
            </w:pPr>
          </w:p>
        </w:tc>
        <w:tc>
          <w:tcPr>
            <w:tcW w:w="426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auto"/>
              </w:rPr>
              <w:t>Other</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4"/>
        </w:trPr>
        <w:tc>
          <w:tcPr>
            <w:tcW w:w="20" w:type="dxa"/>
            <w:vAlign w:val="bottom"/>
            <w:shd w:val="clear" w:color="auto" w:fill="CCEEFF"/>
          </w:tcPr>
          <w:p>
            <w:pPr>
              <w:spacing w:after="0"/>
              <w:rPr>
                <w:sz w:val="15"/>
                <w:szCs w:val="15"/>
                <w:color w:val="auto"/>
              </w:rPr>
            </w:pPr>
          </w:p>
        </w:tc>
        <w:tc>
          <w:tcPr>
            <w:tcW w:w="42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products</w:t>
            </w: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4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4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724</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 2023</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4"/>
        </w:trPr>
        <w:tc>
          <w:tcPr>
            <w:tcW w:w="42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By product type and family:</w:t>
            </w:r>
          </w:p>
        </w:tc>
        <w:tc>
          <w:tcPr>
            <w:tcW w:w="28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30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OSB</w:t>
            </w:r>
          </w:p>
        </w:tc>
        <w:tc>
          <w:tcPr>
            <w:tcW w:w="2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LPSA</w:t>
            </w: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19"/>
        </w:trPr>
        <w:tc>
          <w:tcPr>
            <w:tcW w:w="4280" w:type="dxa"/>
            <w:vAlign w:val="bottom"/>
            <w:tcBorders>
              <w:top w:val="single" w:sz="8" w:color="CCEEFF"/>
            </w:tcBorders>
            <w:gridSpan w:val="4"/>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Value-add</w:t>
            </w:r>
          </w:p>
        </w:tc>
        <w:tc>
          <w:tcPr>
            <w:tcW w:w="2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r>
      <w:tr>
        <w:trPr>
          <w:trHeight w:val="32"/>
        </w:trPr>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r>
        <w:trPr>
          <w:trHeight w:val="168"/>
        </w:trPr>
        <w:tc>
          <w:tcPr>
            <w:tcW w:w="428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Siding Solutions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4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4"/>
                <w:szCs w:val="14"/>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r>
      <w:tr>
        <w:trPr>
          <w:trHeight w:val="172"/>
        </w:trPr>
        <w:tc>
          <w:tcPr>
            <w:tcW w:w="42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58"/>
        </w:trPr>
        <w:tc>
          <w:tcPr>
            <w:tcW w:w="3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6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4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4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w:t>
            </w:r>
          </w:p>
        </w:tc>
      </w:tr>
      <w:tr>
        <w:trPr>
          <w:trHeight w:val="132"/>
        </w:trPr>
        <w:tc>
          <w:tcPr>
            <w:tcW w:w="620" w:type="dxa"/>
            <w:vAlign w:val="bottom"/>
            <w:tcBorders>
              <w:bottom w:val="single" w:sz="8" w:color="auto"/>
            </w:tcBorders>
            <w:gridSpan w:val="3"/>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w w:val="96"/>
              </w:rPr>
              <w:t>Commodity</w:t>
            </w:r>
          </w:p>
        </w:tc>
        <w:tc>
          <w:tcPr>
            <w:tcW w:w="366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r>
      <w:tr>
        <w:trPr>
          <w:trHeight w:val="168"/>
        </w:trPr>
        <w:tc>
          <w:tcPr>
            <w:tcW w:w="428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OSB - commodity</w:t>
            </w:r>
          </w:p>
        </w:tc>
        <w:tc>
          <w:tcPr>
            <w:tcW w:w="2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94"/>
        </w:trPr>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144"/>
        </w:trPr>
        <w:tc>
          <w:tcPr>
            <w:tcW w:w="30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3"/>
                <w:szCs w:val="13"/>
                <w:color w:val="auto"/>
                <w:w w:val="94"/>
              </w:rPr>
              <w:t>Other</w:t>
            </w:r>
          </w:p>
        </w:tc>
        <w:tc>
          <w:tcPr>
            <w:tcW w:w="3980" w:type="dxa"/>
            <w:vAlign w:val="bottom"/>
            <w:gridSpan w:val="3"/>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4"/>
        </w:trPr>
        <w:tc>
          <w:tcPr>
            <w:tcW w:w="42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products</w:t>
            </w: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0"/>
        </w:trPr>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4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40" w:type="dxa"/>
            <w:vAlign w:val="bottom"/>
          </w:tcPr>
          <w:p>
            <w:pPr>
              <w:spacing w:after="0"/>
              <w:rPr>
                <w:sz w:val="13"/>
                <w:szCs w:val="13"/>
                <w:color w:val="auto"/>
              </w:rPr>
            </w:pP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584</w:t>
            </w:r>
          </w:p>
        </w:tc>
      </w:tr>
      <w:tr>
        <w:trPr>
          <w:trHeight w:val="20"/>
        </w:trPr>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Revenue is recognized when obligations under the terms of a contract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a reduction in net sales at the time the program is initiated and/or the revenue is recognized. The costs include, but are not limited to, volume allowances and rebates, promotional allowances, and cooperative advertising programs. These costs are recorded at the later of (i) the time of sale or (ii) the implementation of the program based on management’s best estimates. Estimates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 Management adjusts accruals when circumstances indicate (typically as a result of a change in volume expectations).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ship some of our products to customers’ distribution centers on a consignment basis. We retain title to our products stored at the distribution centers. As our products are removed from the distribution centers by retailers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0" w:name="page11"/>
    <w:bookmarkEnd w:id="10"/>
    <w:p>
      <w:pPr>
        <w:jc w:val="both"/>
        <w:spacing w:after="0" w:line="287" w:lineRule="auto"/>
        <w:rPr>
          <w:sz w:val="20"/>
          <w:szCs w:val="20"/>
          <w:color w:val="auto"/>
        </w:rPr>
      </w:pPr>
      <w:r>
        <w:rPr>
          <w:rFonts w:ascii="Times New Roman" w:cs="Times New Roman" w:eastAsia="Times New Roman" w:hAnsi="Times New Roman"/>
          <w:sz w:val="14"/>
          <w:szCs w:val="14"/>
          <w:color w:val="auto"/>
        </w:rPr>
        <w:t>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EARNINGS PER SHARE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Basic earnings per share is based 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restricted stock units, and performance stock units) be excluded from the calculation of diluted earnings per share for the periods in which losses are reported because the effect is anti-dilutive.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per share (dollar and share amounts in millions,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0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income attributed to LP</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12"/>
        </w:trPr>
        <w:tc>
          <w:tcPr>
            <w:tcW w:w="8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68"/>
        </w:trPr>
        <w:tc>
          <w:tcPr>
            <w:tcW w:w="8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Dilutive effect of employee stock plans</w:t>
            </w:r>
          </w:p>
        </w:tc>
        <w:tc>
          <w:tcPr>
            <w:tcW w:w="10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used for diluted earnings per share</w:t>
            </w:r>
          </w:p>
        </w:tc>
        <w:tc>
          <w:tcPr>
            <w:tcW w:w="108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Earnings per share:</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100" w:type="dxa"/>
            <w:vAlign w:val="bottom"/>
            <w:tcBorders>
              <w:bottom w:val="single" w:sz="8" w:color="CCEEFF"/>
            </w:tcBorders>
            <w:vMerge w:val="continue"/>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3"/>
                <w:szCs w:val="13"/>
                <w:color w:val="auto"/>
              </w:rPr>
              <w:t>Basic</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158"/>
        </w:trPr>
        <w:tc>
          <w:tcPr>
            <w:tcW w:w="8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FAIR VALUE MEASUREMENTS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net carrying value of the 3.625% Senior Notes due in 2029 (2029 Senior Notes) was $347 million as of March 31, 2024 and December 31, 2023. Based on market quotations, the fair value of the 2029 Senior Notes was estimated to be $319 million and $314 million as of March 31, 2024 and December 31, 2023, respectively. The 2029 Senior Notes and other long-term debt are categorized as Level 1 in the U.S. GAAP fair value hierarchy. Fair values are based on trading activity among the Company’s lenders and the average bid and ask price is determined using published rates.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2022, LP entered into a Second Amended and Restated Credit Agreement with American AgCredit, PCA, as administrative agent and sole lead arranger, and CoBank, ACB, as letter of credit issuer (the Credit Agreement), relating to its revolving credit facility (as amended, the Amended Credit Facility). The Credit Agreement provides for a revolving credit facility in the principal amount of up to $550 million, with a $60 million sub-limit for letters of credit. All loans under the Credit Agreement become due on November 29, 2028. As of March 31, 2024, there were no outstanding borrowings under our Amended Credit Facility.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Carrying amounts reported on the balance sheet for cash and cash equivalents, accounts receivables, and accounts payable approximate fair value due to the short-term maturity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NOTE 5. RECEIVABLES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Receivables consisted of the following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6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3"/>
        </w:trPr>
        <w:tc>
          <w:tcPr>
            <w:tcW w:w="71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Trade receivables</w:t>
            </w:r>
          </w:p>
        </w:tc>
        <w:tc>
          <w:tcPr>
            <w:tcW w:w="1660" w:type="dxa"/>
            <w:vAlign w:val="bottom"/>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68"/>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receivables</w:t>
            </w:r>
          </w:p>
        </w:tc>
        <w:tc>
          <w:tcPr>
            <w:tcW w:w="1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receivable</w:t>
            </w:r>
          </w:p>
        </w:tc>
        <w:tc>
          <w:tcPr>
            <w:tcW w:w="1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6"/>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Receivables</w:t>
            </w:r>
          </w:p>
        </w:tc>
        <w:tc>
          <w:tcPr>
            <w:tcW w:w="1660" w:type="dxa"/>
            <w:vAlign w:val="bottom"/>
            <w:tcBorders>
              <w:bottom w:val="single" w:sz="8" w:color="auto"/>
            </w:tcBorders>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Trade receivables are primarily generated by sales of our products to our wholesale and retail customers. Other receivables as of March 31, 2024 and December 31, 2023 primarily consist of sales tax receivables, vendor rebates, and other miscellaneous receivables.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INVENTORIES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Inventories are valued at the lower of cost or net realizable value. Inventory cost includes materials, labor, and operating overhead. The major types of inventories (work in process is not material and is included in semi-finished inventory) are as follows (dollar amounts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3"/>
        </w:trPr>
        <w:tc>
          <w:tcPr>
            <w:tcW w:w="71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Logs</w:t>
            </w:r>
          </w:p>
        </w:tc>
        <w:tc>
          <w:tcPr>
            <w:tcW w:w="1660" w:type="dxa"/>
            <w:vAlign w:val="bottom"/>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68"/>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raw materials</w:t>
            </w:r>
          </w:p>
        </w:tc>
        <w:tc>
          <w:tcPr>
            <w:tcW w:w="1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Semi-finished inventories</w:t>
            </w:r>
          </w:p>
        </w:tc>
        <w:tc>
          <w:tcPr>
            <w:tcW w:w="1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Finished products</w:t>
            </w:r>
          </w:p>
        </w:tc>
        <w:tc>
          <w:tcPr>
            <w:tcW w:w="1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86"/>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Inventories</w:t>
            </w:r>
          </w:p>
        </w:tc>
        <w:tc>
          <w:tcPr>
            <w:tcW w:w="1660" w:type="dxa"/>
            <w:vAlign w:val="bottom"/>
            <w:tcBorders>
              <w:bottom w:val="single" w:sz="8" w:color="auto"/>
            </w:tcBorders>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GOODWILL AND OTHER INTANGIBLES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goodwill and other intangible assets for the three months ended March 31, 2024 are provided in the following table (dollar amounts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15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Timber Licenses</w:t>
            </w:r>
            <w:r>
              <w:rPr>
                <w:rFonts w:ascii="Times New Roman" w:cs="Times New Roman" w:eastAsia="Times New Roman" w:hAnsi="Times New Roman"/>
                <w:sz w:val="16"/>
                <w:szCs w:val="16"/>
                <w:b w:val="1"/>
                <w:bCs w:val="1"/>
                <w:color w:val="auto"/>
                <w:vertAlign w:val="superscript"/>
              </w:rPr>
              <w:t>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180" w:type="dxa"/>
            <w:vAlign w:val="bottom"/>
          </w:tcPr>
          <w:p>
            <w:pPr>
              <w:spacing w:after="0"/>
              <w:rPr>
                <w:sz w:val="16"/>
                <w:szCs w:val="16"/>
                <w:color w:val="auto"/>
              </w:rPr>
            </w:pPr>
          </w:p>
        </w:tc>
        <w:tc>
          <w:tcPr>
            <w:tcW w:w="162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Developed Technology</w:t>
            </w:r>
          </w:p>
        </w:tc>
      </w:tr>
      <w:tr>
        <w:trPr>
          <w:trHeight w:val="160"/>
        </w:trPr>
        <w:tc>
          <w:tcPr>
            <w:tcW w:w="570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Beginning balance December 31, 2023</w:t>
            </w:r>
          </w:p>
        </w:tc>
        <w:tc>
          <w:tcPr>
            <w:tcW w:w="1500" w:type="dxa"/>
            <w:vAlign w:val="bottom"/>
            <w:tcBorders>
              <w:top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150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Ending balance March 31, 2024</w:t>
            </w:r>
          </w:p>
        </w:tc>
        <w:tc>
          <w:tcPr>
            <w:tcW w:w="1500" w:type="dxa"/>
            <w:vAlign w:val="bottom"/>
            <w:tcBorders>
              <w:top w:val="single" w:sz="8" w:color="auto"/>
              <w:bottom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Timber licenses are included in Timber and timberlands on the Condensed Consolidated Balance Sheets.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INCOME TAXES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interim periods, we recognize income tax expense by applying the estimated annual effective income tax rate to year-to-date results unless this method does not result in a reliable estimate of year-to-date income tax expense. Each period, the income tax accrual is adjusted to the latest estimate, and the difference from the previously accrued year-to-date balance is adjusted in the current quarter. Changes in profitability estimates in various jurisdictions will impact our quarterly effective income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2" w:name="page13"/>
    <w:bookmarkEnd w:id="12"/>
    <w:p>
      <w:pPr>
        <w:jc w:val="both"/>
        <w:spacing w:after="0" w:line="287" w:lineRule="auto"/>
        <w:rPr>
          <w:sz w:val="20"/>
          <w:szCs w:val="20"/>
          <w:color w:val="auto"/>
        </w:rPr>
      </w:pPr>
      <w:r>
        <w:rPr>
          <w:rFonts w:ascii="Times New Roman" w:cs="Times New Roman" w:eastAsia="Times New Roman" w:hAnsi="Times New Roman"/>
          <w:sz w:val="14"/>
          <w:szCs w:val="14"/>
          <w:color w:val="auto"/>
        </w:rPr>
        <w:t>The provision for income taxes for the three months ended March 31, 2024 and 2023 reflected an estimated annual effective tax rate of 25% and 28%, respectively, excluding discrete items discussed below. The total effective tax rate for the three months ended March 31, 2024 was 28%, compared to 5% for the comparable period in 2023.</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recognized a net discrete tax expense of $4 million and a net discrete tax benefit of $5 million in the three months ended March 31, 2024 and 2023, respectively. The net discrete tax expense and benefit primarily relates to an excess tax benefit from stock-based compensation and inflationary tax adjustments in certain South American entities.</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As of March 31, 2024 none of the jurisdictions in which LP operates has enacted Pillar Two legislation and one jurisdiction has issued proposed legislation. We are continuing to evaluate the impact of proposed legislative changes as new guidance becomes available. If proposed Pillar Two model rules are enacted, they are not expected to have a material impact on our 2024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COMMITMENTS AND CONTINGENCIES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maintain reserves for various contingent liabilities as follows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4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3"/>
        </w:trPr>
        <w:tc>
          <w:tcPr>
            <w:tcW w:w="66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Environmental reserves</w:t>
            </w:r>
          </w:p>
        </w:tc>
        <w:tc>
          <w:tcPr>
            <w:tcW w:w="1820" w:type="dxa"/>
            <w:vAlign w:val="bottom"/>
            <w:shd w:val="clear" w:color="auto" w:fill="CCEEFF"/>
          </w:tcPr>
          <w:p>
            <w:pPr>
              <w:jc w:val="right"/>
              <w:ind w:right="16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3"/>
                <w:szCs w:val="13"/>
                <w:color w:val="auto"/>
              </w:rPr>
              <w:t>26</w:t>
            </w:r>
          </w:p>
        </w:tc>
      </w:tr>
      <w:tr>
        <w:trPr>
          <w:trHeight w:val="168"/>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reserves</w:t>
            </w:r>
          </w:p>
        </w:tc>
        <w:tc>
          <w:tcPr>
            <w:tcW w:w="1820" w:type="dxa"/>
            <w:vAlign w:val="bottom"/>
          </w:tcPr>
          <w:p>
            <w:pPr>
              <w:spacing w:after="0"/>
              <w:rPr>
                <w:sz w:val="14"/>
                <w:szCs w:val="14"/>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92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6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contingencies</w:t>
            </w:r>
          </w:p>
        </w:tc>
        <w:tc>
          <w:tcPr>
            <w:tcW w:w="18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3"/>
                <w:szCs w:val="13"/>
                <w:color w:val="auto"/>
              </w:rPr>
              <w:t>26</w:t>
            </w:r>
          </w:p>
        </w:tc>
      </w:tr>
      <w:tr>
        <w:trPr>
          <w:trHeight w:val="168"/>
        </w:trPr>
        <w:tc>
          <w:tcPr>
            <w:tcW w:w="6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Current portion (included in Accounts payable and accrued liabilities)</w:t>
            </w:r>
          </w:p>
        </w:tc>
        <w:tc>
          <w:tcPr>
            <w:tcW w:w="1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3"/>
                <w:szCs w:val="13"/>
                <w:color w:val="auto"/>
                <w:w w:val="92"/>
              </w:rPr>
              <w:t>(1)</w:t>
            </w:r>
          </w:p>
        </w:tc>
      </w:tr>
      <w:tr>
        <w:trPr>
          <w:trHeight w:val="185"/>
        </w:trPr>
        <w:tc>
          <w:tcPr>
            <w:tcW w:w="6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Long-term portion</w:t>
            </w:r>
          </w:p>
        </w:tc>
        <w:tc>
          <w:tcPr>
            <w:tcW w:w="1820" w:type="dxa"/>
            <w:vAlign w:val="bottom"/>
            <w:tcBorders>
              <w:bottom w:val="single" w:sz="8" w:color="auto"/>
            </w:tcBorders>
            <w:shd w:val="clear" w:color="auto" w:fill="CCEEFF"/>
          </w:tcPr>
          <w:p>
            <w:pPr>
              <w:jc w:val="right"/>
              <w:ind w:right="16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3"/>
                <w:szCs w:val="13"/>
                <w:color w:val="auto"/>
              </w:rPr>
              <w:t>25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based on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Other Proceedings</w:t>
      </w:r>
    </w:p>
    <w:p>
      <w:pPr>
        <w:spacing w:after="0" w:line="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From time to time, we and our subsidiaries are parties to certain legal proceedings arising in our ordinary course of business. Based on the information currently available, management believes the resolution of such ongoing and future proceedings will not have a material effect on our financial position, results of operations, cash flows, or liquidity.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IMPAIRMENT OF LONG-LIVED ASSETS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review the carrying values of our long-lived assets for potential impairments and believe we have adequate support for such carrying values.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March 31, 2024, there were no indications of impairment.</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PRODUCT WARRANTIES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offer warranties on the sale of most of our products and record an accrual for estimated future claims. Such accruals are based upon historical experience and management’s estimate of the level of future claims. The activity in warranty reserves for the three months ended March 31, 2024 and 2023, is summarized in the following table (dollar amounts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00" w:type="dxa"/>
            <w:vAlign w:val="bottom"/>
            <w:tcBorders>
              <w:bottom w:val="single" w:sz="8" w:color="auto"/>
            </w:tcBorders>
          </w:tcPr>
          <w:p>
            <w:pPr>
              <w:spacing w:after="0"/>
              <w:rPr>
                <w:sz w:val="14"/>
                <w:szCs w:val="14"/>
                <w:color w:val="auto"/>
              </w:rPr>
            </w:pPr>
          </w:p>
        </w:tc>
      </w:tr>
      <w:tr>
        <w:trPr>
          <w:trHeight w:val="161"/>
        </w:trPr>
        <w:tc>
          <w:tcPr>
            <w:tcW w:w="81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0" w:type="dxa"/>
            <w:vAlign w:val="bottom"/>
            <w:tcBorders>
              <w:bottom w:val="single" w:sz="8" w:color="auto"/>
            </w:tcBorders>
          </w:tcPr>
          <w:p>
            <w:pPr>
              <w:spacing w:after="0"/>
              <w:rPr>
                <w:sz w:val="14"/>
                <w:szCs w:val="14"/>
                <w:color w:val="auto"/>
              </w:rPr>
            </w:pPr>
          </w:p>
        </w:tc>
      </w:tr>
      <w:tr>
        <w:trPr>
          <w:trHeight w:val="162"/>
        </w:trPr>
        <w:tc>
          <w:tcPr>
            <w:tcW w:w="81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Beginning balance</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to expense</w:t>
            </w:r>
          </w:p>
        </w:tc>
        <w:tc>
          <w:tcPr>
            <w:tcW w:w="1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made</w:t>
            </w:r>
          </w:p>
        </w:tc>
        <w:tc>
          <w:tcPr>
            <w:tcW w:w="1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81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warranty reserves</w:t>
            </w:r>
          </w:p>
        </w:tc>
        <w:tc>
          <w:tcPr>
            <w:tcW w:w="1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Current portion of warranty reserves (included in Accounts payable and accrued liabilities)</w:t>
            </w:r>
          </w:p>
        </w:tc>
        <w:tc>
          <w:tcPr>
            <w:tcW w:w="11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8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Long-term portion of warranty reserves (included in Other long-term liabilities)</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0"/>
        </w:trPr>
        <w:tc>
          <w:tcPr>
            <w:tcW w:w="8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continue to monitor warranty and other claims associated with our products and believe, as of March 31, 2024, that the warranty reserve balances associated with these matters are adequate to cover future warranty payments. However, it is possible that additional changes may be required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NOTE 12. ACCUMULATED COMPREHENSIVE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Accumulated comprehensive loss is provided in the following table for the three months ended March 31, 2024 and 2023 (dollar amounts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60" w:type="dxa"/>
            <w:vAlign w:val="bottom"/>
          </w:tcPr>
          <w:p>
            <w:pPr>
              <w:spacing w:after="0"/>
              <w:rPr>
                <w:sz w:val="12"/>
                <w:szCs w:val="12"/>
                <w:color w:val="auto"/>
              </w:rPr>
            </w:pP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5"/>
              </w:rPr>
              <w:t>Translation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69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Balance at December 31, 2023</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68"/>
        </w:trPr>
        <w:tc>
          <w:tcPr>
            <w:tcW w:w="6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adjustments</w:t>
            </w:r>
          </w:p>
        </w:tc>
        <w:tc>
          <w:tcPr>
            <w:tcW w:w="10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86"/>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106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60" w:type="dxa"/>
            <w:vAlign w:val="bottom"/>
          </w:tcPr>
          <w:p>
            <w:pPr>
              <w:spacing w:after="0"/>
              <w:rPr>
                <w:sz w:val="16"/>
                <w:szCs w:val="16"/>
                <w:color w:val="auto"/>
              </w:rPr>
            </w:pPr>
          </w:p>
        </w:tc>
        <w:tc>
          <w:tcPr>
            <w:tcW w:w="1060" w:type="dxa"/>
            <w:vAlign w:val="bottom"/>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5"/>
              </w:rPr>
              <w:t>Translation</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69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Balance at December 31, 2022</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70"/>
        </w:trPr>
        <w:tc>
          <w:tcPr>
            <w:tcW w:w="69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Reclassified to income statement, net of taxes</w:t>
            </w:r>
            <w:r>
              <w:rPr>
                <w:rFonts w:ascii="Times New Roman" w:cs="Times New Roman" w:eastAsia="Times New Roman" w:hAnsi="Times New Roman"/>
                <w:sz w:val="16"/>
                <w:szCs w:val="16"/>
                <w:color w:val="auto"/>
                <w:vertAlign w:val="superscript"/>
              </w:rPr>
              <w:t>1</w:t>
            </w:r>
          </w:p>
        </w:tc>
        <w:tc>
          <w:tcPr>
            <w:tcW w:w="1060" w:type="dxa"/>
            <w:vAlign w:val="bottom"/>
          </w:tcPr>
          <w:p>
            <w:pPr>
              <w:spacing w:after="0"/>
              <w:rPr>
                <w:sz w:val="14"/>
                <w:szCs w:val="14"/>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Translation adjustments</w:t>
            </w: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9"/>
        </w:trPr>
        <w:tc>
          <w:tcPr>
            <w:tcW w:w="6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106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(79)</w:t>
            </w:r>
          </w:p>
        </w:tc>
        <w:tc>
          <w:tcPr>
            <w:tcW w:w="1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80" w:hanging="75"/>
        <w:spacing w:after="0"/>
        <w:tabs>
          <w:tab w:leader="none" w:pos="8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Amounts of actuarial loss and prior service cost are components of net periodic benefit cost.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OTHER OPERATING AND NON-OPERATING ITEMS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operating credits and charges, net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operating credits and charges, net, is comprised of the following components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00" w:type="dxa"/>
            <w:vAlign w:val="bottom"/>
            <w:tcBorders>
              <w:bottom w:val="single" w:sz="8" w:color="auto"/>
            </w:tcBorders>
          </w:tcPr>
          <w:p>
            <w:pPr>
              <w:spacing w:after="0"/>
              <w:rPr>
                <w:sz w:val="14"/>
                <w:szCs w:val="14"/>
                <w:color w:val="auto"/>
              </w:rPr>
            </w:pPr>
          </w:p>
        </w:tc>
      </w:tr>
      <w:tr>
        <w:trPr>
          <w:trHeight w:val="161"/>
        </w:trPr>
        <w:tc>
          <w:tcPr>
            <w:tcW w:w="81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0" w:type="dxa"/>
            <w:vAlign w:val="bottom"/>
            <w:tcBorders>
              <w:bottom w:val="single" w:sz="8" w:color="auto"/>
            </w:tcBorders>
          </w:tcPr>
          <w:p>
            <w:pPr>
              <w:spacing w:after="0"/>
              <w:rPr>
                <w:sz w:val="14"/>
                <w:szCs w:val="14"/>
                <w:color w:val="auto"/>
              </w:rPr>
            </w:pPr>
          </w:p>
        </w:tc>
      </w:tr>
      <w:tr>
        <w:trPr>
          <w:trHeight w:val="162"/>
        </w:trPr>
        <w:tc>
          <w:tcPr>
            <w:tcW w:w="81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Reorganization charges</w:t>
            </w: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jc w:val="center"/>
              <w:ind w:left="156"/>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left="156"/>
              <w:spacing w:after="0"/>
              <w:rPr>
                <w:sz w:val="20"/>
                <w:szCs w:val="20"/>
                <w:color w:val="auto"/>
              </w:rPr>
            </w:pPr>
            <w:r>
              <w:rPr>
                <w:rFonts w:ascii="Times New Roman" w:cs="Times New Roman" w:eastAsia="Times New Roman" w:hAnsi="Times New Roman"/>
                <w:sz w:val="13"/>
                <w:szCs w:val="13"/>
                <w:color w:val="auto"/>
                <w:w w:val="91"/>
              </w:rPr>
              <w:t>3</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operating credits and charges, net</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shd w:val="clear" w:color="auto" w:fill="CCEEFF"/>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w w:val="91"/>
              </w:rPr>
              <w:t>1</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non-operating items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non-operating items is comprised of the following components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00" w:type="dxa"/>
            <w:vAlign w:val="bottom"/>
            <w:tcBorders>
              <w:bottom w:val="single" w:sz="8" w:color="auto"/>
            </w:tcBorders>
          </w:tcPr>
          <w:p>
            <w:pPr>
              <w:spacing w:after="0"/>
              <w:rPr>
                <w:sz w:val="14"/>
                <w:szCs w:val="14"/>
                <w:color w:val="auto"/>
              </w:rPr>
            </w:pPr>
          </w:p>
        </w:tc>
      </w:tr>
      <w:tr>
        <w:trPr>
          <w:trHeight w:val="161"/>
        </w:trPr>
        <w:tc>
          <w:tcPr>
            <w:tcW w:w="81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0" w:type="dxa"/>
            <w:vAlign w:val="bottom"/>
            <w:tcBorders>
              <w:bottom w:val="single" w:sz="8" w:color="auto"/>
            </w:tcBorders>
          </w:tcPr>
          <w:p>
            <w:pPr>
              <w:spacing w:after="0"/>
              <w:rPr>
                <w:sz w:val="14"/>
                <w:szCs w:val="14"/>
                <w:color w:val="auto"/>
              </w:rPr>
            </w:pPr>
          </w:p>
        </w:tc>
      </w:tr>
      <w:tr>
        <w:trPr>
          <w:trHeight w:val="162"/>
        </w:trPr>
        <w:tc>
          <w:tcPr>
            <w:tcW w:w="81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Pension settlement charges</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center"/>
              <w:ind w:left="156"/>
              <w:spacing w:after="0"/>
              <w:rPr>
                <w:sz w:val="20"/>
                <w:szCs w:val="20"/>
                <w:color w:val="auto"/>
              </w:rPr>
            </w:pPr>
            <w:r>
              <w:rPr>
                <w:rFonts w:ascii="Times New Roman" w:cs="Times New Roman" w:eastAsia="Times New Roman" w:hAnsi="Times New Roman"/>
                <w:sz w:val="13"/>
                <w:szCs w:val="13"/>
                <w:color w:val="auto"/>
                <w:w w:val="92"/>
              </w:rPr>
              <w:t>(6)</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gain (loss)</w:t>
            </w:r>
          </w:p>
        </w:tc>
        <w:tc>
          <w:tcPr>
            <w:tcW w:w="1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jc w:val="center"/>
              <w:ind w:left="156"/>
              <w:spacing w:after="0"/>
              <w:rPr>
                <w:sz w:val="20"/>
                <w:szCs w:val="20"/>
                <w:color w:val="auto"/>
              </w:rPr>
            </w:pPr>
            <w:r>
              <w:rPr>
                <w:rFonts w:ascii="Times New Roman" w:cs="Times New Roman" w:eastAsia="Times New Roman" w:hAnsi="Times New Roman"/>
                <w:sz w:val="13"/>
                <w:szCs w:val="13"/>
                <w:color w:val="auto"/>
                <w:w w:val="92"/>
              </w:rPr>
              <w:t>(3)</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3"/>
                <w:szCs w:val="13"/>
                <w:color w:val="auto"/>
              </w:rPr>
              <w:t>1</w:t>
            </w:r>
          </w:p>
        </w:tc>
      </w:tr>
      <w:tr>
        <w:trPr>
          <w:trHeight w:val="159"/>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non-operating items</w:t>
            </w:r>
          </w:p>
        </w:tc>
        <w:tc>
          <w:tcPr>
            <w:tcW w:w="112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bottom w:val="single" w:sz="8" w:color="auto"/>
            </w:tcBorders>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w w:val="92"/>
              </w:rPr>
              <w:t>(8)</w:t>
            </w:r>
          </w:p>
        </w:tc>
      </w:tr>
      <w:tr>
        <w:trPr>
          <w:trHeight w:val="20"/>
        </w:trPr>
        <w:tc>
          <w:tcPr>
            <w:tcW w:w="8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NOTE 14. SELECTED SEGMENT DATA</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operate in three segments: Siding, OSB, and LPSA. Our business units have been aggregated into these three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w:t>
      </w:r>
    </w:p>
    <w:p>
      <w:pPr>
        <w:spacing w:after="0" w:line="48" w:lineRule="exact"/>
        <w:rPr>
          <w:sz w:val="20"/>
          <w:szCs w:val="20"/>
          <w:color w:val="auto"/>
        </w:rPr>
      </w:pPr>
    </w:p>
    <w:p>
      <w:pPr>
        <w:jc w:val="both"/>
        <w:ind w:left="520" w:hanging="260"/>
        <w:spacing w:after="0" w:line="219"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Siding segment serves diverse end markets with a broad product offering, including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ExpertFinish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 BuilderSeries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Lap Siding,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Outdoor Building Solutions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(collectively referred to as Siding Solutions). Our Siding Solutions products consist of a full line of engineered wood siding, trim, soffit, and fascia.</w:t>
      </w:r>
    </w:p>
    <w:p>
      <w:pPr>
        <w:spacing w:after="0" w:line="69" w:lineRule="exact"/>
        <w:rPr>
          <w:rFonts w:ascii="Times New Roman" w:cs="Times New Roman" w:eastAsia="Times New Roman" w:hAnsi="Times New Roman"/>
          <w:sz w:val="14"/>
          <w:szCs w:val="14"/>
          <w:color w:val="auto"/>
        </w:rPr>
      </w:pPr>
    </w:p>
    <w:p>
      <w:pPr>
        <w:jc w:val="both"/>
        <w:ind w:left="520" w:hanging="260"/>
        <w:spacing w:after="0" w:line="225"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OSB segment manufactures and distributes OSB structural panel products, including the innovative value-added OSB product portfolio known as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Structural Solutions (which includes LP TechShield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Radiant Barrier, LP WeatherLogic</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Air &amp; Water Barrier, LP Legacy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Premium Sub-Flooring, LP NovaCore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Thermal Insulated Sheathing, LP FlameBlock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Fire-Rated Sheathing, and LP TopNotch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350 Durable Sub-Flooring). OSB is manufactured using wood strands arranged in layers and bonded with resins.</w:t>
      </w:r>
    </w:p>
    <w:p>
      <w:pPr>
        <w:spacing w:after="0" w:line="14"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LPSA segment manufactures and distributes LP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evaluate the performance of our business segments based on net sales and segment Adjusted EBITDA. Accordingly, our chief operating decision maker evaluates performance and allocates resources based primarily on net sales and segment Adjusted EBITDA for our business segments. Segment Adjusted EBITDA is defined as income attributed to LP before interest expense, provision for income taxes, depreciation and amortization, and excludes stock-based compensation expense, loss on impairment attributed to LP, business exit charges, product-line discontinuance charges, other operating credits and charges, net, loss on early debt extinguishment, investment income, pension settlement charges, and other non-operating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Information about our business segments is as follows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4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40" w:type="dxa"/>
            <w:vAlign w:val="bottom"/>
          </w:tcPr>
          <w:p>
            <w:pPr>
              <w:spacing w:after="0"/>
              <w:rPr>
                <w:sz w:val="13"/>
                <w:szCs w:val="13"/>
                <w:color w:val="auto"/>
              </w:rPr>
            </w:pPr>
          </w:p>
        </w:tc>
        <w:tc>
          <w:tcPr>
            <w:tcW w:w="10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14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NET SALES BY BUSINESS SEGMENT</w:t>
            </w: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Siding</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0" w:type="dxa"/>
            <w:vAlign w:val="bottom"/>
          </w:tcPr>
          <w:p>
            <w:pPr>
              <w:spacing w:after="0"/>
              <w:rPr>
                <w:sz w:val="1"/>
                <w:szCs w:val="1"/>
                <w:color w:val="auto"/>
              </w:rPr>
            </w:pPr>
          </w:p>
        </w:tc>
      </w:tr>
      <w:tr>
        <w:trPr>
          <w:trHeight w:val="168"/>
        </w:trPr>
        <w:tc>
          <w:tcPr>
            <w:tcW w:w="8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OSB</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72"/>
        </w:trPr>
        <w:tc>
          <w:tcPr>
            <w:tcW w:w="8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LPSA</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68"/>
        </w:trPr>
        <w:tc>
          <w:tcPr>
            <w:tcW w:w="81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sales</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724</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TO ADJUSTED EBITDA RECONCILIATION</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1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 (deduct):</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attributed to non-controlling interest</w:t>
            </w:r>
          </w:p>
        </w:tc>
        <w:tc>
          <w:tcPr>
            <w:tcW w:w="10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8"/>
        </w:trPr>
        <w:tc>
          <w:tcPr>
            <w:tcW w:w="814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auto"/>
              </w:rPr>
              <w:t>Income attributed to LP</w:t>
            </w:r>
          </w:p>
        </w:tc>
        <w:tc>
          <w:tcPr>
            <w:tcW w:w="10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10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 exit charges</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Pension settlement charges</w:t>
            </w:r>
          </w:p>
        </w:tc>
        <w:tc>
          <w:tcPr>
            <w:tcW w:w="10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non-operating items</w:t>
            </w:r>
          </w:p>
        </w:tc>
        <w:tc>
          <w:tcPr>
            <w:tcW w:w="10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9"/>
        </w:trPr>
        <w:tc>
          <w:tcPr>
            <w:tcW w:w="81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182</w:t>
            </w: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66</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14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SEGMENT ADJUSTED EBITDA</w:t>
            </w:r>
          </w:p>
        </w:tc>
        <w:tc>
          <w:tcPr>
            <w:tcW w:w="10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Siding</w:t>
            </w:r>
          </w:p>
        </w:tc>
        <w:tc>
          <w:tcPr>
            <w:tcW w:w="1080" w:type="dxa"/>
            <w:vAlign w:val="bottom"/>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1080" w:type="dxa"/>
            <w:vAlign w:val="bottom"/>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8"/>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Corporate</w:t>
            </w: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SUBSEQUENT EVENTS</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May 3, 2022, LP's Board of Directors authorized a share repurchase program under which LP was authorized to repurchase shares of its common stock totaling up to $600 million (the 2022 Share Repurchase Program). Subsequent to March 31, 2024, through May 7, 2024, we used $37 million to repurchase 0.5 million shares of LP common stock under the 2022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forward-looking statements that are based on the beliefs of our management, as well as assumptions made by and information currently available to our management. We encourage you to review the risks and uncertainties described in the sections titled "Risk Factors" and "Cautionary Statement Regarding Forward-Looking Statements" included in our 2023 Annual Report on Form 10-K and in this quarterly report on Form 10-Q. These risks and uncertainties could cause actual results to differ materially from those projected in the forward-looking statements contained in this quarterly report on Form 10-Q or implied by past results and trends. Our historical results are not necessarily indicative of the results that may be expected for any period in the future, and our interim results are not necessarily indicative of the results we expect for the full fiscal year or any other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General</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 To serve these markets, we operate in three segments: Siding, OSB, and LPSA.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Demand for Building Products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Demand for our products correlates positively with new home construction and repair and remodeling activity in North America, which historically has been characterized by significant cyclicality. The U.S. Census Bureau reported on April 16, 2024, that actual single-family housing starts were 27% higher for the three months ended March 31, 2024 as compared to the same period in 2023. Actual multi-family housing starts for the three months ended March 31, 2024 were about 37% lower as compared to the same period in 2023. Repair and remodeling activity is difficult to reasonably measure, but many indications suggest that repair and remodeling activity is moderating and may have exhibited year-over-year declines.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Future economic conditions in the United States and the demand for homes are uncertain due to inflationary impacts on the economy, including interest rates, employment levels, consumer confidence, and financial markets, among other things. The potential effect of these factors on our future operational and financial performance is uncertain. As a result, our past performance may not be indicative of future results.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and Demand for Siding</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Siding Solutions products are specialty building materials and are subject to competition from various siding technologies, including vinyl, stucco, wood, fiber cement, brick, and others. We believe we are the largest manufacturer in the engineered wood siding market in North America and South America. We have consistently grown our Siding segment above the underlying market growth rates. Our Siding segment is generally less sensitive to new housing market cyclicality since a majority of its demand comes from other markets, including off-site structure producers and repair and remodel. Our growth in this market depends upon the continued displacement of vinyl, wood, fiber cement, stucco, bricks, and other alternatives, our product innovation and our technological expertise in wood and wood composites to address the needs of our customers.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and Demand for OSB</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OSB is a commodity product, and it is subject to competition from manufacturers worldwide. Product supply is influenced primarily by fluctuations in available manufacturing capacity and imports.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overall OSB demand to capacity generally drives price. We cannot predict whether the prices of our OSB products will remain at current levels or increase or decrease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auto"/>
        </w:rPr>
        <w:t>Critical Accounting Policies and Significant Estimates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Note 1 of the Notes to the Condensed Consolidated Financial Statements included in our 2023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changes in the application of principles, methods, and assumptions used to determine our significant estimates since December 31,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Non-GAAP Financial Measures and Other Key Performance Indicators</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income attributed to LP before interest expense, provision for income taxes, depreciation and amortization, and excluding stock-based compensation expense, loss on impairment attributed to LP, business exit charges, product-line discontinuance charges, other operating credits and charges, net, loss on early debt extinguishment, investment income, pension settlement charges, and other non-operating items, as Adjusted EBITDA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attributed to LP, excluding loss on impairment attributed to LP, business exit charges, product-line discontinuance charges, interest expense outside of normal operations, other operating credits and charges, net, loss on early debt extinguishment, gain (loss) on acquisition, and pension settlement charges, and adjusting for a normalized tax rate, as Adjusted Income (Adjusted Income). We also disclose Adjusted Diluted EPS, which is calculated as Adjusted Income divided by diluted shares outstanding. We believe that Adjusted Diluted EPS and Adjusted Income are useful measures for evaluating our ability to generate earnings and that providing these measures should allow interested persons to more readily compare the earnings for past and future periods. Reconciliations of Adjusted EBITDA, Adjusted Income and Adjusted Diluted EPS to their most directly comparable U.S. GAAP financial measure, Net income, are presented below.</w:t>
      </w:r>
    </w:p>
    <w:p>
      <w:pPr>
        <w:spacing w:after="0" w:line="2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Adjusted EBITDA, Adjusted Income, and Adjusted Diluted EPS are not substitutes for the U.S. GAAP measures of net income, income attributed to LP, and income attributed to LP per diluted share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The following table reconciles net income to Adjusted EBITDA (dollar amounts in millions):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808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20" w:type="dxa"/>
            <w:vAlign w:val="bottom"/>
            <w:tcBorders>
              <w:bottom w:val="single" w:sz="8" w:color="auto"/>
            </w:tcBorders>
          </w:tcPr>
          <w:p>
            <w:pPr>
              <w:spacing w:after="0"/>
              <w:rPr>
                <w:sz w:val="14"/>
                <w:szCs w:val="14"/>
                <w:color w:val="auto"/>
              </w:rPr>
            </w:pPr>
          </w:p>
        </w:tc>
      </w:tr>
      <w:tr>
        <w:trPr>
          <w:trHeight w:val="161"/>
        </w:trPr>
        <w:tc>
          <w:tcPr>
            <w:tcW w:w="80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r>
      <w:tr>
        <w:trPr>
          <w:trHeight w:val="16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6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r>
      <w:tr>
        <w:trPr>
          <w:trHeight w:val="168"/>
        </w:trPr>
        <w:tc>
          <w:tcPr>
            <w:tcW w:w="8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 (deduct):</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2"/>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 attributed to non-controlling interest</w:t>
            </w:r>
          </w:p>
        </w:tc>
        <w:tc>
          <w:tcPr>
            <w:tcW w:w="10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80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Income attributed to LP</w:t>
            </w:r>
          </w:p>
        </w:tc>
        <w:tc>
          <w:tcPr>
            <w:tcW w:w="10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2"/>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8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2"/>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8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106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Business exit charges</w:t>
            </w: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 income</w:t>
            </w: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8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Pension settlement charges</w:t>
            </w:r>
          </w:p>
        </w:tc>
        <w:tc>
          <w:tcPr>
            <w:tcW w:w="106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non-operating items</w:t>
            </w:r>
          </w:p>
        </w:tc>
        <w:tc>
          <w:tcPr>
            <w:tcW w:w="10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9"/>
        </w:trPr>
        <w:tc>
          <w:tcPr>
            <w:tcW w:w="8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060" w:type="dxa"/>
            <w:vAlign w:val="bottom"/>
            <w:tcBorders>
              <w:bottom w:val="single" w:sz="8" w:color="auto"/>
            </w:tcBorders>
          </w:tcPr>
          <w:p>
            <w:pPr>
              <w:jc w:val="right"/>
              <w:ind w:right="9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182</w:t>
            </w:r>
          </w:p>
        </w:tc>
        <w:tc>
          <w:tcPr>
            <w:tcW w:w="120" w:type="dxa"/>
            <w:vAlign w:val="bottom"/>
          </w:tcPr>
          <w:p>
            <w:pPr>
              <w:spacing w:after="0"/>
              <w:rPr>
                <w:sz w:val="13"/>
                <w:szCs w:val="13"/>
                <w:color w:val="auto"/>
              </w:rPr>
            </w:pPr>
          </w:p>
        </w:tc>
        <w:tc>
          <w:tcPr>
            <w:tcW w:w="1100" w:type="dxa"/>
            <w:vAlign w:val="bottom"/>
            <w:tcBorders>
              <w:bottom w:val="single" w:sz="8" w:color="auto"/>
            </w:tcBorders>
          </w:tcPr>
          <w:p>
            <w:pPr>
              <w:jc w:val="right"/>
              <w:ind w:right="9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66</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32"/>
        </w:trPr>
        <w:tc>
          <w:tcPr>
            <w:tcW w:w="808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SEGMENT ADJUSTED EBITDA</w:t>
            </w:r>
          </w:p>
        </w:tc>
        <w:tc>
          <w:tcPr>
            <w:tcW w:w="10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68"/>
        </w:trPr>
        <w:tc>
          <w:tcPr>
            <w:tcW w:w="8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Siding</w:t>
            </w:r>
          </w:p>
        </w:tc>
        <w:tc>
          <w:tcPr>
            <w:tcW w:w="1060" w:type="dxa"/>
            <w:vAlign w:val="bottom"/>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4"/>
                <w:szCs w:val="14"/>
                <w:color w:val="auto"/>
              </w:rPr>
            </w:pPr>
          </w:p>
        </w:tc>
        <w:tc>
          <w:tcPr>
            <w:tcW w:w="1100" w:type="dxa"/>
            <w:vAlign w:val="bottom"/>
          </w:tcPr>
          <w:p>
            <w:pPr>
              <w:jc w:val="right"/>
              <w:ind w:right="985"/>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72"/>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OSB</w:t>
            </w: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8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LPSA</w:t>
            </w: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8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Corporate</w:t>
            </w:r>
          </w:p>
        </w:tc>
        <w:tc>
          <w:tcPr>
            <w:tcW w:w="10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8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06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color w:val="auto"/>
        </w:rPr>
        <w:t>The following table provides the reconciliation of net income to Adjusted Income (dollar amounts in millions, except per share amounts):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8080" w:type="dxa"/>
            <w:vAlign w:val="bottom"/>
          </w:tcPr>
          <w:p>
            <w:pPr>
              <w:spacing w:after="0"/>
              <w:rPr>
                <w:sz w:val="14"/>
                <w:szCs w:val="14"/>
                <w:color w:val="auto"/>
              </w:rPr>
            </w:pPr>
          </w:p>
        </w:tc>
        <w:tc>
          <w:tcPr>
            <w:tcW w:w="268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per share - diluted</w:t>
            </w:r>
          </w:p>
        </w:tc>
        <w:tc>
          <w:tcPr>
            <w:tcW w:w="106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0.29</w:t>
            </w:r>
          </w:p>
        </w:tc>
        <w:tc>
          <w:tcPr>
            <w:tcW w:w="0" w:type="dxa"/>
            <w:vAlign w:val="bottom"/>
          </w:tcPr>
          <w:p>
            <w:pPr>
              <w:spacing w:after="0"/>
              <w:rPr>
                <w:sz w:val="1"/>
                <w:szCs w:val="1"/>
                <w:color w:val="auto"/>
              </w:rPr>
            </w:pPr>
          </w:p>
        </w:tc>
      </w:tr>
      <w:tr>
        <w:trPr>
          <w:trHeight w:val="212"/>
        </w:trPr>
        <w:tc>
          <w:tcPr>
            <w:tcW w:w="8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6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c>
          <w:tcPr>
            <w:tcW w:w="0" w:type="dxa"/>
            <w:vAlign w:val="bottom"/>
          </w:tcPr>
          <w:p>
            <w:pPr>
              <w:spacing w:after="0"/>
              <w:rPr>
                <w:sz w:val="1"/>
                <w:szCs w:val="1"/>
                <w:color w:val="auto"/>
              </w:rPr>
            </w:pPr>
          </w:p>
        </w:tc>
      </w:tr>
      <w:tr>
        <w:trPr>
          <w:trHeight w:val="168"/>
        </w:trPr>
        <w:tc>
          <w:tcPr>
            <w:tcW w:w="8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 (deduct):</w:t>
            </w: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 attributed to non-controlling interest</w:t>
            </w:r>
          </w:p>
        </w:tc>
        <w:tc>
          <w:tcPr>
            <w:tcW w:w="10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8"/>
        </w:trPr>
        <w:tc>
          <w:tcPr>
            <w:tcW w:w="80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Income attributed to LP</w:t>
            </w:r>
          </w:p>
        </w:tc>
        <w:tc>
          <w:tcPr>
            <w:tcW w:w="10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2"/>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10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8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Business exit charges</w:t>
            </w:r>
          </w:p>
        </w:tc>
        <w:tc>
          <w:tcPr>
            <w:tcW w:w="10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Pension settlement charges</w:t>
            </w:r>
          </w:p>
        </w:tc>
        <w:tc>
          <w:tcPr>
            <w:tcW w:w="10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8"/>
        </w:trPr>
        <w:tc>
          <w:tcPr>
            <w:tcW w:w="8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Reported tax provision</w:t>
            </w:r>
          </w:p>
        </w:tc>
        <w:tc>
          <w:tcPr>
            <w:tcW w:w="10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8080" w:type="dxa"/>
            <w:vAlign w:val="bottom"/>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Adjusted income before tax</w:t>
            </w:r>
          </w:p>
        </w:tc>
        <w:tc>
          <w:tcPr>
            <w:tcW w:w="10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8"/>
        </w:trPr>
        <w:tc>
          <w:tcPr>
            <w:tcW w:w="8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Normalized tax provision at 25%</w:t>
            </w:r>
          </w:p>
        </w:tc>
        <w:tc>
          <w:tcPr>
            <w:tcW w:w="10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Income</w:t>
            </w:r>
          </w:p>
        </w:tc>
        <w:tc>
          <w:tcPr>
            <w:tcW w:w="106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111</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3"/>
                <w:szCs w:val="13"/>
                <w:color w:val="auto"/>
              </w:rPr>
              <w:t>Diluted shares outstanding</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72</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97"/>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Diluted EPS</w:t>
            </w:r>
          </w:p>
        </w:tc>
        <w:tc>
          <w:tcPr>
            <w:tcW w:w="106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w:t>
            </w: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0.34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Performance Indicators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management monitors certain key performance indicators to evaluate our business performance, which include our Overall Equipment Effectiveness (OEE) and our sales volume relative to housing starts, as provided by reports from the U.S. Census Bureau.</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following tables present summary data relating to: (i) housing starts within the United States, (ii) our sales volumes, and (iii) our OEE performance. We consider the following items to be key performance indicators for our business because LP’s management uses these metrics to evaluate our business and trends in our industry, measure our performance, and make strategic decisions. We believe that the key performance indicators presented may provide additional perspective and insights when analyzing our core operating performance. These key performance indicators should not be considered superior to, as a substitute for, or as an alternative to, and should be considered in conjunction with, the financial measures that were prepared in accordance with U.S. GAAP. These measures may not be comparable to similarly titled performance indicators used by other companies.</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monitor housing starts, which is a leading external indicator of residential construction in the United States that correlates with the demand for many of our products. We believe that housing starts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performance indicators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color w:val="auto"/>
        </w:rPr>
        <w:t>The following table sets forth housing starts for the three months ended March 31, 2024 and 2023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0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61"/>
        </w:trPr>
        <w:tc>
          <w:tcPr>
            <w:tcW w:w="810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1"/>
        </w:trPr>
        <w:tc>
          <w:tcPr>
            <w:tcW w:w="81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3"/>
                <w:szCs w:val="13"/>
                <w:b w:val="1"/>
                <w:bCs w:val="1"/>
                <w:color w:val="auto"/>
              </w:rPr>
              <w:t>Housing starts</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168"/>
        </w:trPr>
        <w:tc>
          <w:tcPr>
            <w:tcW w:w="8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Single-Family</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r>
      <w:tr>
        <w:trPr>
          <w:trHeight w:val="17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Multi-Family</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r>
      <w:tr>
        <w:trPr>
          <w:trHeight w:val="160"/>
        </w:trPr>
        <w:tc>
          <w:tcPr>
            <w:tcW w:w="8100" w:type="dxa"/>
            <w:vAlign w:val="bottom"/>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80" w:type="dxa"/>
            <w:vAlign w:val="bottom"/>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w:t>
            </w:r>
          </w:p>
        </w:tc>
      </w:tr>
      <w:tr>
        <w:trPr>
          <w:trHeight w:val="20"/>
        </w:trPr>
        <w:tc>
          <w:tcPr>
            <w:tcW w:w="8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60" w:hanging="55"/>
        <w:spacing w:after="0"/>
        <w:tabs>
          <w:tab w:leader="none" w:pos="60"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Actual U.S. housing starts data, in thousands, reported by the U.S. Census Bureau as published through April 16, 2024.</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monitor sales volumes for our products in our Siding, OSB, and LPSA segments, which we define as the number of units of our products sold within the applicable period. Evaluating sales volume by product type helps us identify and address changes in product demand, broad market factors that may affect our performance, and opportunities for future growth. It should be noted that other companies may present sales volume data differently, and therefore, as presented by us, sales volume data may not be comparable to similarly titled measures reported by other companies. We believe that sales volumes can be a useful measure for evaluating and understanding our business.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sales volumes for the three months ended March 31, 2024 and 2023:</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3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 2024</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 2023</w:t>
            </w:r>
          </w:p>
        </w:tc>
        <w:tc>
          <w:tcPr>
            <w:tcW w:w="920" w:type="dxa"/>
            <w:vAlign w:val="bottom"/>
            <w:tcBorders>
              <w:bottom w:val="single" w:sz="8" w:color="auto"/>
            </w:tcBorders>
          </w:tcPr>
          <w:p>
            <w:pPr>
              <w:spacing w:after="0"/>
              <w:rPr>
                <w:sz w:val="14"/>
                <w:szCs w:val="14"/>
                <w:color w:val="auto"/>
              </w:rPr>
            </w:pPr>
          </w:p>
        </w:tc>
      </w:tr>
      <w:tr>
        <w:trPr>
          <w:trHeight w:val="164"/>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Sales Volume</w:t>
            </w:r>
          </w:p>
        </w:tc>
        <w:tc>
          <w:tcPr>
            <w:tcW w:w="9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100" w:type="dxa"/>
            <w:vAlign w:val="bottom"/>
          </w:tcPr>
          <w:p>
            <w:pPr>
              <w:spacing w:after="0"/>
              <w:rPr>
                <w:sz w:val="14"/>
                <w:szCs w:val="14"/>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OSB</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LPSA</w:t>
            </w:r>
          </w:p>
        </w:tc>
        <w:tc>
          <w:tcPr>
            <w:tcW w:w="90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4"/>
                <w:szCs w:val="14"/>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80" w:type="dxa"/>
            <w:vAlign w:val="bottom"/>
          </w:tcPr>
          <w:p>
            <w:pPr>
              <w:spacing w:after="0"/>
              <w:rPr>
                <w:sz w:val="14"/>
                <w:szCs w:val="14"/>
                <w:color w:val="auto"/>
              </w:rPr>
            </w:pP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OSB</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LPSA</w:t>
            </w:r>
          </w:p>
        </w:tc>
        <w:tc>
          <w:tcPr>
            <w:tcW w:w="92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28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Siding Solutions (MMSF)</w:t>
            </w:r>
          </w:p>
        </w:tc>
        <w:tc>
          <w:tcPr>
            <w:tcW w:w="900" w:type="dxa"/>
            <w:vAlign w:val="bottom"/>
            <w:tcBorders>
              <w:top w:val="single" w:sz="8" w:color="auto"/>
            </w:tcBorders>
            <w:shd w:val="clear" w:color="auto" w:fill="CCEEFF"/>
          </w:tcPr>
          <w:p>
            <w:pPr>
              <w:jc w:val="center"/>
              <w:ind w:left="636"/>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r>
      <w:tr>
        <w:trPr>
          <w:trHeight w:val="168"/>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OSB - Structural Solutions (MMSF)</w:t>
            </w:r>
          </w:p>
        </w:tc>
        <w:tc>
          <w:tcPr>
            <w:tcW w:w="900" w:type="dxa"/>
            <w:vAlign w:val="bottom"/>
          </w:tcPr>
          <w:p>
            <w:pPr>
              <w:jc w:val="center"/>
              <w:ind w:left="61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w:t>
            </w:r>
          </w:p>
        </w:tc>
      </w:tr>
      <w:tr>
        <w:trPr>
          <w:trHeight w:val="17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 - commodity (MMSF)</w:t>
            </w:r>
          </w:p>
        </w:tc>
        <w:tc>
          <w:tcPr>
            <w:tcW w:w="90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monitor operational improvements. We use a best-in-class target across all LP sites that allows us to optimize capital investments, focus maintenance and reliability improvements, and improve overall equipment efficiency. It should be noted that other companies may present OEE data differently, and therefore, as presented by us, OEE data may not be comparable to similarly titled measures reported by other companies.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OEE for the three months ended March 31, 2024 and 2023 for each of our segments is listed below:</w:t>
      </w:r>
    </w:p>
    <w:p>
      <w:pPr>
        <w:spacing w:after="0" w:line="12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7340" w:type="dxa"/>
            <w:vAlign w:val="bottom"/>
            <w:tcBorders>
              <w:bottom w:val="single" w:sz="8" w:color="CCEEFF"/>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188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73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Siding</w:t>
            </w:r>
          </w:p>
        </w:tc>
        <w:tc>
          <w:tcPr>
            <w:tcW w:w="13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120" w:type="dxa"/>
            <w:vAlign w:val="bottom"/>
            <w:shd w:val="clear" w:color="auto" w:fill="CCEEFF"/>
          </w:tcPr>
          <w:p>
            <w:pPr>
              <w:spacing w:after="0"/>
              <w:rPr>
                <w:sz w:val="13"/>
                <w:szCs w:val="1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76 %</w:t>
            </w:r>
          </w:p>
        </w:tc>
      </w:tr>
      <w:tr>
        <w:trPr>
          <w:trHeight w:val="168"/>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OSB</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1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76 %</w:t>
            </w:r>
          </w:p>
        </w:tc>
      </w:tr>
      <w:tr>
        <w:trPr>
          <w:trHeight w:val="172"/>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12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76 %</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results of operations for each of our segments are discussed below, as are the results of operations for the “other” category, which comprises other products that are not individually significant. See "Note 14 - Selected Segment Data" of the Notes to the Condensed Consolidated Financial Statements included in "Item 1 - Financial Statements" of this quarterly report on Form 10-Q for further information regarding our segments.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Siding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Siding segment serves diverse end markets with a broad product offering, including LP SmartSide Trim &amp; Siding, LP SmartSide ExpertFinish Trim &amp; Siding, LP BuilderSeries Lap Siding, and LP Outdoor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auto"/>
        </w:rPr>
        <w:t>Solutions (collectively referred to as Siding Solutions). Our Siding Solutions products consist of a full line of engineered wood siding, trim, soffit, and fascia.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net sales and Adjusted EBITDA for this segment were as follows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940" w:type="dxa"/>
            <w:vAlign w:val="bottom"/>
            <w:tcBorders>
              <w:bottom w:val="single" w:sz="8" w:color="auto"/>
            </w:tcBorders>
          </w:tcPr>
          <w:p>
            <w:pPr>
              <w:spacing w:after="0"/>
              <w:rPr>
                <w:sz w:val="14"/>
                <w:szCs w:val="14"/>
                <w:color w:val="auto"/>
              </w:rPr>
            </w:pPr>
          </w:p>
        </w:tc>
      </w:tr>
      <w:tr>
        <w:trPr>
          <w:trHeight w:val="161"/>
        </w:trPr>
        <w:tc>
          <w:tcPr>
            <w:tcW w:w="75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2"/>
        </w:trPr>
        <w:tc>
          <w:tcPr>
            <w:tcW w:w="75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9 %</w:t>
            </w:r>
          </w:p>
        </w:tc>
      </w:tr>
      <w:tr>
        <w:trPr>
          <w:trHeight w:val="165"/>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7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34 %</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in this segment by product line were as follows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960" w:type="dxa"/>
            <w:vAlign w:val="bottom"/>
            <w:tcBorders>
              <w:bottom w:val="single" w:sz="8" w:color="auto"/>
            </w:tcBorders>
          </w:tcPr>
          <w:p>
            <w:pPr>
              <w:spacing w:after="0"/>
              <w:rPr>
                <w:sz w:val="14"/>
                <w:szCs w:val="14"/>
                <w:color w:val="auto"/>
              </w:rPr>
            </w:pPr>
          </w:p>
        </w:tc>
      </w:tr>
      <w:tr>
        <w:trPr>
          <w:trHeight w:val="161"/>
        </w:trPr>
        <w:tc>
          <w:tcPr>
            <w:tcW w:w="7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2"/>
        </w:trPr>
        <w:tc>
          <w:tcPr>
            <w:tcW w:w="7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Siding Solutions</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9 %</w:t>
            </w:r>
          </w:p>
        </w:tc>
      </w:tr>
      <w:tr>
        <w:trPr>
          <w:trHeight w:val="168"/>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186"/>
        </w:trPr>
        <w:tc>
          <w:tcPr>
            <w:tcW w:w="7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9 %</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 changes in average net sales prices and unit shipments for the three months ended March 31, 2024, compared to the corresponding period in 2023,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40" w:type="dxa"/>
            <w:vAlign w:val="bottom"/>
            <w:gridSpan w:val="3"/>
          </w:tcPr>
          <w:p>
            <w:pPr>
              <w:jc w:val="center"/>
              <w:ind w:right="776"/>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440" w:type="dxa"/>
            <w:vAlign w:val="bottom"/>
          </w:tcPr>
          <w:p>
            <w:pPr>
              <w:spacing w:after="0"/>
              <w:rPr>
                <w:sz w:val="12"/>
                <w:szCs w:val="12"/>
                <w:color w:val="auto"/>
              </w:rPr>
            </w:pPr>
          </w:p>
        </w:tc>
      </w:tr>
      <w:tr>
        <w:trPr>
          <w:trHeight w:val="169"/>
        </w:trPr>
        <w:tc>
          <w:tcPr>
            <w:tcW w:w="7520" w:type="dxa"/>
            <w:vAlign w:val="bottom"/>
          </w:tcPr>
          <w:p>
            <w:pPr>
              <w:spacing w:after="0"/>
              <w:rPr>
                <w:sz w:val="14"/>
                <w:szCs w:val="14"/>
                <w:color w:val="auto"/>
              </w:rPr>
            </w:pPr>
          </w:p>
        </w:tc>
        <w:tc>
          <w:tcPr>
            <w:tcW w:w="3320" w:type="dxa"/>
            <w:vAlign w:val="bottom"/>
            <w:tcBorders>
              <w:bottom w:val="single" w:sz="8" w:color="auto"/>
            </w:tcBorders>
            <w:gridSpan w:val="4"/>
          </w:tcPr>
          <w:p>
            <w:pPr>
              <w:jc w:val="center"/>
              <w:ind w:left="396"/>
              <w:spacing w:after="0"/>
              <w:rPr>
                <w:sz w:val="20"/>
                <w:szCs w:val="20"/>
                <w:color w:val="auto"/>
              </w:rPr>
            </w:pPr>
            <w:r>
              <w:rPr>
                <w:rFonts w:ascii="Times New Roman" w:cs="Times New Roman" w:eastAsia="Times New Roman" w:hAnsi="Times New Roman"/>
                <w:sz w:val="13"/>
                <w:szCs w:val="13"/>
                <w:b w:val="1"/>
                <w:bCs w:val="1"/>
                <w:color w:val="auto"/>
                <w:w w:val="97"/>
              </w:rPr>
              <w:t>March 31, 2024 versus 2023</w:t>
            </w:r>
          </w:p>
        </w:tc>
        <w:tc>
          <w:tcPr>
            <w:tcW w:w="440" w:type="dxa"/>
            <w:vAlign w:val="bottom"/>
            <w:tcBorders>
              <w:bottom w:val="single" w:sz="8" w:color="auto"/>
            </w:tcBorders>
          </w:tcPr>
          <w:p>
            <w:pPr>
              <w:spacing w:after="0"/>
              <w:rPr>
                <w:sz w:val="14"/>
                <w:szCs w:val="14"/>
                <w:color w:val="auto"/>
              </w:rPr>
            </w:pPr>
          </w:p>
        </w:tc>
      </w:tr>
      <w:tr>
        <w:trPr>
          <w:trHeight w:val="119"/>
        </w:trPr>
        <w:tc>
          <w:tcPr>
            <w:tcW w:w="7520" w:type="dxa"/>
            <w:vAlign w:val="bottom"/>
          </w:tcPr>
          <w:p>
            <w:pPr>
              <w:spacing w:after="0"/>
              <w:rPr>
                <w:sz w:val="10"/>
                <w:szCs w:val="10"/>
                <w:color w:val="auto"/>
              </w:rPr>
            </w:pPr>
          </w:p>
        </w:tc>
        <w:tc>
          <w:tcPr>
            <w:tcW w:w="1280" w:type="dxa"/>
            <w:vAlign w:val="bottom"/>
          </w:tcPr>
          <w:p>
            <w:pPr>
              <w:ind w:left="600"/>
              <w:spacing w:after="0" w:line="119" w:lineRule="exact"/>
              <w:rPr>
                <w:sz w:val="20"/>
                <w:szCs w:val="20"/>
                <w:color w:val="auto"/>
              </w:rPr>
            </w:pPr>
            <w:r>
              <w:rPr>
                <w:rFonts w:ascii="Times New Roman" w:cs="Times New Roman" w:eastAsia="Times New Roman" w:hAnsi="Times New Roman"/>
                <w:sz w:val="13"/>
                <w:szCs w:val="13"/>
                <w:color w:val="auto"/>
                <w:w w:val="99"/>
              </w:rPr>
              <w:t>Average Net</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jc w:val="center"/>
              <w:ind w:left="396"/>
              <w:spacing w:after="0" w:line="119" w:lineRule="exact"/>
              <w:rPr>
                <w:sz w:val="20"/>
                <w:szCs w:val="20"/>
                <w:color w:val="auto"/>
              </w:rPr>
            </w:pPr>
            <w:r>
              <w:rPr>
                <w:rFonts w:ascii="Times New Roman" w:cs="Times New Roman" w:eastAsia="Times New Roman" w:hAnsi="Times New Roman"/>
                <w:sz w:val="13"/>
                <w:szCs w:val="13"/>
                <w:color w:val="auto"/>
                <w:w w:val="94"/>
              </w:rPr>
              <w:t>Unit</w:t>
            </w:r>
          </w:p>
        </w:tc>
        <w:tc>
          <w:tcPr>
            <w:tcW w:w="440" w:type="dxa"/>
            <w:vAlign w:val="bottom"/>
          </w:tcPr>
          <w:p>
            <w:pPr>
              <w:spacing w:after="0"/>
              <w:rPr>
                <w:sz w:val="10"/>
                <w:szCs w:val="10"/>
                <w:color w:val="auto"/>
              </w:rPr>
            </w:pPr>
          </w:p>
        </w:tc>
      </w:tr>
      <w:tr>
        <w:trPr>
          <w:trHeight w:val="168"/>
        </w:trPr>
        <w:tc>
          <w:tcPr>
            <w:tcW w:w="75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rPr>
              <w:t>Selling Price</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ind w:left="396"/>
              <w:spacing w:after="0"/>
              <w:rPr>
                <w:sz w:val="20"/>
                <w:szCs w:val="20"/>
                <w:color w:val="auto"/>
              </w:rPr>
            </w:pPr>
            <w:r>
              <w:rPr>
                <w:rFonts w:ascii="Times New Roman" w:cs="Times New Roman" w:eastAsia="Times New Roman" w:hAnsi="Times New Roman"/>
                <w:sz w:val="13"/>
                <w:szCs w:val="13"/>
                <w:color w:val="auto"/>
                <w:w w:val="98"/>
              </w:rPr>
              <w:t>Shipments</w:t>
            </w:r>
          </w:p>
        </w:tc>
        <w:tc>
          <w:tcPr>
            <w:tcW w:w="440" w:type="dxa"/>
            <w:vAlign w:val="bottom"/>
            <w:tcBorders>
              <w:bottom w:val="single" w:sz="8" w:color="auto"/>
            </w:tcBorders>
          </w:tcPr>
          <w:p>
            <w:pPr>
              <w:spacing w:after="0"/>
              <w:rPr>
                <w:sz w:val="14"/>
                <w:szCs w:val="14"/>
                <w:color w:val="auto"/>
              </w:rPr>
            </w:pPr>
          </w:p>
        </w:tc>
      </w:tr>
      <w:tr>
        <w:trPr>
          <w:trHeight w:val="163"/>
        </w:trPr>
        <w:tc>
          <w:tcPr>
            <w:tcW w:w="75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Siding Solutions</w:t>
            </w: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year-over-year net sales increase for the Siding segment of $30 million for the three months ended March 31, 2024 reflects increased sales volumes and list price increases.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First quarter 2024 Adjusted EBITDA increased year-over-year by $23 million, including the impact of the net sales increase and a $10 million decrease in costs, including freight, raw materials, and labor, partially offset by a $7 million increase in mill overhead.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OSB</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OSB segment manufactures and distributes OSB structural panel products, including the innovative value-added OSB product portfolio known as LP Structural Solutions (which includes LP TechShield Radiant Barrier, LP WeatherLogic Air &amp; Water Barrier, LP Legacy Premium Sub-Flooring, LP NovaCore Thermal Insulated Sheathing, LP FlameBlock Fire-Rated Sheathing, and LP TopNotch 350 Durable Sub-Flooring). OSB is manufactured using wood strands arranged in layers and bonded with resins.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net sales and Adjusted EBITDA for this segment were as follows (dollar amounts in millions):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4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w w:val="99"/>
              </w:rPr>
              <w:t>Three Months Ended March 31,</w:t>
            </w:r>
          </w:p>
        </w:tc>
        <w:tc>
          <w:tcPr>
            <w:tcW w:w="980" w:type="dxa"/>
            <w:vAlign w:val="bottom"/>
            <w:tcBorders>
              <w:bottom w:val="single" w:sz="8" w:color="auto"/>
            </w:tcBorders>
          </w:tcPr>
          <w:p>
            <w:pPr>
              <w:spacing w:after="0"/>
              <w:rPr>
                <w:sz w:val="14"/>
                <w:szCs w:val="14"/>
                <w:color w:val="auto"/>
              </w:rPr>
            </w:pPr>
          </w:p>
        </w:tc>
      </w:tr>
      <w:tr>
        <w:trPr>
          <w:trHeight w:val="161"/>
        </w:trPr>
        <w:tc>
          <w:tcPr>
            <w:tcW w:w="74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2"/>
        </w:trPr>
        <w:tc>
          <w:tcPr>
            <w:tcW w:w="74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65 %</w:t>
            </w:r>
          </w:p>
        </w:tc>
      </w:tr>
      <w:tr>
        <w:trPr>
          <w:trHeight w:val="165"/>
        </w:trPr>
        <w:tc>
          <w:tcPr>
            <w:tcW w:w="7440" w:type="dxa"/>
            <w:vAlign w:val="bottom"/>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Net sales in this segment by product line were as follows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61"/>
        </w:trPr>
        <w:tc>
          <w:tcPr>
            <w:tcW w:w="7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 w:type="dxa"/>
            <w:vAlign w:val="bottom"/>
            <w:tcBorders>
              <w:bottom w:val="single" w:sz="8" w:color="auto"/>
            </w:tcBorders>
          </w:tcPr>
          <w:p>
            <w:pPr>
              <w:spacing w:after="0"/>
              <w:rPr>
                <w:sz w:val="14"/>
                <w:szCs w:val="14"/>
                <w:color w:val="auto"/>
              </w:rPr>
            </w:pPr>
          </w:p>
        </w:tc>
      </w:tr>
      <w:tr>
        <w:trPr>
          <w:trHeight w:val="162"/>
        </w:trPr>
        <w:tc>
          <w:tcPr>
            <w:tcW w:w="7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OSB - Structural Solutions</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68"/>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OSB - commodity</w:t>
            </w:r>
          </w:p>
        </w:tc>
        <w:tc>
          <w:tcPr>
            <w:tcW w:w="7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7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59"/>
        </w:trPr>
        <w:tc>
          <w:tcPr>
            <w:tcW w:w="75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313</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189</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65 %</w:t>
            </w:r>
          </w:p>
        </w:tc>
      </w:tr>
      <w:tr>
        <w:trPr>
          <w:trHeight w:val="20"/>
        </w:trPr>
        <w:tc>
          <w:tcPr>
            <w:tcW w:w="7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 changes in average net sales prices and unit shipments for the three months ended March 31, 2024, compared to the corresponding period in 2023,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20" w:type="dxa"/>
            <w:vAlign w:val="bottom"/>
            <w:gridSpan w:val="3"/>
          </w:tcPr>
          <w:p>
            <w:pPr>
              <w:jc w:val="center"/>
              <w:ind w:right="716"/>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460" w:type="dxa"/>
            <w:vAlign w:val="bottom"/>
          </w:tcPr>
          <w:p>
            <w:pPr>
              <w:spacing w:after="0"/>
              <w:rPr>
                <w:sz w:val="12"/>
                <w:szCs w:val="12"/>
                <w:color w:val="auto"/>
              </w:rPr>
            </w:pPr>
          </w:p>
        </w:tc>
      </w:tr>
      <w:tr>
        <w:trPr>
          <w:trHeight w:val="169"/>
        </w:trPr>
        <w:tc>
          <w:tcPr>
            <w:tcW w:w="7540" w:type="dxa"/>
            <w:vAlign w:val="bottom"/>
          </w:tcPr>
          <w:p>
            <w:pPr>
              <w:spacing w:after="0"/>
              <w:rPr>
                <w:sz w:val="14"/>
                <w:szCs w:val="14"/>
                <w:color w:val="auto"/>
              </w:rPr>
            </w:pPr>
          </w:p>
        </w:tc>
        <w:tc>
          <w:tcPr>
            <w:tcW w:w="3280" w:type="dxa"/>
            <w:vAlign w:val="bottom"/>
            <w:tcBorders>
              <w:bottom w:val="single" w:sz="8" w:color="auto"/>
            </w:tcBorders>
            <w:gridSpan w:val="4"/>
          </w:tcPr>
          <w:p>
            <w:pPr>
              <w:jc w:val="center"/>
              <w:ind w:left="396"/>
              <w:spacing w:after="0"/>
              <w:rPr>
                <w:sz w:val="20"/>
                <w:szCs w:val="20"/>
                <w:color w:val="auto"/>
              </w:rPr>
            </w:pPr>
            <w:r>
              <w:rPr>
                <w:rFonts w:ascii="Times New Roman" w:cs="Times New Roman" w:eastAsia="Times New Roman" w:hAnsi="Times New Roman"/>
                <w:sz w:val="13"/>
                <w:szCs w:val="13"/>
                <w:b w:val="1"/>
                <w:bCs w:val="1"/>
                <w:color w:val="auto"/>
                <w:w w:val="97"/>
              </w:rPr>
              <w:t>March 31, 2024 versus 2023</w:t>
            </w:r>
          </w:p>
        </w:tc>
        <w:tc>
          <w:tcPr>
            <w:tcW w:w="460" w:type="dxa"/>
            <w:vAlign w:val="bottom"/>
            <w:tcBorders>
              <w:bottom w:val="single" w:sz="8" w:color="auto"/>
            </w:tcBorders>
          </w:tcPr>
          <w:p>
            <w:pPr>
              <w:spacing w:after="0"/>
              <w:rPr>
                <w:sz w:val="14"/>
                <w:szCs w:val="14"/>
                <w:color w:val="auto"/>
              </w:rPr>
            </w:pPr>
          </w:p>
        </w:tc>
      </w:tr>
      <w:tr>
        <w:trPr>
          <w:trHeight w:val="119"/>
        </w:trPr>
        <w:tc>
          <w:tcPr>
            <w:tcW w:w="7540" w:type="dxa"/>
            <w:vAlign w:val="bottom"/>
          </w:tcPr>
          <w:p>
            <w:pPr>
              <w:spacing w:after="0"/>
              <w:rPr>
                <w:sz w:val="10"/>
                <w:szCs w:val="10"/>
                <w:color w:val="auto"/>
              </w:rPr>
            </w:pPr>
          </w:p>
        </w:tc>
        <w:tc>
          <w:tcPr>
            <w:tcW w:w="1260" w:type="dxa"/>
            <w:vAlign w:val="bottom"/>
          </w:tcPr>
          <w:p>
            <w:pPr>
              <w:ind w:left="600"/>
              <w:spacing w:after="0" w:line="119" w:lineRule="exact"/>
              <w:rPr>
                <w:sz w:val="20"/>
                <w:szCs w:val="20"/>
                <w:color w:val="auto"/>
              </w:rPr>
            </w:pPr>
            <w:r>
              <w:rPr>
                <w:rFonts w:ascii="Times New Roman" w:cs="Times New Roman" w:eastAsia="Times New Roman" w:hAnsi="Times New Roman"/>
                <w:sz w:val="13"/>
                <w:szCs w:val="13"/>
                <w:color w:val="auto"/>
                <w:w w:val="96"/>
              </w:rPr>
              <w:t>Average Net</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center"/>
              <w:ind w:left="396"/>
              <w:spacing w:after="0" w:line="119" w:lineRule="exact"/>
              <w:rPr>
                <w:sz w:val="20"/>
                <w:szCs w:val="20"/>
                <w:color w:val="auto"/>
              </w:rPr>
            </w:pPr>
            <w:r>
              <w:rPr>
                <w:rFonts w:ascii="Times New Roman" w:cs="Times New Roman" w:eastAsia="Times New Roman" w:hAnsi="Times New Roman"/>
                <w:sz w:val="13"/>
                <w:szCs w:val="13"/>
                <w:color w:val="auto"/>
                <w:w w:val="94"/>
              </w:rPr>
              <w:t>Unit</w:t>
            </w:r>
          </w:p>
        </w:tc>
        <w:tc>
          <w:tcPr>
            <w:tcW w:w="460" w:type="dxa"/>
            <w:vAlign w:val="bottom"/>
          </w:tcPr>
          <w:p>
            <w:pPr>
              <w:spacing w:after="0"/>
              <w:rPr>
                <w:sz w:val="10"/>
                <w:szCs w:val="10"/>
                <w:color w:val="auto"/>
              </w:rPr>
            </w:pPr>
          </w:p>
        </w:tc>
      </w:tr>
      <w:tr>
        <w:trPr>
          <w:trHeight w:val="168"/>
        </w:trPr>
        <w:tc>
          <w:tcPr>
            <w:tcW w:w="75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w w:val="98"/>
              </w:rPr>
              <w:t>Selling Price</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ind w:left="396"/>
              <w:spacing w:after="0"/>
              <w:rPr>
                <w:sz w:val="20"/>
                <w:szCs w:val="20"/>
                <w:color w:val="auto"/>
              </w:rPr>
            </w:pPr>
            <w:r>
              <w:rPr>
                <w:rFonts w:ascii="Times New Roman" w:cs="Times New Roman" w:eastAsia="Times New Roman" w:hAnsi="Times New Roman"/>
                <w:sz w:val="13"/>
                <w:szCs w:val="13"/>
                <w:color w:val="auto"/>
                <w:w w:val="98"/>
              </w:rPr>
              <w:t>Shipments</w:t>
            </w:r>
          </w:p>
        </w:tc>
        <w:tc>
          <w:tcPr>
            <w:tcW w:w="460" w:type="dxa"/>
            <w:vAlign w:val="bottom"/>
            <w:tcBorders>
              <w:bottom w:val="single" w:sz="8" w:color="auto"/>
            </w:tcBorders>
          </w:tcPr>
          <w:p>
            <w:pPr>
              <w:spacing w:after="0"/>
              <w:rPr>
                <w:sz w:val="14"/>
                <w:szCs w:val="14"/>
                <w:color w:val="auto"/>
              </w:rPr>
            </w:pPr>
          </w:p>
        </w:tc>
      </w:tr>
      <w:tr>
        <w:trPr>
          <w:trHeight w:val="163"/>
        </w:trPr>
        <w:tc>
          <w:tcPr>
            <w:tcW w:w="75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OSB - Structural Solutions</w:t>
            </w:r>
          </w:p>
        </w:tc>
        <w:tc>
          <w:tcPr>
            <w:tcW w:w="12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r>
      <w:tr>
        <w:trPr>
          <w:trHeight w:val="165"/>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OSB - commodity</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r>
    </w:tbl>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year-over-year net sales increase for the OSB segment of $124 million for the three months ended March 31, 2024 reflects a $62 million increase in OSB prices and a $56 million increase in sales volumes.</w:t>
      </w:r>
    </w:p>
    <w:p>
      <w:pPr>
        <w:spacing w:after="0" w:line="39" w:lineRule="exact"/>
        <w:rPr>
          <w:sz w:val="20"/>
          <w:szCs w:val="20"/>
          <w:color w:val="auto"/>
        </w:rPr>
      </w:pPr>
    </w:p>
    <w:p>
      <w:pPr>
        <w:ind w:right="800"/>
        <w:spacing w:after="0" w:line="379" w:lineRule="auto"/>
        <w:rPr>
          <w:sz w:val="20"/>
          <w:szCs w:val="20"/>
          <w:color w:val="auto"/>
        </w:rPr>
      </w:pPr>
      <w:r>
        <w:rPr>
          <w:rFonts w:ascii="Times New Roman" w:cs="Times New Roman" w:eastAsia="Times New Roman" w:hAnsi="Times New Roman"/>
          <w:sz w:val="14"/>
          <w:szCs w:val="14"/>
          <w:color w:val="auto"/>
        </w:rPr>
        <w:t xml:space="preserve">First quarter 2024 Adjusted EBITDA increased year-over-year by $86 million, reflecting the impact of higher OSB prices and sales volumes, partially offset by higher mill-related costs. </w:t>
      </w:r>
      <w:r>
        <w:rPr>
          <w:rFonts w:ascii="Times New Roman" w:cs="Times New Roman" w:eastAsia="Times New Roman" w:hAnsi="Times New Roman"/>
          <w:sz w:val="14"/>
          <w:szCs w:val="14"/>
          <w:i w:val="1"/>
          <w:iCs w:val="1"/>
          <w:color w:val="auto"/>
        </w:rPr>
        <w:t>LPSA</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LPSA segment manufactures and distributes LP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net sales and Adjusted EBITDA for this segment were as follows (dollar amounts in millions):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5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960" w:type="dxa"/>
            <w:vAlign w:val="bottom"/>
            <w:tcBorders>
              <w:bottom w:val="single" w:sz="8" w:color="auto"/>
            </w:tcBorders>
          </w:tcPr>
          <w:p>
            <w:pPr>
              <w:spacing w:after="0"/>
              <w:rPr>
                <w:sz w:val="14"/>
                <w:szCs w:val="14"/>
                <w:color w:val="auto"/>
              </w:rPr>
            </w:pPr>
          </w:p>
        </w:tc>
      </w:tr>
      <w:tr>
        <w:trPr>
          <w:trHeight w:val="161"/>
        </w:trPr>
        <w:tc>
          <w:tcPr>
            <w:tcW w:w="75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2"/>
        </w:trPr>
        <w:tc>
          <w:tcPr>
            <w:tcW w:w="75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8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5"/>
        </w:trPr>
        <w:tc>
          <w:tcPr>
            <w:tcW w:w="7540" w:type="dxa"/>
            <w:vAlign w:val="bottom"/>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Net sales in this segment by product were as follows (dollar amounts in millions):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w:t>
            </w:r>
          </w:p>
        </w:tc>
        <w:tc>
          <w:tcPr>
            <w:tcW w:w="960" w:type="dxa"/>
            <w:vAlign w:val="bottom"/>
            <w:tcBorders>
              <w:bottom w:val="single" w:sz="8" w:color="auto"/>
            </w:tcBorders>
          </w:tcPr>
          <w:p>
            <w:pPr>
              <w:spacing w:after="0"/>
              <w:rPr>
                <w:sz w:val="14"/>
                <w:szCs w:val="14"/>
                <w:color w:val="auto"/>
              </w:rPr>
            </w:pPr>
          </w:p>
        </w:tc>
      </w:tr>
      <w:tr>
        <w:trPr>
          <w:trHeight w:val="161"/>
        </w:trPr>
        <w:tc>
          <w:tcPr>
            <w:tcW w:w="75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8"/>
              </w:rPr>
              <w:t>% Change</w:t>
            </w:r>
          </w:p>
        </w:tc>
      </w:tr>
      <w:tr>
        <w:trPr>
          <w:trHeight w:val="162"/>
        </w:trPr>
        <w:tc>
          <w:tcPr>
            <w:tcW w:w="75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OSB - Structural Solutions</w:t>
            </w:r>
          </w:p>
        </w:tc>
        <w:tc>
          <w:tcPr>
            <w:tcW w:w="8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68"/>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Siding</w:t>
            </w:r>
          </w:p>
        </w:tc>
        <w:tc>
          <w:tcPr>
            <w:tcW w:w="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r>
      <w:tr>
        <w:trPr>
          <w:trHeight w:val="172"/>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8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75 %</w:t>
            </w:r>
          </w:p>
        </w:tc>
      </w:tr>
      <w:tr>
        <w:trPr>
          <w:trHeight w:val="159"/>
        </w:trPr>
        <w:tc>
          <w:tcPr>
            <w:tcW w:w="75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8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r>
      <w:tr>
        <w:trPr>
          <w:trHeight w:val="20"/>
        </w:trPr>
        <w:tc>
          <w:tcPr>
            <w:tcW w:w="7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 changes in average net sales price and unit shipments for the three months ended March 31, 2024, compared to the corresponding period in 2023,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60" w:type="dxa"/>
            <w:vAlign w:val="bottom"/>
            <w:gridSpan w:val="3"/>
          </w:tcPr>
          <w:p>
            <w:pPr>
              <w:jc w:val="center"/>
              <w:ind w:right="756"/>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440" w:type="dxa"/>
            <w:vAlign w:val="bottom"/>
          </w:tcPr>
          <w:p>
            <w:pPr>
              <w:spacing w:after="0"/>
              <w:rPr>
                <w:sz w:val="12"/>
                <w:szCs w:val="12"/>
                <w:color w:val="auto"/>
              </w:rPr>
            </w:pPr>
          </w:p>
        </w:tc>
      </w:tr>
      <w:tr>
        <w:trPr>
          <w:trHeight w:val="169"/>
        </w:trPr>
        <w:tc>
          <w:tcPr>
            <w:tcW w:w="7500" w:type="dxa"/>
            <w:vAlign w:val="bottom"/>
          </w:tcPr>
          <w:p>
            <w:pPr>
              <w:spacing w:after="0"/>
              <w:rPr>
                <w:sz w:val="14"/>
                <w:szCs w:val="14"/>
                <w:color w:val="auto"/>
              </w:rPr>
            </w:pPr>
          </w:p>
        </w:tc>
        <w:tc>
          <w:tcPr>
            <w:tcW w:w="3340" w:type="dxa"/>
            <w:vAlign w:val="bottom"/>
            <w:tcBorders>
              <w:bottom w:val="single" w:sz="8" w:color="auto"/>
            </w:tcBorders>
            <w:gridSpan w:val="4"/>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7"/>
              </w:rPr>
              <w:t>March 31, 2024 versus 2023</w:t>
            </w:r>
          </w:p>
        </w:tc>
        <w:tc>
          <w:tcPr>
            <w:tcW w:w="440" w:type="dxa"/>
            <w:vAlign w:val="bottom"/>
            <w:tcBorders>
              <w:bottom w:val="single" w:sz="8" w:color="auto"/>
            </w:tcBorders>
          </w:tcPr>
          <w:p>
            <w:pPr>
              <w:spacing w:after="0"/>
              <w:rPr>
                <w:sz w:val="14"/>
                <w:szCs w:val="14"/>
                <w:color w:val="auto"/>
              </w:rPr>
            </w:pPr>
          </w:p>
        </w:tc>
      </w:tr>
      <w:tr>
        <w:trPr>
          <w:trHeight w:val="119"/>
        </w:trPr>
        <w:tc>
          <w:tcPr>
            <w:tcW w:w="7500" w:type="dxa"/>
            <w:vAlign w:val="bottom"/>
          </w:tcPr>
          <w:p>
            <w:pPr>
              <w:spacing w:after="0"/>
              <w:rPr>
                <w:sz w:val="10"/>
                <w:szCs w:val="10"/>
                <w:color w:val="auto"/>
              </w:rPr>
            </w:pPr>
          </w:p>
        </w:tc>
        <w:tc>
          <w:tcPr>
            <w:tcW w:w="1280" w:type="dxa"/>
            <w:vAlign w:val="bottom"/>
          </w:tcPr>
          <w:p>
            <w:pPr>
              <w:ind w:left="600"/>
              <w:spacing w:after="0" w:line="119" w:lineRule="exact"/>
              <w:rPr>
                <w:sz w:val="20"/>
                <w:szCs w:val="20"/>
                <w:color w:val="auto"/>
              </w:rPr>
            </w:pPr>
            <w:r>
              <w:rPr>
                <w:rFonts w:ascii="Times New Roman" w:cs="Times New Roman" w:eastAsia="Times New Roman" w:hAnsi="Times New Roman"/>
                <w:sz w:val="13"/>
                <w:szCs w:val="13"/>
                <w:color w:val="auto"/>
                <w:w w:val="99"/>
              </w:rPr>
              <w:t>Average Net</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jc w:val="center"/>
              <w:ind w:left="396"/>
              <w:spacing w:after="0" w:line="119" w:lineRule="exact"/>
              <w:rPr>
                <w:sz w:val="20"/>
                <w:szCs w:val="20"/>
                <w:color w:val="auto"/>
              </w:rPr>
            </w:pPr>
            <w:r>
              <w:rPr>
                <w:rFonts w:ascii="Times New Roman" w:cs="Times New Roman" w:eastAsia="Times New Roman" w:hAnsi="Times New Roman"/>
                <w:sz w:val="13"/>
                <w:szCs w:val="13"/>
                <w:color w:val="auto"/>
                <w:w w:val="94"/>
              </w:rPr>
              <w:t>Unit</w:t>
            </w:r>
          </w:p>
        </w:tc>
        <w:tc>
          <w:tcPr>
            <w:tcW w:w="440" w:type="dxa"/>
            <w:vAlign w:val="bottom"/>
          </w:tcPr>
          <w:p>
            <w:pPr>
              <w:spacing w:after="0"/>
              <w:rPr>
                <w:sz w:val="10"/>
                <w:szCs w:val="10"/>
                <w:color w:val="auto"/>
              </w:rPr>
            </w:pPr>
          </w:p>
        </w:tc>
      </w:tr>
      <w:tr>
        <w:trPr>
          <w:trHeight w:val="168"/>
        </w:trPr>
        <w:tc>
          <w:tcPr>
            <w:tcW w:w="75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color w:val="auto"/>
                <w:w w:val="98"/>
              </w:rPr>
              <w:t>Selling Price</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ind w:left="396"/>
              <w:spacing w:after="0"/>
              <w:rPr>
                <w:sz w:val="20"/>
                <w:szCs w:val="20"/>
                <w:color w:val="auto"/>
              </w:rPr>
            </w:pPr>
            <w:r>
              <w:rPr>
                <w:rFonts w:ascii="Times New Roman" w:cs="Times New Roman" w:eastAsia="Times New Roman" w:hAnsi="Times New Roman"/>
                <w:sz w:val="13"/>
                <w:szCs w:val="13"/>
                <w:color w:val="auto"/>
                <w:w w:val="98"/>
              </w:rPr>
              <w:t>Shipments</w:t>
            </w:r>
          </w:p>
        </w:tc>
        <w:tc>
          <w:tcPr>
            <w:tcW w:w="440" w:type="dxa"/>
            <w:vAlign w:val="bottom"/>
            <w:tcBorders>
              <w:bottom w:val="single" w:sz="8" w:color="auto"/>
            </w:tcBorders>
          </w:tcPr>
          <w:p>
            <w:pPr>
              <w:spacing w:after="0"/>
              <w:rPr>
                <w:sz w:val="14"/>
                <w:szCs w:val="14"/>
                <w:color w:val="auto"/>
              </w:rPr>
            </w:pPr>
          </w:p>
        </w:tc>
      </w:tr>
      <w:tr>
        <w:trPr>
          <w:trHeight w:val="163"/>
        </w:trPr>
        <w:tc>
          <w:tcPr>
            <w:tcW w:w="75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OSB - Structural Solutions</w:t>
            </w:r>
          </w:p>
        </w:tc>
        <w:tc>
          <w:tcPr>
            <w:tcW w:w="1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65"/>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Siding</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r>
    </w:tbl>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year-over-year net sales decrease for the LPSA segment of $8 million for the three months ended March 31, 2024 reflects lower average selling prices and unfavorable currency fluctuations, partially offset by higher sales volumes.</w:t>
      </w:r>
    </w:p>
    <w:p>
      <w:pPr>
        <w:spacing w:after="0" w:line="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First quarter 2024 Adjusted EBITDA decreased year-over-year by $2 million, reflecting lower average selling prices and unfavorable currency fluctuations, partially offset by lower raw material costs.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other products segment includes other minor products, services, and closed operations, which do not qualify as discontinued operations. During the second quarter of 2023, we announced the shutdown of our off-site framing operation Entekra Holdings LLC (Entekra). Other net sales were $3 million for the three months ended March 31, 2024, as compared to $8 million for the corresponding period in 2023. The year-over-year decrease in other net sales for the three months ended March 31, 2024 was primarily due to lower Entekra sales volumes as a result of the aforementioned shutdown. Adjusted EBITDA was $(1) million for the three months ended March 31, 2024, as compared to $(9) million for the corresponding period in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expenses were $69 million for the three months ended March 31, 2024, compared to $66 million for the corresponding period in 2023. The year-over-year increase in Selling, general, and administrative expenses was driven by higher employee compensation.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recognized an estimated tax provision of $41 million and $1 million in the three months ended March 31, 2024, and 2023, respectively. The total effective tax rate for the three months ended March 31, 2024 and 2023 was 28% and 5%, respectively. Each quarter the income tax accrual is adjusted to the latest estimate and the difference from the previously accrued year-to-date balance is recorded in the current quarter. For 2024, the primary differences between the U.S. statutory rate of 21% and the effective rate related to state taxes and inflationary tax adjustments in certain South American entities. For 2023 the primary differences between the U.S. statutory rate of 21% and the effective rate related to benefits from stock-based compensation and inflationary tax adjustments in certain South American entities, partially offset by expenses from state taxes and executive compensation deduction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auto"/>
        </w:rPr>
        <w:t>Legal and Environmental Matters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a discussion of legal and environmental matters involving us and the potential impact thereof on our financial position, results of operations, and cash flows, see Items 3, 7, and 8 in our 2023 Annual Report on Form 10-K and "Note 9 - Commitments and Contingencies" of the Notes to the Condensed Consolidated Financial Statements included in "Item 1 - Financial Statements" of this quarterly report on Form 10-Q.</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expect to rely on our credit facility for any long-term funding not provided by operating cash flows. We may also, from time to time, issue and sell equity, debt, or hybrid securities or engage in other capital market transactions.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effecting any such repurchases may be changed, at any time, or from time to time, without prior notice.</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to fund our capital expenditures over at least the next 12 months through cash on hand, cash generated from operations, and available borrowing under our Amended Credit Facility, as necessary.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2024 and 2023, cash provided by operations was $105 million and $(119) million, respectively. The increase in cash provided by operations was primarily related to higher net income, partially offset by changes in working capital.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2024 and 2023, cash used in investing activities was $41 million and $113 million, respectively.</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Capital expenditures for the three months ended March 31, 2024 and 2023, were $41 million and $114 million, respectively. The year-over-year decrease was primarily related to siding conversion expenditures in the prior year. Capital expenditures for the three months ended March 31, 2024 were primarily related to growth and sustaining maintenance projects.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2024, cash used in financing activities was $39 million. During this period we used $13 million to repurchase shares of LP common stock under the 2022 Share Repurchase Program. Additionally, we paid cash dividends of $19 million and used $6 million to repurchase stock from employees in connection with income tax withholding requirements associated with our employee stock-based compensation plans.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2023, cash used in financing activities was $27 million. During this period we paid cash dividends of $17 million and used $10 million to repurchase stock from employees in connection with income tax withholding requirements associated with our employee stock-based compensation plans.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Facility and Letter of Credit Facility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November 2022, LP entered into the Credit Agreement with American AgCredit, PCA, as administrative agent and sole lead arranger, and CoBank, ACB, as letter of credit issuer, relating to the Amended Credit Facility.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6" w:name="page27"/>
    <w:bookmarkEnd w:id="26"/>
    <w:p>
      <w:pPr>
        <w:jc w:val="both"/>
        <w:spacing w:after="0" w:line="287" w:lineRule="auto"/>
        <w:rPr>
          <w:sz w:val="20"/>
          <w:szCs w:val="20"/>
          <w:color w:val="auto"/>
        </w:rPr>
      </w:pPr>
      <w:r>
        <w:rPr>
          <w:rFonts w:ascii="Times New Roman" w:cs="Times New Roman" w:eastAsia="Times New Roman" w:hAnsi="Times New Roman"/>
          <w:sz w:val="14"/>
          <w:szCs w:val="14"/>
          <w:color w:val="auto"/>
        </w:rPr>
        <w:t>Credit Agreement provides for a revolving credit facility in the principal amount of up to $550 million, with a $60 million sub-limit for letters of credit. All loans under the Credit Agreement become due on November 29, 2028. As of March 31, 2024, we had no outstanding borrowings under our Amended Credit Facility.</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Credit Agreement contains various restrictive covenants and customary events of default. The breach of restrictive covenants or the occurrence of any other event of default under the Credit Agreement could result in the acceleration of our obligation to repay the indebtedness outstanding thereunder. The Credit Agreement also contains financial covenants that require us and our consolidated subsidiaries to have, as of the end of each quarter, a capitalization ratio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funded debt less unrestricted cash to total capitalization) of no more than 57.5%. As of March 31, 2024, we were in compliance with all financial covenants under the Credit Agreement.</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March 2020, LP entered into the Letter of Credit Facility, which provides for the funding of letters of credit up to an aggregate outstanding amount of $20 million, which may be secured by certain cash collateral of LP. The Letter of Credit Facility provides for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Credit Agreement, including the capitalization ratio covenant. As of March 31, 2024, we were in compliance with all covenants under the Letter of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Liquidity Matters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Off-Balance Sheet Arrangements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31, 2024, we had standby letters of credit of $14 million outstanding related to collateral for environmental impact on owned properties, a deposit for a forestry license, and insurance collateral, including workers' compensation.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Potential Impairments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review the carrying values of our long-lived assets for potential impairments and believe we have adequate support for such carrying values as of March 31, 2024.</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March 31, 2024, there were no indications of impairment.</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7" w:name="page28"/>
    <w:bookmarkEnd w:id="27"/>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287" w:lineRule="exact"/>
        <w:rPr>
          <w:sz w:val="20"/>
          <w:szCs w:val="20"/>
          <w:color w:val="auto"/>
        </w:rPr>
      </w:pPr>
    </w:p>
    <w:p>
      <w:pPr>
        <w:ind w:right="1540"/>
        <w:spacing w:after="0" w:line="379" w:lineRule="auto"/>
        <w:rPr>
          <w:sz w:val="20"/>
          <w:szCs w:val="20"/>
          <w:color w:val="auto"/>
        </w:rPr>
      </w:pPr>
      <w:r>
        <w:rPr>
          <w:rFonts w:ascii="Times New Roman" w:cs="Times New Roman" w:eastAsia="Times New Roman" w:hAnsi="Times New Roman"/>
          <w:sz w:val="14"/>
          <w:szCs w:val="14"/>
          <w:color w:val="auto"/>
        </w:rPr>
        <w:t xml:space="preserve">We are exposed to fluctuations in foreign currency exchange rates, commodity prices and interest rates which could impact our results of operations and financial condition. </w:t>
      </w:r>
      <w:r>
        <w:rPr>
          <w:rFonts w:ascii="Times New Roman" w:cs="Times New Roman" w:eastAsia="Times New Roman" w:hAnsi="Times New Roman"/>
          <w:sz w:val="14"/>
          <w:szCs w:val="14"/>
          <w:i w:val="1"/>
          <w:iCs w:val="1"/>
          <w:color w:val="auto"/>
        </w:rPr>
        <w:t>Foreign Currency Risk</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Each of our international operations has transactional foreign currency exposures related to buying and selling in currencies other than the local currencies in which it operates. Exposures are primarily related to the U.S. dollar relative to the Canadian dollar, the Brazilian real, the Chilean peso, and the Argentine Peso. We also have translation exposure resulting from translating the financial statements of foreign subsidiaries into U.S. dollars.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provided we may do so in the future.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Commodity Price Risk</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for OSB previously disclosed under the caption “Item 7A. Quantitative and Qualitative Disclosures about Market Risk” in our 2023 Annual Report on Form 10-K. We historically have not entered into material commodity futures and swaps, although we may do so in the future.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exposed to market risk associated with changes in interest rates on our variable rate long-term debt. As of March 31, 2024, there were no outstanding borrowings under our Amended Credit Facility. We do not currently have any derivative or hedging arrangements to reduce the impact of changes in interest rates, or other known exposures, to changes in interest rates. There have been no material changes to the interest rate sensitivity analysis previously disclosed under the caption “Item 7A. Quantitative and Qualitative Disclosures about Market Risk” in our 2023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28" w:name="page29"/>
    <w:bookmarkEnd w:id="28"/>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Evaluation of Disclosure Controls and Procedures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March 31, 2024,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March 31, 2024, LP’s disclosure controls and procedures were effective.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Changes in Internal Control Over Financial Reporting</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that occurred during our most recently completed fiscal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description of certain legal and environmental matters involving LP set forth in "Item 1 - Financial Statements" of this quarterly report on Form 10-Q under "Note 9 - Commitments and Contingencies" of the Notes to the Condensed Consolidated Financial Statements contained herein is incorporated herein by reference.</w:t>
      </w:r>
    </w:p>
    <w:p>
      <w:pPr>
        <w:spacing w:after="0" w:line="12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the other information set forth in this quarterly report on Form 10-Q, an investor should carefully consider the factors discussed in Part I, “Item 1A. Risk Factors” of the Company’s 2023 Annual Report on Form 10-K. There have been no material changes to the risk factors previously disclosed under the caption "Item 1A. Risk Factors" in Part I of our 2023 Annual Report on Form 10-K.</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risks described in our 2023 Annual Report on Form 10-K are not the only risks facing the Company. Additional risks and uncertainties not currently known to us or that we currently deem immaterial may also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0" w:name="page31"/>
    <w:bookmarkEnd w:id="30"/>
    <w:p>
      <w:pPr>
        <w:spacing w:after="0" w:line="6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UNREGISTERED SALES OF EQUITY SECURITIES AND USE OF PROCEEDS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3, 2022, LP's Board of Directors authorized the 2022 Share Repurchase Program under which LP was authorized to repurchase shares of its common stock totaling up to $600 million. LP may initiate, discontinue, or resume purchases of its common stock under the 2022 Share Repurchase Program in the open market, in block, and in privately negotiated transactions, including under Rule 10b5-1 plans, at times and in such amounts as management deems appropriate without prior notice, subject to market and business conditions, regulatory requirements, and other factors.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amount of our common stock was repurchased under this authorization during the quarter ended March 31,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180" w:type="dxa"/>
            <w:vAlign w:val="bottom"/>
          </w:tcPr>
          <w:p>
            <w:pPr>
              <w:spacing w:after="0"/>
              <w:rPr>
                <w:sz w:val="12"/>
                <w:szCs w:val="12"/>
                <w:color w:val="auto"/>
              </w:rPr>
            </w:pPr>
          </w:p>
        </w:tc>
        <w:tc>
          <w:tcPr>
            <w:tcW w:w="170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6"/>
              </w:rPr>
              <w:t>Approximate Dollar Value of</w:t>
            </w:r>
          </w:p>
        </w:tc>
        <w:tc>
          <w:tcPr>
            <w:tcW w:w="0" w:type="dxa"/>
            <w:vAlign w:val="bottom"/>
          </w:tcPr>
          <w:p>
            <w:pPr>
              <w:spacing w:after="0"/>
              <w:rPr>
                <w:sz w:val="1"/>
                <w:szCs w:val="1"/>
                <w:color w:val="auto"/>
              </w:rPr>
            </w:pPr>
          </w:p>
        </w:tc>
      </w:tr>
      <w:tr>
        <w:trPr>
          <w:trHeight w:val="127"/>
        </w:trPr>
        <w:tc>
          <w:tcPr>
            <w:tcW w:w="3820" w:type="dxa"/>
            <w:vAlign w:val="bottom"/>
          </w:tcPr>
          <w:p>
            <w:pPr>
              <w:spacing w:after="0"/>
              <w:rPr>
                <w:sz w:val="11"/>
                <w:szCs w:val="11"/>
                <w:color w:val="auto"/>
              </w:rPr>
            </w:pPr>
          </w:p>
        </w:tc>
        <w:tc>
          <w:tcPr>
            <w:tcW w:w="180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Purchased as Part of Publicly</w:t>
            </w:r>
          </w:p>
        </w:tc>
        <w:tc>
          <w:tcPr>
            <w:tcW w:w="188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Shares Available for Repurchase</w:t>
            </w:r>
          </w:p>
        </w:tc>
        <w:tc>
          <w:tcPr>
            <w:tcW w:w="0" w:type="dxa"/>
            <w:vAlign w:val="bottom"/>
          </w:tcPr>
          <w:p>
            <w:pPr>
              <w:spacing w:after="0"/>
              <w:rPr>
                <w:sz w:val="1"/>
                <w:szCs w:val="1"/>
                <w:color w:val="auto"/>
              </w:rPr>
            </w:pPr>
          </w:p>
        </w:tc>
      </w:tr>
      <w:tr>
        <w:trPr>
          <w:trHeight w:val="127"/>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5"/>
              </w:rPr>
              <w:t>Average Price Paid Per Share</w:t>
            </w:r>
          </w:p>
        </w:tc>
        <w:tc>
          <w:tcPr>
            <w:tcW w:w="18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Announced Purchase Plans or</w:t>
            </w:r>
          </w:p>
        </w:tc>
        <w:tc>
          <w:tcPr>
            <w:tcW w:w="180" w:type="dxa"/>
            <w:vAlign w:val="bottom"/>
          </w:tcPr>
          <w:p>
            <w:pPr>
              <w:spacing w:after="0"/>
              <w:rPr>
                <w:sz w:val="11"/>
                <w:szCs w:val="11"/>
                <w:color w:val="auto"/>
              </w:rPr>
            </w:pPr>
          </w:p>
        </w:tc>
        <w:tc>
          <w:tcPr>
            <w:tcW w:w="1700" w:type="dxa"/>
            <w:vAlign w:val="bottom"/>
          </w:tcPr>
          <w:p>
            <w:pPr>
              <w:jc w:val="center"/>
              <w:ind w:right="36"/>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Under the Plans or Programs</w:t>
            </w:r>
          </w:p>
        </w:tc>
        <w:tc>
          <w:tcPr>
            <w:tcW w:w="0" w:type="dxa"/>
            <w:vAlign w:val="bottom"/>
          </w:tcPr>
          <w:p>
            <w:pPr>
              <w:spacing w:after="0"/>
              <w:rPr>
                <w:sz w:val="1"/>
                <w:szCs w:val="1"/>
                <w:color w:val="auto"/>
              </w:rPr>
            </w:pPr>
          </w:p>
        </w:tc>
      </w:tr>
      <w:tr>
        <w:trPr>
          <w:trHeight w:val="170"/>
        </w:trPr>
        <w:tc>
          <w:tcPr>
            <w:tcW w:w="3820" w:type="dxa"/>
            <w:vAlign w:val="bottom"/>
            <w:vMerge w:val="continue"/>
          </w:tcPr>
          <w:p>
            <w:pPr>
              <w:spacing w:after="0"/>
              <w:rPr>
                <w:sz w:val="14"/>
                <w:szCs w:val="14"/>
                <w:color w:val="auto"/>
              </w:rPr>
            </w:pPr>
          </w:p>
        </w:tc>
        <w:tc>
          <w:tcPr>
            <w:tcW w:w="180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18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800" w:type="dxa"/>
            <w:vAlign w:val="bottom"/>
          </w:tcPr>
          <w:p>
            <w:pPr>
              <w:jc w:val="center"/>
              <w:spacing w:after="0" w:line="170" w:lineRule="exact"/>
              <w:rPr>
                <w:sz w:val="20"/>
                <w:szCs w:val="20"/>
                <w:color w:val="auto"/>
              </w:rPr>
            </w:pPr>
            <w:r>
              <w:rPr>
                <w:rFonts w:ascii="Times New Roman" w:cs="Times New Roman" w:eastAsia="Times New Roman" w:hAnsi="Times New Roman"/>
                <w:sz w:val="13"/>
                <w:szCs w:val="13"/>
                <w:b w:val="1"/>
                <w:bCs w:val="1"/>
                <w:color w:val="auto"/>
                <w:w w:val="96"/>
              </w:rPr>
              <w:t>Programs</w:t>
            </w:r>
            <w:r>
              <w:rPr>
                <w:rFonts w:ascii="Times New Roman" w:cs="Times New Roman" w:eastAsia="Times New Roman" w:hAnsi="Times New Roman"/>
                <w:sz w:val="16"/>
                <w:szCs w:val="16"/>
                <w:b w:val="1"/>
                <w:bCs w:val="1"/>
                <w:color w:val="auto"/>
                <w:w w:val="96"/>
                <w:vertAlign w:val="superscript"/>
              </w:rPr>
              <w:t>1</w:t>
            </w:r>
          </w:p>
        </w:tc>
        <w:tc>
          <w:tcPr>
            <w:tcW w:w="180" w:type="dxa"/>
            <w:vAlign w:val="bottom"/>
          </w:tcPr>
          <w:p>
            <w:pPr>
              <w:spacing w:after="0"/>
              <w:rPr>
                <w:sz w:val="14"/>
                <w:szCs w:val="14"/>
                <w:color w:val="auto"/>
              </w:rPr>
            </w:pPr>
          </w:p>
        </w:tc>
        <w:tc>
          <w:tcPr>
            <w:tcW w:w="170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i w:val="1"/>
                <w:iCs w:val="1"/>
                <w:color w:val="auto"/>
                <w:w w:val="96"/>
              </w:rPr>
              <w:t>(in millions)</w:t>
            </w: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1, 2024 - January 31, 2024</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February 1, 2024 - February 29, 2024</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March 1, 2024 - March 31, 2024</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166,783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79.83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166,783</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r>
        <w:trPr>
          <w:trHeight w:val="163"/>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for First Quarter 2024</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166,783</w:t>
            </w: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166,783</w:t>
            </w: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firstLine="5"/>
        <w:spacing w:after="0" w:line="220" w:lineRule="auto"/>
        <w:tabs>
          <w:tab w:leader="none" w:pos="55"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On May 3, 2022, LP's Board of Directors authorized the 2022 Share Repurchase Program under which LP may repurchase shares of its common stock totaling up to $600 million. As of March 31, 2024, LP had used $413 million under the 2022 Share Repurchase Program.</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 of our directors or officers adopted or terminated a Rule 10b5-1 trading arrangement or a non-Rule 10b5-1 trading arrangement during the quarter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6"/>
        </w:trPr>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101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EXHIBITS</w:t>
            </w:r>
          </w:p>
        </w:tc>
      </w:tr>
      <w:tr>
        <w:trPr>
          <w:trHeight w:val="244"/>
        </w:trPr>
        <w:tc>
          <w:tcPr>
            <w:tcW w:w="68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0000FF"/>
                <w:w w:val="97"/>
              </w:rPr>
              <w:t>10.</w:t>
            </w:r>
            <w:r>
              <w:rPr>
                <w:rFonts w:ascii="Times New Roman" w:cs="Times New Roman" w:eastAsia="Times New Roman" w:hAnsi="Times New Roman"/>
                <w:sz w:val="14"/>
                <w:szCs w:val="14"/>
                <w:u w:val="single" w:color="auto"/>
                <w:color w:val="0000FF"/>
                <w:w w:val="97"/>
              </w:rPr>
              <w:t>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2004 Executive Deferred Compensation Plan, Amended and Restated Effective January 1, 2024.*</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03"/>
        </w:trPr>
        <w:tc>
          <w:tcPr>
            <w:tcW w:w="68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0000FF"/>
                <w:w w:val="97"/>
              </w:rPr>
              <w:t>10.</w:t>
            </w:r>
            <w:r>
              <w:rPr>
                <w:rFonts w:ascii="Times New Roman" w:cs="Times New Roman" w:eastAsia="Times New Roman" w:hAnsi="Times New Roman"/>
                <w:sz w:val="14"/>
                <w:szCs w:val="14"/>
                <w:u w:val="single" w:color="auto"/>
                <w:color w:val="0000FF"/>
                <w:w w:val="97"/>
              </w:rPr>
              <w:t>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Form of Restricted Stock Unit Award Agreement under the 2022 Omnibus Stock Award Plan.*</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03"/>
        </w:trPr>
        <w:tc>
          <w:tcPr>
            <w:tcW w:w="68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0000FF"/>
                <w:w w:val="97"/>
              </w:rPr>
              <w:t>10.</w:t>
            </w:r>
            <w:r>
              <w:rPr>
                <w:rFonts w:ascii="Times New Roman" w:cs="Times New Roman" w:eastAsia="Times New Roman" w:hAnsi="Times New Roman"/>
                <w:sz w:val="14"/>
                <w:szCs w:val="14"/>
                <w:u w:val="single" w:color="auto"/>
                <w:color w:val="0000FF"/>
                <w:w w:val="97"/>
              </w:rPr>
              <w:t>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Form of Performance Shares Award Agreement under the 2022 Omnibus Stock Award Plan.*</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03"/>
        </w:trPr>
        <w:tc>
          <w:tcPr>
            <w:tcW w:w="68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0000FF"/>
                <w:w w:val="97"/>
              </w:rPr>
              <w:t>31.</w:t>
            </w:r>
            <w:r>
              <w:rPr>
                <w:rFonts w:ascii="Times New Roman" w:cs="Times New Roman" w:eastAsia="Times New Roman" w:hAnsi="Times New Roman"/>
                <w:sz w:val="14"/>
                <w:szCs w:val="14"/>
                <w:u w:val="single" w:color="auto"/>
                <w:color w:val="0000FF"/>
                <w:w w:val="97"/>
              </w:rPr>
              <w:t>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 xml:space="preserve">Certifications of Chief Executive Officer Pursuant to Rule 13a-14(a) under the Securities Exchange Act of 1934. </w:t>
            </w:r>
            <w:r>
              <w:rPr>
                <w:rFonts w:ascii="Times New Roman" w:cs="Times New Roman" w:eastAsia="Times New Roman" w:hAnsi="Times New Roman"/>
                <w:sz w:val="14"/>
                <w:szCs w:val="14"/>
                <w:color w:val="000000"/>
              </w:rPr>
              <w:t>*</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2560" w:type="dxa"/>
            <w:vAlign w:val="bottom"/>
            <w:tcBorders>
              <w:right w:val="single" w:sz="8" w:color="0000FF"/>
            </w:tcBorders>
            <w:gridSpan w:val="4"/>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03"/>
        </w:trPr>
        <w:tc>
          <w:tcPr>
            <w:tcW w:w="68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0000FF"/>
                <w:w w:val="97"/>
              </w:rPr>
              <w:t>31.</w:t>
            </w:r>
            <w:r>
              <w:rPr>
                <w:rFonts w:ascii="Times New Roman" w:cs="Times New Roman" w:eastAsia="Times New Roman" w:hAnsi="Times New Roman"/>
                <w:sz w:val="14"/>
                <w:szCs w:val="14"/>
                <w:u w:val="single" w:color="auto"/>
                <w:color w:val="0000FF"/>
                <w:w w:val="97"/>
              </w:rPr>
              <w:t>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 xml:space="preserve">Certifications of Chief Financial Officer Pursuant to Rule 13a-14(a) under the Securities Exchange Act of 1934. </w:t>
            </w:r>
            <w:r>
              <w:rPr>
                <w:rFonts w:ascii="Times New Roman" w:cs="Times New Roman" w:eastAsia="Times New Roman" w:hAnsi="Times New Roman"/>
                <w:sz w:val="14"/>
                <w:szCs w:val="14"/>
                <w:color w:val="000000"/>
              </w:rPr>
              <w:t>*</w:t>
            </w:r>
          </w:p>
        </w:tc>
      </w:tr>
      <w:tr>
        <w:trPr>
          <w:trHeight w:val="203"/>
        </w:trPr>
        <w:tc>
          <w:tcPr>
            <w:tcW w:w="480" w:type="dxa"/>
            <w:vAlign w:val="bottom"/>
          </w:tcPr>
          <w:p>
            <w:pPr>
              <w:spacing w:after="0"/>
              <w:rPr>
                <w:sz w:val="17"/>
                <w:szCs w:val="17"/>
                <w:color w:val="auto"/>
              </w:rPr>
            </w:pPr>
          </w:p>
        </w:tc>
        <w:tc>
          <w:tcPr>
            <w:tcW w:w="2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32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 xml:space="preserve">Certifications pursuant to § 906 of the Sarbanes-Oxley Act of 2002. </w:t>
            </w:r>
            <w:r>
              <w:rPr>
                <w:rFonts w:ascii="Times New Roman" w:cs="Times New Roman" w:eastAsia="Times New Roman" w:hAnsi="Times New Roman"/>
                <w:sz w:val="14"/>
                <w:szCs w:val="14"/>
                <w:color w:val="000000"/>
              </w:rPr>
              <w:t>**</w:t>
            </w:r>
          </w:p>
        </w:tc>
        <w:tc>
          <w:tcPr>
            <w:tcW w:w="3540" w:type="dxa"/>
            <w:vAlign w:val="bottom"/>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6100" w:type="dxa"/>
            <w:vAlign w:val="bottom"/>
            <w:gridSpan w:val="5"/>
          </w:tcPr>
          <w:p>
            <w:pPr>
              <w:spacing w:after="0" w:line="20" w:lineRule="exact"/>
              <w:rPr>
                <w:sz w:val="1"/>
                <w:szCs w:val="1"/>
                <w:color w:val="auto"/>
              </w:rPr>
            </w:pPr>
          </w:p>
        </w:tc>
      </w:tr>
      <w:tr>
        <w:trPr>
          <w:trHeight w:val="234"/>
        </w:trPr>
        <w:tc>
          <w:tcPr>
            <w:tcW w:w="92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rPr>
              <w:t>101.INS</w:t>
            </w:r>
          </w:p>
        </w:tc>
        <w:tc>
          <w:tcPr>
            <w:tcW w:w="200" w:type="dxa"/>
            <w:vAlign w:val="bottom"/>
          </w:tcPr>
          <w:p>
            <w:pPr>
              <w:spacing w:after="0"/>
              <w:rPr>
                <w:sz w:val="20"/>
                <w:szCs w:val="20"/>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 XBRL tags are embedded within the Inline XBRL document.*</w:t>
            </w:r>
          </w:p>
        </w:tc>
      </w:tr>
      <w:tr>
        <w:trPr>
          <w:trHeight w:val="223"/>
        </w:trPr>
        <w:tc>
          <w:tcPr>
            <w:tcW w:w="92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rPr>
              <w:t>101.SCH</w:t>
            </w:r>
          </w:p>
        </w:tc>
        <w:tc>
          <w:tcPr>
            <w:tcW w:w="200" w:type="dxa"/>
            <w:vAlign w:val="bottom"/>
          </w:tcPr>
          <w:p>
            <w:pPr>
              <w:spacing w:after="0"/>
              <w:rPr>
                <w:sz w:val="19"/>
                <w:szCs w:val="19"/>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23"/>
        </w:trPr>
        <w:tc>
          <w:tcPr>
            <w:tcW w:w="92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w w:val="98"/>
              </w:rPr>
              <w:t>101.CAL</w:t>
            </w:r>
          </w:p>
        </w:tc>
        <w:tc>
          <w:tcPr>
            <w:tcW w:w="200" w:type="dxa"/>
            <w:vAlign w:val="bottom"/>
          </w:tcPr>
          <w:p>
            <w:pPr>
              <w:spacing w:after="0"/>
              <w:rPr>
                <w:sz w:val="19"/>
                <w:szCs w:val="19"/>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23"/>
        </w:trPr>
        <w:tc>
          <w:tcPr>
            <w:tcW w:w="92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w w:val="98"/>
              </w:rPr>
              <w:t>101.LAB</w:t>
            </w:r>
          </w:p>
        </w:tc>
        <w:tc>
          <w:tcPr>
            <w:tcW w:w="200" w:type="dxa"/>
            <w:vAlign w:val="bottom"/>
          </w:tcPr>
          <w:p>
            <w:pPr>
              <w:spacing w:after="0"/>
              <w:rPr>
                <w:sz w:val="19"/>
                <w:szCs w:val="19"/>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23"/>
        </w:trPr>
        <w:tc>
          <w:tcPr>
            <w:tcW w:w="92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rPr>
              <w:t>101.PRE</w:t>
            </w:r>
          </w:p>
        </w:tc>
        <w:tc>
          <w:tcPr>
            <w:tcW w:w="200" w:type="dxa"/>
            <w:vAlign w:val="bottom"/>
          </w:tcPr>
          <w:p>
            <w:pPr>
              <w:spacing w:after="0"/>
              <w:rPr>
                <w:sz w:val="19"/>
                <w:szCs w:val="19"/>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23"/>
        </w:trPr>
        <w:tc>
          <w:tcPr>
            <w:tcW w:w="92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rPr>
              <w:t>101.DEF</w:t>
            </w:r>
          </w:p>
        </w:tc>
        <w:tc>
          <w:tcPr>
            <w:tcW w:w="200" w:type="dxa"/>
            <w:vAlign w:val="bottom"/>
          </w:tcPr>
          <w:p>
            <w:pPr>
              <w:spacing w:after="0"/>
              <w:rPr>
                <w:sz w:val="19"/>
                <w:szCs w:val="19"/>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23"/>
        </w:trPr>
        <w:tc>
          <w:tcPr>
            <w:tcW w:w="68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auto"/>
                <w:w w:val="95"/>
              </w:rPr>
              <w:t>104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 Inline XBRL document and contained in Exhibit 101)*</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141" w:right="5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ind w:right="160" w:firstLine="35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quarterly report on Form 10-Q to be signed on its behalf by the undersigned thereunto duly authorized.</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7720" w:type="dxa"/>
            <w:vAlign w:val="bottom"/>
            <w:gridSpan w:val="2"/>
          </w:tcPr>
          <w:p>
            <w:pPr>
              <w:ind w:left="1920"/>
              <w:spacing w:after="0"/>
              <w:rPr>
                <w:sz w:val="20"/>
                <w:szCs w:val="20"/>
                <w:color w:val="auto"/>
              </w:rPr>
            </w:pPr>
            <w:r>
              <w:rPr>
                <w:rFonts w:ascii="Times New Roman" w:cs="Times New Roman" w:eastAsia="Times New Roman" w:hAnsi="Times New Roman"/>
                <w:sz w:val="14"/>
                <w:szCs w:val="14"/>
                <w:color w:val="auto"/>
              </w:rPr>
              <w:t>LOUISIANA-PACIFIC CORPORATION</w:t>
            </w:r>
          </w:p>
        </w:tc>
      </w:tr>
      <w:tr>
        <w:trPr>
          <w:trHeight w:val="403"/>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May 8, 2024</w:t>
            </w:r>
          </w:p>
        </w:tc>
        <w:tc>
          <w:tcPr>
            <w:tcW w:w="242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1"/>
                <w:szCs w:val="11"/>
                <w:color w:val="auto"/>
              </w:rPr>
              <w:t>Y</w:t>
            </w:r>
            <w:r>
              <w:rPr>
                <w:rFonts w:ascii="Times New Roman" w:cs="Times New Roman" w:eastAsia="Times New Roman" w:hAnsi="Times New Roman"/>
                <w:sz w:val="14"/>
                <w:szCs w:val="14"/>
                <w:color w:val="auto"/>
              </w:rPr>
              <w:t>:</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 BRADLEY SOUTHERN</w:t>
            </w:r>
          </w:p>
        </w:tc>
      </w:tr>
      <w:tr>
        <w:trPr>
          <w:trHeight w:val="140"/>
        </w:trPr>
        <w:tc>
          <w:tcPr>
            <w:tcW w:w="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 Bradley Southern</w:t>
            </w:r>
          </w:p>
        </w:tc>
      </w:tr>
      <w:tr>
        <w:trPr>
          <w:trHeight w:val="150"/>
        </w:trPr>
        <w:tc>
          <w:tcPr>
            <w:tcW w:w="6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Chief Executive Officer</w:t>
            </w:r>
          </w:p>
        </w:tc>
      </w:tr>
      <w:tr>
        <w:trPr>
          <w:trHeight w:val="42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May 8, 2024</w:t>
            </w:r>
          </w:p>
        </w:tc>
        <w:tc>
          <w:tcPr>
            <w:tcW w:w="242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1"/>
                <w:szCs w:val="11"/>
                <w:color w:val="auto"/>
              </w:rPr>
              <w:t>Y</w:t>
            </w:r>
            <w:r>
              <w:rPr>
                <w:rFonts w:ascii="Times New Roman" w:cs="Times New Roman" w:eastAsia="Times New Roman" w:hAnsi="Times New Roman"/>
                <w:sz w:val="14"/>
                <w:szCs w:val="14"/>
                <w:color w:val="auto"/>
              </w:rPr>
              <w:t>:</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ALAN J.M. HAUGHIE</w:t>
            </w:r>
          </w:p>
        </w:tc>
      </w:tr>
      <w:tr>
        <w:trPr>
          <w:trHeight w:val="140"/>
        </w:trPr>
        <w:tc>
          <w:tcPr>
            <w:tcW w:w="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Alan J.M. Haughie</w:t>
            </w:r>
          </w:p>
        </w:tc>
      </w:tr>
      <w:tr>
        <w:trPr>
          <w:trHeight w:val="150"/>
        </w:trPr>
        <w:tc>
          <w:tcPr>
            <w:tcW w:w="6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Executive Vice President and</w:t>
            </w:r>
          </w:p>
        </w:tc>
      </w:tr>
      <w:tr>
        <w:trPr>
          <w:trHeight w:val="159"/>
        </w:trPr>
        <w:tc>
          <w:tcPr>
            <w:tcW w:w="6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Chief Financial Officer</w:t>
            </w:r>
          </w:p>
        </w:tc>
      </w:tr>
    </w:tbl>
    <w:p>
      <w:pPr>
        <w:sectPr>
          <w:pgSz w:w="11900" w:h="16838" w:orient="portrait"/>
          <w:cols w:equalWidth="0" w:num="1">
            <w:col w:w="11280"/>
          </w:cols>
          <w:pgMar w:left="300" w:top="1141" w:right="319" w:bottom="1440"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 Bradley Southern, certify that:</w:t>
      </w:r>
    </w:p>
    <w:p>
      <w:pPr>
        <w:spacing w:after="0" w:line="136"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Louisiana-Pacific Corporation;</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ind w:left="760" w:hanging="500"/>
        <w:spacing w:after="0" w:line="287" w:lineRule="auto"/>
        <w:tabs>
          <w:tab w:leader="none" w:pos="75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sz w:val="20"/>
          <w:szCs w:val="20"/>
          <w:color w:val="auto"/>
        </w:rPr>
      </w:pPr>
    </w:p>
    <w:p>
      <w:pPr>
        <w:ind w:left="520" w:hanging="260"/>
        <w:spacing w:after="0" w:line="287"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sz w:val="20"/>
          <w:szCs w:val="20"/>
          <w:color w:val="auto"/>
        </w:rPr>
      </w:pPr>
    </w:p>
    <w:p>
      <w:pPr>
        <w:ind w:left="760" w:hanging="500"/>
        <w:spacing w:after="0" w:line="287" w:lineRule="auto"/>
        <w:tabs>
          <w:tab w:leader="none" w:pos="75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760" w:hanging="500"/>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Date: May 8, 2024</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 BRADLEY SOUTHERN</w:t>
            </w:r>
          </w:p>
        </w:tc>
      </w:tr>
      <w:tr>
        <w:trPr>
          <w:trHeight w:val="167"/>
        </w:trPr>
        <w:tc>
          <w:tcPr>
            <w:tcW w:w="566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 BRADLEY SOUTHERN</w:t>
            </w:r>
          </w:p>
        </w:tc>
      </w:tr>
      <w:tr>
        <w:trPr>
          <w:trHeight w:val="184"/>
        </w:trPr>
        <w:tc>
          <w:tcPr>
            <w:tcW w:w="566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1280"/>
          </w:cols>
          <w:pgMar w:left="300" w:top="729" w:right="3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Alan Haughie, certify that:</w:t>
      </w:r>
    </w:p>
    <w:p>
      <w:pPr>
        <w:spacing w:after="0" w:line="136"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Louisiana-Pacific Corporation;</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ind w:left="760" w:hanging="500"/>
        <w:spacing w:after="0" w:line="287" w:lineRule="auto"/>
        <w:tabs>
          <w:tab w:leader="none" w:pos="75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sz w:val="20"/>
          <w:szCs w:val="20"/>
          <w:color w:val="auto"/>
        </w:rPr>
      </w:pPr>
    </w:p>
    <w:p>
      <w:pPr>
        <w:ind w:left="520" w:hanging="260"/>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sz w:val="20"/>
          <w:szCs w:val="20"/>
          <w:color w:val="auto"/>
        </w:rPr>
      </w:pPr>
    </w:p>
    <w:p>
      <w:pPr>
        <w:ind w:left="760" w:hanging="500"/>
        <w:spacing w:after="0" w:line="287" w:lineRule="auto"/>
        <w:tabs>
          <w:tab w:leader="none" w:pos="75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760" w:hanging="500"/>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Date: May 8, 2024</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ALAN J.M. HAUGHIE</w:t>
            </w:r>
          </w:p>
        </w:tc>
      </w:tr>
      <w:tr>
        <w:trPr>
          <w:trHeight w:val="167"/>
        </w:trPr>
        <w:tc>
          <w:tcPr>
            <w:tcW w:w="566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ALAN J.M. HAUGHIE</w:t>
            </w:r>
          </w:p>
        </w:tc>
      </w:tr>
      <w:tr>
        <w:trPr>
          <w:trHeight w:val="184"/>
        </w:trPr>
        <w:tc>
          <w:tcPr>
            <w:tcW w:w="566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80"/>
          </w:cols>
          <w:pgMar w:left="300" w:top="920" w:right="319" w:bottom="1440" w:gutter="0" w:footer="0" w:header="0"/>
        </w:sectPr>
      </w:pPr>
    </w:p>
    <w:bookmarkStart w:id="83" w:name="page84"/>
    <w:bookmarkEnd w:id="83"/>
    <w:p>
      <w:pPr>
        <w:ind w:left="10660"/>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Certifications of Chief Executive Officer and Chief Financial Officer Pursuant to 18 U.S.C. § 1350 as Adopted Pursuant to Section 906 of the Sarbanes-Oxley Act of 2002</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Pursuant to 18 U.S.C. § 1350, as adopted pursuant to Section 906 of the Sarbanes-Oxley Act of 2002, in connection with the filing of the Quarterly Report on Form 10-Q of Louisiana-Pacific Corporation (the “Company”) for quarter ended March 31, 2024, as filed with the Securities and Exchange Commission on the date hereof (the “Report”), each of the undersigned officers of the Company certifies, that, to such officer’s knowledge:</w:t>
      </w:r>
    </w:p>
    <w:p>
      <w:pPr>
        <w:spacing w:after="0" w:line="8" w:lineRule="exact"/>
        <w:rPr>
          <w:sz w:val="20"/>
          <w:szCs w:val="20"/>
          <w:color w:val="auto"/>
        </w:rPr>
      </w:pPr>
    </w:p>
    <w:p>
      <w:pPr>
        <w:ind w:left="760" w:hanging="437"/>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51" w:lineRule="exact"/>
        <w:rPr>
          <w:rFonts w:ascii="Times New Roman" w:cs="Times New Roman" w:eastAsia="Times New Roman" w:hAnsi="Times New Roman"/>
          <w:sz w:val="14"/>
          <w:szCs w:val="14"/>
          <w:color w:val="auto"/>
        </w:rPr>
      </w:pPr>
    </w:p>
    <w:p>
      <w:pPr>
        <w:ind w:left="760" w:hanging="437"/>
        <w:spacing w:after="0" w:line="287" w:lineRule="auto"/>
        <w:tabs>
          <w:tab w:leader="none" w:pos="75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as of the dates and for the periods expressed in the Report.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8, 2024</w:t>
      </w:r>
    </w:p>
    <w:p>
      <w:pPr>
        <w:spacing w:after="0" w:line="11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14605</wp:posOffset>
            </wp:positionV>
            <wp:extent cx="348297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Name: W. BRADLEY SOUTHERN</w:t>
      </w:r>
    </w:p>
    <w:p>
      <w:pPr>
        <w:ind w:left="582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32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14605</wp:posOffset>
            </wp:positionV>
            <wp:extent cx="348297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1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Name: Alan J.M. Haughie</w:t>
      </w:r>
    </w:p>
    <w:p>
      <w:pPr>
        <w:spacing w:after="0" w:line="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19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bullet"/>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5"/>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5"/>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2024-05-08T12:40:57Z</dcterms:created>
  <dcterms:modified xsi:type="dcterms:W3CDTF">2024-05-08T12:40:57Z</dcterms:modified>
</cp:coreProperties>
</file>