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20"/>
        <w:spacing w:after="0"/>
        <w:rPr>
          <w:sz w:val="20"/>
          <w:szCs w:val="20"/>
          <w:color w:val="auto"/>
        </w:rPr>
      </w:pPr>
      <w:r>
        <w:rPr>
          <w:rFonts w:ascii="Arial" w:cs="Arial" w:eastAsia="Arial" w:hAnsi="Arial"/>
          <w:sz w:val="70"/>
          <w:szCs w:val="70"/>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2025 ANNUAL REPORT</w:t>
      </w:r>
    </w:p>
    <w:p>
      <w:pPr>
        <w:sectPr>
          <w:pgSz w:w="11880" w:h="15480" w:orient="portrait"/>
          <w:cols w:equalWidth="0" w:num="1">
            <w:col w:w="9640"/>
          </w:cols>
          <w:pgMar w:left="1440" w:top="968" w:right="800" w:bottom="1440"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 w:name="page4"/>
    <w:bookmarkEnd w:id="3"/>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1897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1897380"/>
                    </a:xfrm>
                    <a:prstGeom prst="rect">
                      <a:avLst/>
                    </a:prstGeom>
                    <a:noFill/>
                  </pic:spPr>
                </pic:pic>
              </a:graphicData>
            </a:graphic>
          </wp:anchor>
        </w:drawing>
      </w:r>
    </w:p>
    <w:p>
      <w:pPr>
        <w:spacing w:after="0"/>
        <w:rPr>
          <w:sz w:val="20"/>
          <w:szCs w:val="20"/>
          <w:color w:val="auto"/>
        </w:rPr>
      </w:pPr>
      <w:r>
        <w:rPr>
          <w:rFonts w:ascii="Arial" w:cs="Arial" w:eastAsia="Arial" w:hAnsi="Arial"/>
          <w:sz w:val="54"/>
          <w:szCs w:val="54"/>
          <w:b w:val="1"/>
          <w:bCs w:val="1"/>
          <w:color w:val="FFFFFF"/>
        </w:rPr>
        <w:t>TO OUR STOCKHOLDERS</w:t>
      </w:r>
    </w:p>
    <w:p>
      <w:pPr>
        <w:sectPr>
          <w:pgSz w:w="11880" w:h="15480" w:orient="portrait"/>
          <w:cols w:equalWidth="0" w:num="1">
            <w:col w:w="10420"/>
          </w:cols>
          <w:pgMar w:left="720" w:top="1440" w:right="7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59" w:lineRule="auto"/>
        <w:rPr>
          <w:sz w:val="20"/>
          <w:szCs w:val="20"/>
          <w:color w:val="auto"/>
        </w:rPr>
      </w:pPr>
      <w:r>
        <w:rPr>
          <w:rFonts w:ascii="Arial" w:cs="Arial" w:eastAsia="Arial" w:hAnsi="Arial"/>
          <w:sz w:val="21"/>
          <w:szCs w:val="21"/>
          <w:color w:val="404040"/>
        </w:rPr>
        <w:t>In 2025, Louisiana-Pacific Corporation (LP) delivered solid performance despite a softening housing market, tariff pressures, and an uncertain trade policy landscape. Our Siding business achieved record results, increasing net sales by 8% year over year and setting new highs in volume, average selling price, revenue, and Adjusted EBITDA. At the same time, our Oriented Strand Board (OSB) business generated positive Adjusted EBITDA even in an exceptionally low commodity price environment, operating with the safety, agility, and discipline that define LP.</w:t>
      </w:r>
    </w:p>
    <w:p>
      <w:pPr>
        <w:spacing w:after="0" w:line="223" w:lineRule="exact"/>
        <w:rPr>
          <w:sz w:val="20"/>
          <w:szCs w:val="20"/>
          <w:color w:val="auto"/>
        </w:rPr>
      </w:pPr>
    </w:p>
    <w:p>
      <w:pPr>
        <w:spacing w:after="0" w:line="264" w:lineRule="auto"/>
        <w:rPr>
          <w:sz w:val="20"/>
          <w:szCs w:val="20"/>
          <w:color w:val="auto"/>
        </w:rPr>
      </w:pPr>
      <w:r>
        <w:rPr>
          <w:rFonts w:ascii="Arial" w:cs="Arial" w:eastAsia="Arial" w:hAnsi="Arial"/>
          <w:sz w:val="21"/>
          <w:szCs w:val="21"/>
          <w:color w:val="404040"/>
        </w:rPr>
        <w:t>As a result, LP delivered $2.7 billion in net sales, $146 million in net income, $436 million in Adjusted EBITDA*, $2.08 in net income per diluted share, and $2.65 in Adjusted Diluted Earnings Per Share*.</w:t>
      </w:r>
    </w:p>
    <w:p>
      <w:pPr>
        <w:spacing w:after="0" w:line="216" w:lineRule="exact"/>
        <w:rPr>
          <w:sz w:val="20"/>
          <w:szCs w:val="20"/>
          <w:color w:val="auto"/>
        </w:rPr>
      </w:pPr>
    </w:p>
    <w:p>
      <w:pPr>
        <w:ind w:right="40"/>
        <w:spacing w:after="0" w:line="259" w:lineRule="auto"/>
        <w:rPr>
          <w:sz w:val="20"/>
          <w:szCs w:val="20"/>
          <w:color w:val="auto"/>
        </w:rPr>
      </w:pPr>
      <w:r>
        <w:rPr>
          <w:rFonts w:ascii="Arial" w:cs="Arial" w:eastAsia="Arial" w:hAnsi="Arial"/>
          <w:sz w:val="21"/>
          <w:szCs w:val="21"/>
          <w:color w:val="404040"/>
        </w:rPr>
        <w:t>LP’s Siding business delivered another year of strong growth, increasing net sales by 8% compared to the prior year, as both volumes and average selling price rose 4%. This performance pushed Siding to a record $1.7 billion in net sales in 2025. Notably, sales volumes exceeded the prior high set in 2022, even after single-family housing starts had declined by approximately 6% since then, underscoring the benefits of continued market share gains and sustained product innovation. LP</w:t>
      </w:r>
      <w:r>
        <w:rPr>
          <w:rFonts w:ascii="Arial" w:cs="Arial" w:eastAsia="Arial" w:hAnsi="Arial"/>
          <w:sz w:val="12"/>
          <w:szCs w:val="12"/>
          <w:color w:val="404040"/>
        </w:rPr>
        <w:t>®</w:t>
      </w:r>
      <w:r>
        <w:rPr>
          <w:rFonts w:ascii="Arial" w:cs="Arial" w:eastAsia="Arial" w:hAnsi="Arial"/>
          <w:sz w:val="21"/>
          <w:szCs w:val="21"/>
          <w:color w:val="404040"/>
        </w:rPr>
        <w:t xml:space="preserve"> SmartSide</w:t>
      </w:r>
      <w:r>
        <w:rPr>
          <w:rFonts w:ascii="Arial" w:cs="Arial" w:eastAsia="Arial" w:hAnsi="Arial"/>
          <w:sz w:val="12"/>
          <w:szCs w:val="12"/>
          <w:color w:val="404040"/>
        </w:rPr>
        <w:t>®</w:t>
      </w:r>
      <w:r>
        <w:rPr>
          <w:rFonts w:ascii="Arial" w:cs="Arial" w:eastAsia="Arial" w:hAnsi="Arial"/>
          <w:sz w:val="21"/>
          <w:szCs w:val="21"/>
          <w:color w:val="404040"/>
        </w:rPr>
        <w:t xml:space="preserve"> ExpertFinish</w:t>
      </w:r>
      <w:r>
        <w:rPr>
          <w:rFonts w:ascii="Arial" w:cs="Arial" w:eastAsia="Arial" w:hAnsi="Arial"/>
          <w:sz w:val="12"/>
          <w:szCs w:val="12"/>
          <w:color w:val="404040"/>
        </w:rPr>
        <w:t>®</w:t>
      </w:r>
      <w:r>
        <w:rPr>
          <w:rFonts w:ascii="Arial" w:cs="Arial" w:eastAsia="Arial" w:hAnsi="Arial"/>
          <w:sz w:val="21"/>
          <w:szCs w:val="21"/>
          <w:color w:val="404040"/>
        </w:rPr>
        <w:t xml:space="preserve"> Trim &amp; Siding, our premier line of prefinished siding, remained a powerful contributor to this growth. The introduction of the two-tone Naturals Collection</w:t>
      </w:r>
      <w:r>
        <w:rPr>
          <w:rFonts w:ascii="Arial" w:cs="Arial" w:eastAsia="Arial" w:hAnsi="Arial"/>
          <w:sz w:val="12"/>
          <w:szCs w:val="12"/>
          <w:color w:val="404040"/>
        </w:rPr>
        <w:t>™</w:t>
      </w:r>
      <w:r>
        <w:rPr>
          <w:rFonts w:ascii="Arial" w:cs="Arial" w:eastAsia="Arial" w:hAnsi="Arial"/>
          <w:sz w:val="21"/>
          <w:szCs w:val="21"/>
          <w:color w:val="404040"/>
        </w:rPr>
        <w:t xml:space="preserve"> palette—designed to capture the look of stained wood—helped expand ExpertFinish</w:t>
      </w:r>
      <w:r>
        <w:rPr>
          <w:rFonts w:ascii="Arial" w:cs="Arial" w:eastAsia="Arial" w:hAnsi="Arial"/>
          <w:sz w:val="12"/>
          <w:szCs w:val="12"/>
          <w:color w:val="404040"/>
        </w:rPr>
        <w:t>®</w:t>
      </w:r>
      <w:r>
        <w:rPr>
          <w:rFonts w:ascii="Arial" w:cs="Arial" w:eastAsia="Arial" w:hAnsi="Arial"/>
          <w:sz w:val="21"/>
          <w:szCs w:val="21"/>
          <w:color w:val="404040"/>
        </w:rPr>
        <w:t xml:space="preserve"> products to 10% of Siding volume and 16% of Siding net sales. As a result, in 2025, Siding Adjusted EBITDA increased by $54 million to $444 million, and Siding Adjusted EBITDA Margin** improved to 26%.</w:t>
      </w:r>
    </w:p>
    <w:p>
      <w:pPr>
        <w:spacing w:after="0" w:line="200" w:lineRule="exact"/>
        <w:rPr>
          <w:sz w:val="20"/>
          <w:szCs w:val="20"/>
          <w:color w:val="auto"/>
        </w:rPr>
      </w:pPr>
    </w:p>
    <w:p>
      <w:pPr>
        <w:spacing w:after="0" w:line="282" w:lineRule="exact"/>
        <w:rPr>
          <w:sz w:val="20"/>
          <w:szCs w:val="20"/>
          <w:color w:val="auto"/>
        </w:rPr>
      </w:pPr>
    </w:p>
    <w:p>
      <w:pPr>
        <w:spacing w:after="0" w:line="259" w:lineRule="auto"/>
        <w:rPr>
          <w:sz w:val="20"/>
          <w:szCs w:val="20"/>
          <w:color w:val="auto"/>
        </w:rPr>
      </w:pPr>
      <w:r>
        <w:rPr>
          <w:rFonts w:ascii="Arial" w:cs="Arial" w:eastAsia="Arial" w:hAnsi="Arial"/>
          <w:sz w:val="21"/>
          <w:szCs w:val="21"/>
          <w:color w:val="404040"/>
        </w:rPr>
        <w:t>In 2025, commodity OSB prices were sharply lower than the prior year, creating a particularly challenging backdrop for the OSB business. LP’s OSB team navigated this environment by focusing on operational excellence, prioritizing safety, exercising disciplined capacity management, and carefully managing controllable costs. This approach allowed the OSB business to generate positive Adjusted EBITDA despite the extraordinary price pressure. OSB net sales declined to $832 million in 2025, as softer demand reduced both price and volume.</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21"/>
          <w:szCs w:val="21"/>
          <w:color w:val="404040"/>
        </w:rPr>
        <w:t>LP consistently executed our capital allocation strategy in 2025, balancing investments in growth and maintenance while returning $139 million to stockholders through dividends and share repurchases. To support rising demand for ExpertFinish</w:t>
      </w:r>
      <w:r>
        <w:rPr>
          <w:rFonts w:ascii="Arial" w:cs="Arial" w:eastAsia="Arial" w:hAnsi="Arial"/>
          <w:sz w:val="12"/>
          <w:szCs w:val="12"/>
          <w:color w:val="404040"/>
        </w:rPr>
        <w:t>®</w:t>
      </w:r>
      <w:r>
        <w:rPr>
          <w:rFonts w:ascii="Arial" w:cs="Arial" w:eastAsia="Arial" w:hAnsi="Arial"/>
          <w:sz w:val="21"/>
          <w:szCs w:val="21"/>
          <w:color w:val="404040"/>
        </w:rPr>
        <w:t xml:space="preserve"> products, we invested in additional capacity, with increased production at our Green Bay, Wisconsin facility expected to come online in the first quarter of 2026. LP closed the year with more than $1 billion in available liquidity, giving us a robust balance sheet well positioned to fund future growth and continue delivering value to stockholders.</w:t>
      </w:r>
    </w:p>
    <w:p>
      <w:pPr>
        <w:spacing w:after="0" w:line="223" w:lineRule="exact"/>
        <w:rPr>
          <w:sz w:val="20"/>
          <w:szCs w:val="20"/>
          <w:color w:val="auto"/>
        </w:rPr>
      </w:pPr>
    </w:p>
    <w:p>
      <w:pPr>
        <w:ind w:right="240"/>
        <w:spacing w:after="0" w:line="289" w:lineRule="auto"/>
        <w:rPr>
          <w:sz w:val="20"/>
          <w:szCs w:val="20"/>
          <w:color w:val="auto"/>
        </w:rPr>
      </w:pPr>
      <w:r>
        <w:rPr>
          <w:rFonts w:ascii="Arial" w:cs="Arial" w:eastAsia="Arial" w:hAnsi="Arial"/>
          <w:sz w:val="20"/>
          <w:szCs w:val="20"/>
          <w:color w:val="404040"/>
        </w:rPr>
        <w:t>In 2025, LP was honored with the Safest Company Award from APA–The Engineered Wood Association—our 13th recognition in the award’s 17-year history. This achievement reflects the way our team members take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350" w:lineRule="auto"/>
        <w:rPr>
          <w:sz w:val="20"/>
          <w:szCs w:val="20"/>
          <w:color w:val="auto"/>
        </w:rPr>
      </w:pPr>
      <w:r>
        <w:rPr>
          <w:rFonts w:ascii="Arial" w:cs="Arial" w:eastAsia="Arial" w:hAnsi="Arial"/>
          <w:sz w:val="12"/>
          <w:szCs w:val="12"/>
          <w:i w:val="1"/>
          <w:iCs w:val="1"/>
          <w:color w:val="404040"/>
        </w:rPr>
        <w:t>*This is a non-GAAP financial measure. See “Management’s Discussion and Analysis of Financial Condition and Results of Operations—Non-GAAP Financial Measures” in our Annual Report on Form 10-K for the year ended December 31, 2025, filed with the Securities and Exchange Commission on February 17, 2026 (“2025 Form 10-K”), for a reconciliation of this non-GAAP measure to the closest GAAP measure.</w:t>
      </w:r>
    </w:p>
    <w:p>
      <w:pPr>
        <w:sectPr>
          <w:pgSz w:w="11880" w:h="15480" w:orient="portrait"/>
          <w:cols w:equalWidth="0" w:num="1">
            <w:col w:w="10420"/>
          </w:cols>
          <w:pgMar w:left="720" w:top="1440" w:right="740" w:bottom="39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i w:val="1"/>
          <w:iCs w:val="1"/>
          <w:color w:val="404040"/>
        </w:rPr>
        <w:t>**This is a non-GAAP financial measure and is calculated as Siding Adjusted EBITDA divided by net sales for the Siding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7082790</wp:posOffset>
            </wp:positionH>
            <wp:positionV relativeFrom="paragraph">
              <wp:posOffset>601980</wp:posOffset>
            </wp:positionV>
            <wp:extent cx="4763" cy="4763"/>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601980</wp:posOffset>
            </wp:positionV>
            <wp:extent cx="4763" cy="4763"/>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ectPr>
          <w:pgSz w:w="11880" w:h="15480" w:orient="portrait"/>
          <w:cols w:equalWidth="0" w:num="1">
            <w:col w:w="10420"/>
          </w:cols>
          <w:pgMar w:left="720" w:top="1440" w:right="740" w:bottom="39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3384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0" cy="338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120"/>
        <w:spacing w:after="0" w:line="261" w:lineRule="auto"/>
        <w:rPr>
          <w:sz w:val="20"/>
          <w:szCs w:val="20"/>
          <w:color w:val="auto"/>
        </w:rPr>
      </w:pPr>
      <w:r>
        <w:rPr>
          <w:rFonts w:ascii="Arial" w:cs="Arial" w:eastAsia="Arial" w:hAnsi="Arial"/>
          <w:sz w:val="21"/>
          <w:szCs w:val="21"/>
          <w:color w:val="404040"/>
        </w:rPr>
        <w:t>ownership of safety every day through hands-on training, peer-led initiatives, and the confidence to speak up when something is not right. Their commitment protects lives, strengthens our operations, and ensures that every team member goes home safely.</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21"/>
          <w:szCs w:val="21"/>
          <w:color w:val="404040"/>
        </w:rPr>
        <w:t>Lastly, 2025 marked an important leadership transition for LP. After serving as CEO since 2017 and Chairperson of the Board since 2020, Brad Southern retired in February 2026. We are grateful for his 26 years of leadership and his lasting impact on LP, our team members, and our stockholders. I am honored to succeed him as CEO and to continue building on the strong foundation he established. As a 21-year LP veteran, including my time leading the OSB and Siding businesses prior to their integration, I have been fortunate to work alongside our talented teams to position LP for long-term performance. In 2025, we unified our Siding and OSB business units under a single operations and commercial structure to accelerate growth and better capture synergies across the company. With this alignment now in place, I look forward to working with our outstanding team to shape the next phase of our growth.</w:t>
      </w:r>
    </w:p>
    <w:p>
      <w:pPr>
        <w:spacing w:after="0" w:line="221" w:lineRule="exact"/>
        <w:rPr>
          <w:sz w:val="20"/>
          <w:szCs w:val="20"/>
          <w:color w:val="auto"/>
        </w:rPr>
      </w:pPr>
    </w:p>
    <w:p>
      <w:pPr>
        <w:spacing w:after="0" w:line="271" w:lineRule="auto"/>
        <w:rPr>
          <w:sz w:val="20"/>
          <w:szCs w:val="20"/>
          <w:color w:val="auto"/>
        </w:rPr>
      </w:pPr>
      <w:r>
        <w:rPr>
          <w:rFonts w:ascii="Arial" w:cs="Arial" w:eastAsia="Arial" w:hAnsi="Arial"/>
          <w:sz w:val="20"/>
          <w:szCs w:val="20"/>
          <w:color w:val="404040"/>
        </w:rPr>
        <w:t>Over more than two decades at LP, I have seen this company evolve in remarkable ways, and I have never been more confident in where we are headed. Our people, our culture, and our strategy are powerful competitive</w:t>
      </w:r>
    </w:p>
    <w:p>
      <w:pPr>
        <w:spacing w:after="0" w:line="1" w:lineRule="exact"/>
        <w:rPr>
          <w:sz w:val="20"/>
          <w:szCs w:val="20"/>
          <w:color w:val="auto"/>
        </w:rPr>
      </w:pPr>
    </w:p>
    <w:p>
      <w:pPr>
        <w:ind w:left="3020"/>
        <w:spacing w:after="0" w:line="259" w:lineRule="auto"/>
        <w:rPr>
          <w:sz w:val="20"/>
          <w:szCs w:val="20"/>
          <w:color w:val="auto"/>
        </w:rPr>
      </w:pPr>
      <w:r>
        <w:rPr>
          <w:rFonts w:ascii="Arial" w:cs="Arial" w:eastAsia="Arial" w:hAnsi="Arial"/>
          <w:sz w:val="21"/>
          <w:szCs w:val="21"/>
          <w:color w:val="404040"/>
        </w:rPr>
        <w:t>advantages. Looking ahead, we will strive to continue to prioritize innovation, expand into new markets, win market share, operate with excellence, and keep safety at the core of everything we do. As we advance these priorities, we remain committed to delivering meaningful value to our customers, supporting the communities where we live and work, and generating long-term returns for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-857250</wp:posOffset>
            </wp:positionV>
            <wp:extent cx="1740535" cy="2470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0535" cy="2470150"/>
                    </a:xfrm>
                    <a:prstGeom prst="rect">
                      <a:avLst/>
                    </a:prstGeom>
                    <a:noFill/>
                  </pic:spPr>
                </pic:pic>
              </a:graphicData>
            </a:graphic>
          </wp:anchor>
        </w:drawing>
      </w:r>
    </w:p>
    <w:p>
      <w:pPr>
        <w:spacing w:after="0" w:line="203" w:lineRule="exact"/>
        <w:rPr>
          <w:sz w:val="20"/>
          <w:szCs w:val="20"/>
          <w:color w:val="auto"/>
        </w:rPr>
      </w:pPr>
    </w:p>
    <w:p>
      <w:pPr>
        <w:ind w:left="3020" w:right="900"/>
        <w:spacing w:after="0" w:line="264" w:lineRule="auto"/>
        <w:rPr>
          <w:sz w:val="20"/>
          <w:szCs w:val="20"/>
          <w:color w:val="auto"/>
        </w:rPr>
      </w:pPr>
      <w:r>
        <w:rPr>
          <w:rFonts w:ascii="Arial" w:cs="Arial" w:eastAsia="Arial" w:hAnsi="Arial"/>
          <w:sz w:val="21"/>
          <w:szCs w:val="21"/>
          <w:color w:val="404040"/>
        </w:rPr>
        <w:t>On behalf of LP’s 4,300 dedicated team members, thank you for your continued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118745</wp:posOffset>
            </wp:positionV>
            <wp:extent cx="1420495" cy="679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0495" cy="679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20"/>
        <w:spacing w:after="0"/>
        <w:rPr>
          <w:sz w:val="20"/>
          <w:szCs w:val="20"/>
          <w:color w:val="auto"/>
        </w:rPr>
      </w:pPr>
      <w:r>
        <w:rPr>
          <w:rFonts w:ascii="Arial" w:cs="Arial" w:eastAsia="Arial" w:hAnsi="Arial"/>
          <w:sz w:val="25"/>
          <w:szCs w:val="25"/>
          <w:b w:val="1"/>
          <w:bCs w:val="1"/>
          <w:color w:val="3F0004"/>
        </w:rPr>
        <w:t>JASON RINGBLOM</w:t>
      </w:r>
    </w:p>
    <w:p>
      <w:pPr>
        <w:sectPr>
          <w:pgSz w:w="11880" w:h="15480" w:orient="portrait"/>
          <w:cols w:equalWidth="0" w:num="1">
            <w:col w:w="10440"/>
          </w:cols>
          <w:pgMar w:left="720" w:top="1440" w:right="720" w:bottom="589" w:gutter="0" w:footer="0" w:header="0"/>
        </w:sectPr>
      </w:pPr>
    </w:p>
    <w:p>
      <w:pPr>
        <w:spacing w:after="0" w:line="5" w:lineRule="exact"/>
        <w:rPr>
          <w:sz w:val="20"/>
          <w:szCs w:val="20"/>
          <w:color w:val="auto"/>
        </w:rPr>
      </w:pPr>
    </w:p>
    <w:p>
      <w:pPr>
        <w:ind w:left="3020"/>
        <w:spacing w:after="0"/>
        <w:rPr>
          <w:sz w:val="20"/>
          <w:szCs w:val="20"/>
          <w:color w:val="auto"/>
        </w:rPr>
      </w:pPr>
      <w:r>
        <w:rPr>
          <w:rFonts w:ascii="Arial" w:cs="Arial" w:eastAsia="Arial" w:hAnsi="Arial"/>
          <w:sz w:val="18"/>
          <w:szCs w:val="18"/>
          <w:color w:val="404040"/>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7082790</wp:posOffset>
            </wp:positionH>
            <wp:positionV relativeFrom="paragraph">
              <wp:posOffset>728345</wp:posOffset>
            </wp:positionV>
            <wp:extent cx="4763" cy="4763"/>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728345</wp:posOffset>
            </wp:positionV>
            <wp:extent cx="4763" cy="4763"/>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ectPr>
          <w:pgSz w:w="11880" w:h="15480" w:orient="portrait"/>
          <w:cols w:equalWidth="0" w:num="1">
            <w:col w:w="10440"/>
          </w:cols>
          <w:pgMar w:left="720" w:top="1440" w:right="720" w:bottom="589" w:gutter="0" w:footer="0" w:header="0"/>
          <w:type w:val="continuous"/>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 w:name="page7"/>
    <w:bookmarkEnd w:id="6"/>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1897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43800" cy="1897380"/>
                    </a:xfrm>
                    <a:prstGeom prst="rect">
                      <a:avLst/>
                    </a:prstGeom>
                    <a:noFill/>
                  </pic:spPr>
                </pic:pic>
              </a:graphicData>
            </a:graphic>
          </wp:anchor>
        </w:drawing>
      </w:r>
    </w:p>
    <w:p>
      <w:pPr>
        <w:ind w:left="380"/>
        <w:spacing w:after="0"/>
        <w:rPr>
          <w:sz w:val="20"/>
          <w:szCs w:val="20"/>
          <w:color w:val="auto"/>
        </w:rPr>
      </w:pPr>
      <w:r>
        <w:rPr>
          <w:rFonts w:ascii="Arial" w:cs="Arial" w:eastAsia="Arial" w:hAnsi="Arial"/>
          <w:sz w:val="56"/>
          <w:szCs w:val="56"/>
          <w:b w:val="1"/>
          <w:bCs w:val="1"/>
          <w:color w:val="FFFFFF"/>
        </w:rPr>
        <w:t>SIDING</w:t>
      </w:r>
    </w:p>
    <w:p>
      <w:pPr>
        <w:sectPr>
          <w:pgSz w:w="11880" w:h="15480" w:orient="portrait"/>
          <w:cols w:equalWidth="0" w:num="1">
            <w:col w:w="10780"/>
          </w:cols>
          <w:pgMar w:left="340" w:top="1440" w:right="760" w:bottom="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80" w:right="60"/>
        <w:spacing w:after="0" w:line="279" w:lineRule="auto"/>
        <w:rPr>
          <w:sz w:val="20"/>
          <w:szCs w:val="20"/>
          <w:color w:val="auto"/>
        </w:rPr>
      </w:pPr>
      <w:r>
        <w:rPr>
          <w:rFonts w:ascii="Arial" w:cs="Arial" w:eastAsia="Arial" w:hAnsi="Arial"/>
          <w:sz w:val="21"/>
          <w:szCs w:val="21"/>
          <w:color w:val="404040"/>
        </w:rPr>
        <w:t>LP’s Siding business continued to grow, gain share, and deliver record performance in 2025. Net sales reached $1.7 billion, representing 8% year-over-year growth, despite declining single-family housing starts and softening repair and remodeling expenditures. This growth reflects the strength of the LP</w:t>
      </w:r>
      <w:r>
        <w:rPr>
          <w:rFonts w:ascii="Arial" w:cs="Arial" w:eastAsia="Arial" w:hAnsi="Arial"/>
          <w:sz w:val="12"/>
          <w:szCs w:val="12"/>
          <w:color w:val="404040"/>
        </w:rPr>
        <w:t>®</w:t>
      </w:r>
      <w:r>
        <w:rPr>
          <w:rFonts w:ascii="Arial" w:cs="Arial" w:eastAsia="Arial" w:hAnsi="Arial"/>
          <w:sz w:val="21"/>
          <w:szCs w:val="21"/>
          <w:color w:val="404040"/>
        </w:rPr>
        <w:t xml:space="preserve"> SmartSide</w:t>
      </w:r>
      <w:r>
        <w:rPr>
          <w:rFonts w:ascii="Arial" w:cs="Arial" w:eastAsia="Arial" w:hAnsi="Arial"/>
          <w:sz w:val="12"/>
          <w:szCs w:val="12"/>
          <w:color w:val="404040"/>
        </w:rPr>
        <w:t>®</w:t>
      </w:r>
      <w:r>
        <w:rPr>
          <w:rFonts w:ascii="Arial" w:cs="Arial" w:eastAsia="Arial" w:hAnsi="Arial"/>
          <w:sz w:val="21"/>
          <w:szCs w:val="21"/>
          <w:color w:val="404040"/>
        </w:rPr>
        <w:t xml:space="preserve"> Trim &amp; Siding portfolio’s premium positioning and pricing power as well as the resiliency that comes from diversified end-use applications. In 2025, the Siding business generated $444 million in Adjusted EBITDA*, achieving a 26% Adjusted EBITDA Margin**, as growth, operating leverage, and improved efficiency supported continued margin expansion.</w:t>
      </w:r>
    </w:p>
    <w:p>
      <w:pPr>
        <w:spacing w:after="0" w:line="175" w:lineRule="exact"/>
        <w:rPr>
          <w:sz w:val="20"/>
          <w:szCs w:val="20"/>
          <w:color w:val="auto"/>
        </w:rPr>
      </w:pPr>
    </w:p>
    <w:p>
      <w:pPr>
        <w:jc w:val="both"/>
        <w:ind w:left="380" w:right="400"/>
        <w:spacing w:after="0" w:line="296" w:lineRule="auto"/>
        <w:rPr>
          <w:sz w:val="20"/>
          <w:szCs w:val="20"/>
          <w:color w:val="auto"/>
        </w:rPr>
      </w:pPr>
      <w:r>
        <w:rPr>
          <w:rFonts w:ascii="Arial" w:cs="Arial" w:eastAsia="Arial" w:hAnsi="Arial"/>
          <w:sz w:val="20"/>
          <w:szCs w:val="20"/>
          <w:color w:val="404040"/>
        </w:rPr>
        <w:t>In 2025, LP expanded the prefinished LP</w:t>
      </w:r>
      <w:r>
        <w:rPr>
          <w:rFonts w:ascii="Arial" w:cs="Arial" w:eastAsia="Arial" w:hAnsi="Arial"/>
          <w:sz w:val="12"/>
          <w:szCs w:val="12"/>
          <w:color w:val="404040"/>
        </w:rPr>
        <w:t>®</w:t>
      </w:r>
      <w:r>
        <w:rPr>
          <w:rFonts w:ascii="Arial" w:cs="Arial" w:eastAsia="Arial" w:hAnsi="Arial"/>
          <w:sz w:val="20"/>
          <w:szCs w:val="20"/>
          <w:color w:val="404040"/>
        </w:rPr>
        <w:t xml:space="preserve"> SmartSide</w:t>
      </w:r>
      <w:r>
        <w:rPr>
          <w:rFonts w:ascii="Arial" w:cs="Arial" w:eastAsia="Arial" w:hAnsi="Arial"/>
          <w:sz w:val="12"/>
          <w:szCs w:val="12"/>
          <w:color w:val="404040"/>
        </w:rPr>
        <w:t>®</w:t>
      </w:r>
      <w:r>
        <w:rPr>
          <w:rFonts w:ascii="Arial" w:cs="Arial" w:eastAsia="Arial" w:hAnsi="Arial"/>
          <w:sz w:val="20"/>
          <w:szCs w:val="20"/>
          <w:color w:val="404040"/>
        </w:rPr>
        <w:t xml:space="preserve"> ExpertFinish</w:t>
      </w:r>
      <w:r>
        <w:rPr>
          <w:rFonts w:ascii="Arial" w:cs="Arial" w:eastAsia="Arial" w:hAnsi="Arial"/>
          <w:sz w:val="12"/>
          <w:szCs w:val="12"/>
          <w:color w:val="404040"/>
        </w:rPr>
        <w:t>®</w:t>
      </w:r>
      <w:r>
        <w:rPr>
          <w:rFonts w:ascii="Arial" w:cs="Arial" w:eastAsia="Arial" w:hAnsi="Arial"/>
          <w:sz w:val="20"/>
          <w:szCs w:val="20"/>
          <w:color w:val="404040"/>
        </w:rPr>
        <w:t xml:space="preserve"> product line by launching the two-tone Naturals Collection™ palette—designed to capture the look of stained wood—to better serve customers and markets that prefer a premium aesthetic. During 2025, ExpertFinish</w:t>
      </w:r>
      <w:r>
        <w:rPr>
          <w:rFonts w:ascii="Arial" w:cs="Arial" w:eastAsia="Arial" w:hAnsi="Arial"/>
          <w:sz w:val="12"/>
          <w:szCs w:val="12"/>
          <w:color w:val="404040"/>
        </w:rPr>
        <w:t>®</w:t>
      </w:r>
      <w:r>
        <w:rPr>
          <w:rFonts w:ascii="Arial" w:cs="Arial" w:eastAsia="Arial" w:hAnsi="Arial"/>
          <w:sz w:val="20"/>
          <w:szCs w:val="20"/>
          <w:color w:val="404040"/>
        </w:rPr>
        <w:t xml:space="preserve"> products accounted for 10% of Siding volume and 16% of net sales. We believe that LP</w:t>
      </w:r>
      <w:r>
        <w:rPr>
          <w:rFonts w:ascii="Arial" w:cs="Arial" w:eastAsia="Arial" w:hAnsi="Arial"/>
          <w:sz w:val="12"/>
          <w:szCs w:val="12"/>
          <w:color w:val="404040"/>
        </w:rPr>
        <w:t>®</w:t>
      </w:r>
      <w:r>
        <w:rPr>
          <w:rFonts w:ascii="Arial" w:cs="Arial" w:eastAsia="Arial" w:hAnsi="Arial"/>
          <w:sz w:val="20"/>
          <w:szCs w:val="20"/>
          <w:color w:val="404040"/>
        </w:rPr>
        <w:t xml:space="preserve"> SmartSide</w:t>
      </w:r>
      <w:r>
        <w:rPr>
          <w:rFonts w:ascii="Arial" w:cs="Arial" w:eastAsia="Arial" w:hAnsi="Arial"/>
          <w:sz w:val="12"/>
          <w:szCs w:val="12"/>
          <w:color w:val="404040"/>
        </w:rPr>
        <w:t>®</w:t>
      </w:r>
      <w:r>
        <w:rPr>
          <w:rFonts w:ascii="Arial" w:cs="Arial" w:eastAsia="Arial" w:hAnsi="Arial"/>
          <w:sz w:val="20"/>
          <w:szCs w:val="20"/>
          <w:color w:val="404040"/>
        </w:rPr>
        <w:t xml:space="preserve"> Trim &amp; Siding is one of the best home siding products available, and we remain committed to ongoing innovation to expand and enhance our portfolio.</w:t>
      </w:r>
    </w:p>
    <w:p>
      <w:pPr>
        <w:spacing w:after="0" w:line="162" w:lineRule="exact"/>
        <w:rPr>
          <w:sz w:val="20"/>
          <w:szCs w:val="20"/>
          <w:color w:val="auto"/>
        </w:rPr>
      </w:pPr>
    </w:p>
    <w:p>
      <w:pPr>
        <w:ind w:left="380"/>
        <w:spacing w:after="0" w:line="279" w:lineRule="auto"/>
        <w:rPr>
          <w:sz w:val="20"/>
          <w:szCs w:val="20"/>
          <w:color w:val="auto"/>
        </w:rPr>
      </w:pPr>
      <w:r>
        <w:rPr>
          <w:rFonts w:ascii="Arial" w:cs="Arial" w:eastAsia="Arial" w:hAnsi="Arial"/>
          <w:sz w:val="21"/>
          <w:szCs w:val="21"/>
          <w:color w:val="404040"/>
        </w:rPr>
        <w:t>To meet growing demand for ExpertFinish</w:t>
      </w:r>
      <w:r>
        <w:rPr>
          <w:rFonts w:ascii="Arial" w:cs="Arial" w:eastAsia="Arial" w:hAnsi="Arial"/>
          <w:sz w:val="12"/>
          <w:szCs w:val="12"/>
          <w:color w:val="404040"/>
        </w:rPr>
        <w:t>®</w:t>
      </w:r>
      <w:r>
        <w:rPr>
          <w:rFonts w:ascii="Arial" w:cs="Arial" w:eastAsia="Arial" w:hAnsi="Arial"/>
          <w:sz w:val="21"/>
          <w:szCs w:val="21"/>
          <w:color w:val="404040"/>
        </w:rPr>
        <w:t xml:space="preserve"> products, LP advanced operational efficiency at existing prefinishing facilities while also investing in additional capacity. Newly added capacity at LP’s Green Bay, Wisconsin prefinishing facility is expected to come online in the first quarter of 2026, facilitating further growth. Increased scale and production efficiency in ExpertFinish</w:t>
      </w:r>
      <w:r>
        <w:rPr>
          <w:rFonts w:ascii="Arial" w:cs="Arial" w:eastAsia="Arial" w:hAnsi="Arial"/>
          <w:sz w:val="12"/>
          <w:szCs w:val="12"/>
          <w:color w:val="404040"/>
        </w:rPr>
        <w:t>®</w:t>
      </w:r>
      <w:r>
        <w:rPr>
          <w:rFonts w:ascii="Arial" w:cs="Arial" w:eastAsia="Arial" w:hAnsi="Arial"/>
          <w:sz w:val="21"/>
          <w:szCs w:val="21"/>
          <w:color w:val="404040"/>
        </w:rPr>
        <w:t xml:space="preserve"> manufacturing are also contributing to meaningful margin improvement within the product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780"/>
        <w:spacing w:after="0"/>
        <w:rPr>
          <w:sz w:val="20"/>
          <w:szCs w:val="20"/>
          <w:color w:val="auto"/>
        </w:rPr>
      </w:pPr>
      <w:r>
        <w:rPr>
          <w:rFonts w:ascii="Arial" w:cs="Arial" w:eastAsia="Arial" w:hAnsi="Arial"/>
          <w:sz w:val="26"/>
          <w:szCs w:val="26"/>
          <w:b w:val="1"/>
          <w:bCs w:val="1"/>
          <w:color w:val="3F0004"/>
        </w:rPr>
        <w:t>2025 FINANCIAL HIGHLIGHTS FOR SIDING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30480</wp:posOffset>
            </wp:positionV>
            <wp:extent cx="6527800" cy="1205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7800" cy="120586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08"/>
          <w:szCs w:val="108"/>
          <w:b w:val="1"/>
          <w:bCs w:val="1"/>
          <w:color w:val="FFFFFF"/>
        </w:rPr>
        <w:t>• $1.7B $444M 26%</w:t>
      </w:r>
    </w:p>
    <w:p>
      <w:pPr>
        <w:spacing w:after="0" w:line="273" w:lineRule="exact"/>
        <w:rPr>
          <w:sz w:val="20"/>
          <w:szCs w:val="20"/>
          <w:color w:val="auto"/>
        </w:rPr>
      </w:pPr>
    </w:p>
    <w:tbl>
      <w:tblPr>
        <w:tblLayout w:type="fixed"/>
        <w:tblInd w:w="1680" w:type="dxa"/>
        <w:tblCellMar>
          <w:top w:w="0" w:type="dxa"/>
          <w:left w:w="0" w:type="dxa"/>
          <w:bottom w:w="0" w:type="dxa"/>
          <w:right w:w="0" w:type="dxa"/>
        </w:tblCellMar>
      </w:tblPr>
      <w:tr>
        <w:trPr>
          <w:trHeight w:val="276"/>
        </w:trPr>
        <w:tc>
          <w:tcPr>
            <w:tcW w:w="2080" w:type="dxa"/>
            <w:vAlign w:val="bottom"/>
          </w:tcPr>
          <w:p>
            <w:pPr>
              <w:spacing w:after="0"/>
              <w:rPr>
                <w:sz w:val="20"/>
                <w:szCs w:val="20"/>
                <w:color w:val="auto"/>
              </w:rPr>
            </w:pPr>
            <w:r>
              <w:rPr>
                <w:rFonts w:ascii="Arial" w:cs="Arial" w:eastAsia="Arial" w:hAnsi="Arial"/>
                <w:sz w:val="24"/>
                <w:szCs w:val="24"/>
                <w:b w:val="1"/>
                <w:bCs w:val="1"/>
                <w:color w:val="3F0004"/>
              </w:rPr>
              <w:t>NET SALES</w:t>
            </w:r>
          </w:p>
        </w:tc>
        <w:tc>
          <w:tcPr>
            <w:tcW w:w="3700" w:type="dxa"/>
            <w:vAlign w:val="bottom"/>
          </w:tcPr>
          <w:p>
            <w:pPr>
              <w:ind w:left="800"/>
              <w:spacing w:after="0"/>
              <w:rPr>
                <w:sz w:val="20"/>
                <w:szCs w:val="20"/>
                <w:color w:val="auto"/>
              </w:rPr>
            </w:pPr>
            <w:r>
              <w:rPr>
                <w:rFonts w:ascii="Arial" w:cs="Arial" w:eastAsia="Arial" w:hAnsi="Arial"/>
                <w:sz w:val="24"/>
                <w:szCs w:val="24"/>
                <w:b w:val="1"/>
                <w:bCs w:val="1"/>
                <w:color w:val="3F0004"/>
              </w:rPr>
              <w:t>ADJUSTED EBITDA*</w:t>
            </w:r>
          </w:p>
        </w:tc>
        <w:tc>
          <w:tcPr>
            <w:tcW w:w="2640" w:type="dxa"/>
            <w:vAlign w:val="bottom"/>
          </w:tcPr>
          <w:p>
            <w:pPr>
              <w:jc w:val="center"/>
              <w:ind w:left="490"/>
              <w:spacing w:after="0"/>
              <w:rPr>
                <w:sz w:val="20"/>
                <w:szCs w:val="20"/>
                <w:color w:val="auto"/>
              </w:rPr>
            </w:pPr>
            <w:r>
              <w:rPr>
                <w:rFonts w:ascii="Arial" w:cs="Arial" w:eastAsia="Arial" w:hAnsi="Arial"/>
                <w:sz w:val="22"/>
                <w:szCs w:val="22"/>
                <w:b w:val="1"/>
                <w:bCs w:val="1"/>
                <w:color w:val="3F0004"/>
                <w:w w:val="98"/>
              </w:rPr>
              <w:t>ADJUSTED EBITDA</w:t>
            </w:r>
          </w:p>
        </w:tc>
      </w:tr>
      <w:tr>
        <w:trPr>
          <w:trHeight w:val="272"/>
        </w:trPr>
        <w:tc>
          <w:tcPr>
            <w:tcW w:w="208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2640" w:type="dxa"/>
            <w:vAlign w:val="bottom"/>
          </w:tcPr>
          <w:p>
            <w:pPr>
              <w:jc w:val="center"/>
              <w:ind w:left="490"/>
              <w:spacing w:after="0"/>
              <w:rPr>
                <w:sz w:val="20"/>
                <w:szCs w:val="20"/>
                <w:color w:val="auto"/>
              </w:rPr>
            </w:pPr>
            <w:r>
              <w:rPr>
                <w:rFonts w:ascii="Arial" w:cs="Arial" w:eastAsia="Arial" w:hAnsi="Arial"/>
                <w:sz w:val="22"/>
                <w:szCs w:val="22"/>
                <w:b w:val="1"/>
                <w:bCs w:val="1"/>
                <w:color w:val="3F0004"/>
              </w:rPr>
              <w:t>MARGIN**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0"/>
        <w:spacing w:after="0"/>
        <w:rPr>
          <w:sz w:val="20"/>
          <w:szCs w:val="20"/>
          <w:color w:val="auto"/>
        </w:rPr>
      </w:pPr>
      <w:r>
        <w:rPr>
          <w:rFonts w:ascii="Arial" w:cs="Arial" w:eastAsia="Arial" w:hAnsi="Arial"/>
          <w:sz w:val="12"/>
          <w:szCs w:val="12"/>
          <w:i w:val="1"/>
          <w:iCs w:val="1"/>
          <w:color w:val="404040"/>
        </w:rPr>
        <w:t>*This is a non-GAAP financial measure. See “Management’s Discussion and Analysis of Financial Condition and Results of Operations—Non-GAAP Financial Measures” in our 2025 Form 10-K.</w:t>
      </w:r>
    </w:p>
    <w:p>
      <w:pPr>
        <w:sectPr>
          <w:pgSz w:w="11880" w:h="15480" w:orient="portrait"/>
          <w:cols w:equalWidth="0" w:num="1">
            <w:col w:w="10780"/>
          </w:cols>
          <w:pgMar w:left="340" w:top="1440" w:right="760" w:bottom="26" w:gutter="0" w:footer="0" w:header="0"/>
          <w:type w:val="continuous"/>
        </w:sectPr>
      </w:pPr>
    </w:p>
    <w:p>
      <w:pPr>
        <w:spacing w:after="0" w:line="96" w:lineRule="exact"/>
        <w:rPr>
          <w:sz w:val="20"/>
          <w:szCs w:val="20"/>
          <w:color w:val="auto"/>
        </w:rPr>
      </w:pPr>
    </w:p>
    <w:p>
      <w:pPr>
        <w:ind w:left="380"/>
        <w:spacing w:after="0"/>
        <w:rPr>
          <w:sz w:val="20"/>
          <w:szCs w:val="20"/>
          <w:color w:val="auto"/>
        </w:rPr>
      </w:pPr>
      <w:r>
        <w:rPr>
          <w:rFonts w:ascii="Arial" w:cs="Arial" w:eastAsia="Arial" w:hAnsi="Arial"/>
          <w:sz w:val="12"/>
          <w:szCs w:val="12"/>
          <w:i w:val="1"/>
          <w:iCs w:val="1"/>
          <w:color w:val="404040"/>
        </w:rPr>
        <w:t>**This is a non-GAAP financial measure and is calculated as Siding Adjusted EBITDA divided by net sales for the Siding business.</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2"/>
          <w:szCs w:val="12"/>
          <w:i w:val="1"/>
          <w:iCs w:val="1"/>
          <w:color w:val="FFFFFF"/>
        </w:rPr>
        <w:t>*This is a non-GAAP financial measure. See “Non-GAAP Financial Measures” in our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7324090</wp:posOffset>
            </wp:positionH>
            <wp:positionV relativeFrom="paragraph">
              <wp:posOffset>371475</wp:posOffset>
            </wp:positionV>
            <wp:extent cx="4763" cy="4763"/>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-215265</wp:posOffset>
            </wp:positionH>
            <wp:positionV relativeFrom="paragraph">
              <wp:posOffset>371475</wp:posOffset>
            </wp:positionV>
            <wp:extent cx="4763" cy="4763"/>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ectPr>
          <w:pgSz w:w="11880" w:h="15480" w:orient="portrait"/>
          <w:cols w:equalWidth="0" w:num="1">
            <w:col w:w="10780"/>
          </w:cols>
          <w:pgMar w:left="340" w:top="1440" w:right="760" w:bottom="26"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4631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543800" cy="46316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6100"/>
        <w:spacing w:after="0"/>
        <w:rPr>
          <w:sz w:val="20"/>
          <w:szCs w:val="20"/>
          <w:color w:val="auto"/>
        </w:rPr>
      </w:pPr>
      <w:r>
        <w:rPr>
          <w:rFonts w:ascii="Arial" w:cs="Arial" w:eastAsia="Arial" w:hAnsi="Arial"/>
          <w:sz w:val="65"/>
          <w:szCs w:val="65"/>
          <w:b w:val="1"/>
          <w:bCs w:val="1"/>
          <w:color w:val="FFFFFF"/>
        </w:rPr>
        <w:t>IMAGE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416560</wp:posOffset>
            </wp:positionV>
            <wp:extent cx="7543800" cy="7616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543800" cy="761682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416560</wp:posOffset>
            </wp:positionV>
            <wp:extent cx="7543800" cy="7616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543800" cy="7616825"/>
                    </a:xfrm>
                    <a:prstGeom prst="rect">
                      <a:avLst/>
                    </a:prstGeom>
                    <a:noFill/>
                  </pic:spPr>
                </pic:pic>
              </a:graphicData>
            </a:graphic>
          </wp:anchor>
        </w:drawing>
      </w:r>
    </w:p>
    <w:p>
      <w:pPr>
        <w:sectPr>
          <w:pgSz w:w="11880" w:h="15480" w:orient="portrait"/>
          <w:cols w:equalWidth="0" w:num="1">
            <w:col w:w="9000"/>
          </w:cols>
          <w:pgMar w:left="1440" w:top="1440" w:right="1440" w:bottom="1440" w:gutter="0" w:footer="0" w:header="0"/>
        </w:sectPr>
      </w:pPr>
    </w:p>
    <w:bookmarkStart w:id="8" w:name="page9"/>
    <w:bookmarkEnd w:id="8"/>
    <w:p>
      <w:pPr>
        <w:spacing w:after="0"/>
        <w:rPr>
          <w:sz w:val="20"/>
          <w:szCs w:val="20"/>
          <w:color w:val="auto"/>
        </w:rPr>
      </w:pPr>
      <w:r>
        <w:rPr>
          <w:rFonts w:ascii="Arial" w:cs="Arial" w:eastAsia="Arial" w:hAnsi="Arial"/>
          <w:sz w:val="56"/>
          <w:szCs w:val="56"/>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1897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543800" cy="1897380"/>
                    </a:xfrm>
                    <a:prstGeom prst="rect">
                      <a:avLst/>
                    </a:prstGeom>
                    <a:noFill/>
                  </pic:spPr>
                </pic:pic>
              </a:graphicData>
            </a:graphic>
          </wp:anchor>
        </w:drawing>
        <w:t>OSB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79" w:lineRule="auto"/>
        <w:rPr>
          <w:sz w:val="20"/>
          <w:szCs w:val="20"/>
          <w:color w:val="auto"/>
        </w:rPr>
      </w:pPr>
      <w:r>
        <w:rPr>
          <w:rFonts w:ascii="Arial" w:cs="Arial" w:eastAsia="Arial" w:hAnsi="Arial"/>
          <w:sz w:val="21"/>
          <w:szCs w:val="21"/>
          <w:color w:val="404040"/>
        </w:rPr>
        <w:t>In 2025, commodity OSB prices reached multiyear lows, creating a particularly challenging backdrop for the OSB business. LP’s OSB team navigated this environment by focusing on operational excellence, prioritizing safety, exercising disciplined capacity management, and carefully managing controllable costs. This approach allowed the OSB segment to generate positive Adjusted EBITDA* despite the extraordinary price pressure. Net sales declined to $832 million, as softer demand reduced both pricing and volume.</w:t>
      </w:r>
    </w:p>
    <w:p>
      <w:pPr>
        <w:spacing w:after="0" w:line="176" w:lineRule="exact"/>
        <w:rPr>
          <w:sz w:val="20"/>
          <w:szCs w:val="20"/>
          <w:color w:val="auto"/>
        </w:rPr>
      </w:pPr>
    </w:p>
    <w:p>
      <w:pPr>
        <w:ind w:right="180"/>
        <w:spacing w:after="0" w:line="279" w:lineRule="auto"/>
        <w:rPr>
          <w:sz w:val="20"/>
          <w:szCs w:val="20"/>
          <w:color w:val="auto"/>
        </w:rPr>
      </w:pPr>
      <w:r>
        <w:rPr>
          <w:rFonts w:ascii="Arial" w:cs="Arial" w:eastAsia="Arial" w:hAnsi="Arial"/>
          <w:sz w:val="21"/>
          <w:szCs w:val="21"/>
          <w:color w:val="404040"/>
        </w:rPr>
        <w:t>In a housing market strained by affordability and homeownership challenges, we believe LP’s value-added, labor-saving OSB products offer meaningful solutions. Products such as LP</w:t>
      </w:r>
      <w:r>
        <w:rPr>
          <w:rFonts w:ascii="Arial" w:cs="Arial" w:eastAsia="Arial" w:hAnsi="Arial"/>
          <w:sz w:val="12"/>
          <w:szCs w:val="12"/>
          <w:color w:val="404040"/>
        </w:rPr>
        <w:t>®</w:t>
      </w:r>
      <w:r>
        <w:rPr>
          <w:rFonts w:ascii="Arial" w:cs="Arial" w:eastAsia="Arial" w:hAnsi="Arial"/>
          <w:sz w:val="21"/>
          <w:szCs w:val="21"/>
          <w:color w:val="404040"/>
        </w:rPr>
        <w:t xml:space="preserve"> FlameBlock</w:t>
      </w:r>
      <w:r>
        <w:rPr>
          <w:rFonts w:ascii="Arial" w:cs="Arial" w:eastAsia="Arial" w:hAnsi="Arial"/>
          <w:sz w:val="12"/>
          <w:szCs w:val="12"/>
          <w:color w:val="404040"/>
        </w:rPr>
        <w:t>®</w:t>
      </w:r>
      <w:r>
        <w:rPr>
          <w:rFonts w:ascii="Arial" w:cs="Arial" w:eastAsia="Arial" w:hAnsi="Arial"/>
          <w:sz w:val="21"/>
          <w:szCs w:val="21"/>
          <w:color w:val="404040"/>
        </w:rPr>
        <w:t xml:space="preserve"> Fire-Rated Sheathing, LP WeatherLogic</w:t>
      </w:r>
      <w:r>
        <w:rPr>
          <w:rFonts w:ascii="Arial" w:cs="Arial" w:eastAsia="Arial" w:hAnsi="Arial"/>
          <w:sz w:val="12"/>
          <w:szCs w:val="12"/>
          <w:color w:val="404040"/>
        </w:rPr>
        <w:t>®</w:t>
      </w:r>
      <w:r>
        <w:rPr>
          <w:rFonts w:ascii="Arial" w:cs="Arial" w:eastAsia="Arial" w:hAnsi="Arial"/>
          <w:sz w:val="21"/>
          <w:szCs w:val="21"/>
          <w:color w:val="404040"/>
        </w:rPr>
        <w:t xml:space="preserve"> Air &amp; Water Barrier, LP</w:t>
      </w:r>
      <w:r>
        <w:rPr>
          <w:rFonts w:ascii="Arial" w:cs="Arial" w:eastAsia="Arial" w:hAnsi="Arial"/>
          <w:sz w:val="12"/>
          <w:szCs w:val="12"/>
          <w:color w:val="404040"/>
        </w:rPr>
        <w:t>®</w:t>
      </w:r>
      <w:r>
        <w:rPr>
          <w:rFonts w:ascii="Arial" w:cs="Arial" w:eastAsia="Arial" w:hAnsi="Arial"/>
          <w:sz w:val="21"/>
          <w:szCs w:val="21"/>
          <w:color w:val="404040"/>
        </w:rPr>
        <w:t xml:space="preserve"> TechShield</w:t>
      </w:r>
      <w:r>
        <w:rPr>
          <w:rFonts w:ascii="Arial" w:cs="Arial" w:eastAsia="Arial" w:hAnsi="Arial"/>
          <w:sz w:val="12"/>
          <w:szCs w:val="12"/>
          <w:color w:val="404040"/>
        </w:rPr>
        <w:t>®</w:t>
      </w:r>
      <w:r>
        <w:rPr>
          <w:rFonts w:ascii="Arial" w:cs="Arial" w:eastAsia="Arial" w:hAnsi="Arial"/>
          <w:sz w:val="21"/>
          <w:szCs w:val="21"/>
          <w:color w:val="404040"/>
        </w:rPr>
        <w:t xml:space="preserve"> Radiant Barrier Sheathing, LP Legacy</w:t>
      </w:r>
      <w:r>
        <w:rPr>
          <w:rFonts w:ascii="Arial" w:cs="Arial" w:eastAsia="Arial" w:hAnsi="Arial"/>
          <w:sz w:val="12"/>
          <w:szCs w:val="12"/>
          <w:color w:val="404040"/>
        </w:rPr>
        <w:t>®</w:t>
      </w:r>
      <w:r>
        <w:rPr>
          <w:rFonts w:ascii="Arial" w:cs="Arial" w:eastAsia="Arial" w:hAnsi="Arial"/>
          <w:sz w:val="21"/>
          <w:szCs w:val="21"/>
          <w:color w:val="404040"/>
        </w:rPr>
        <w:t xml:space="preserve"> Premium Sub-Flooring, and LP</w:t>
      </w:r>
      <w:r>
        <w:rPr>
          <w:rFonts w:ascii="Arial" w:cs="Arial" w:eastAsia="Arial" w:hAnsi="Arial"/>
          <w:sz w:val="12"/>
          <w:szCs w:val="12"/>
          <w:color w:val="404040"/>
        </w:rPr>
        <w:t>®</w:t>
      </w:r>
      <w:r>
        <w:rPr>
          <w:rFonts w:ascii="Arial" w:cs="Arial" w:eastAsia="Arial" w:hAnsi="Arial"/>
          <w:sz w:val="21"/>
          <w:szCs w:val="21"/>
          <w:color w:val="404040"/>
        </w:rPr>
        <w:t xml:space="preserve"> TopNotch</w:t>
      </w:r>
      <w:r>
        <w:rPr>
          <w:rFonts w:ascii="Arial" w:cs="Arial" w:eastAsia="Arial" w:hAnsi="Arial"/>
          <w:sz w:val="12"/>
          <w:szCs w:val="12"/>
          <w:color w:val="404040"/>
        </w:rPr>
        <w:t>®</w:t>
      </w:r>
      <w:r>
        <w:rPr>
          <w:rFonts w:ascii="Arial" w:cs="Arial" w:eastAsia="Arial" w:hAnsi="Arial"/>
          <w:sz w:val="21"/>
          <w:szCs w:val="21"/>
          <w:color w:val="404040"/>
        </w:rPr>
        <w:t xml:space="preserve"> 350 Durable Sub-Flooring provide homebuilders with enhanced performance, value, durability, and labor efficiencies—while delivering a variety of benefits, such as superior fire resistance, enhanced water and moisture protection, and greater weight-bearing capacity.</w:t>
      </w:r>
    </w:p>
    <w:p>
      <w:pPr>
        <w:spacing w:after="0" w:line="176" w:lineRule="exact"/>
        <w:rPr>
          <w:sz w:val="20"/>
          <w:szCs w:val="20"/>
          <w:color w:val="auto"/>
        </w:rPr>
      </w:pPr>
    </w:p>
    <w:p>
      <w:pPr>
        <w:ind w:right="180"/>
        <w:spacing w:after="0" w:line="281" w:lineRule="auto"/>
        <w:rPr>
          <w:sz w:val="20"/>
          <w:szCs w:val="20"/>
          <w:color w:val="auto"/>
        </w:rPr>
      </w:pPr>
      <w:r>
        <w:rPr>
          <w:rFonts w:ascii="Arial" w:cs="Arial" w:eastAsia="Arial" w:hAnsi="Arial"/>
          <w:sz w:val="21"/>
          <w:szCs w:val="21"/>
          <w:color w:val="404040"/>
        </w:rPr>
        <w:t>LP remains focused on operating with discipline, running our mills safely and efficiently, aligning production with demand, and continuing to innovate to meet the evolving needs of homebuilders, contractors, and homeowners.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6629400" cy="1780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29400" cy="178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26"/>
          <w:szCs w:val="26"/>
          <w:b w:val="1"/>
          <w:bCs w:val="1"/>
          <w:color w:val="3F0004"/>
        </w:rPr>
        <w:t>2025 FINANCIAL HIGHLIGHTS FOR OSB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162560</wp:posOffset>
            </wp:positionV>
            <wp:extent cx="5350510" cy="1141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50510" cy="1141095"/>
                    </a:xfrm>
                    <a:prstGeom prst="rect">
                      <a:avLst/>
                    </a:prstGeom>
                    <a:noFill/>
                  </pic:spPr>
                </pic:pic>
              </a:graphicData>
            </a:graphic>
          </wp:anchor>
        </w:drawing>
      </w:r>
    </w:p>
    <w:p>
      <w:pPr>
        <w:spacing w:after="0" w:line="378" w:lineRule="exact"/>
        <w:rPr>
          <w:sz w:val="20"/>
          <w:szCs w:val="20"/>
          <w:color w:val="auto"/>
        </w:rPr>
      </w:pPr>
    </w:p>
    <w:p>
      <w:pPr>
        <w:ind w:left="2160"/>
        <w:spacing w:after="0"/>
        <w:rPr>
          <w:sz w:val="20"/>
          <w:szCs w:val="20"/>
          <w:color w:val="auto"/>
        </w:rPr>
      </w:pPr>
      <w:r>
        <w:rPr>
          <w:rFonts w:ascii="Arial" w:cs="Arial" w:eastAsia="Arial" w:hAnsi="Arial"/>
          <w:sz w:val="108"/>
          <w:szCs w:val="108"/>
          <w:b w:val="1"/>
          <w:bCs w:val="1"/>
          <w:color w:val="FFFFFF"/>
        </w:rPr>
        <w:t>$832M  $7M</w:t>
      </w:r>
    </w:p>
    <w:p>
      <w:pPr>
        <w:spacing w:after="0" w:line="281" w:lineRule="exact"/>
        <w:rPr>
          <w:sz w:val="20"/>
          <w:szCs w:val="20"/>
          <w:color w:val="auto"/>
        </w:rPr>
      </w:pPr>
    </w:p>
    <w:tbl>
      <w:tblPr>
        <w:tblLayout w:type="fixed"/>
        <w:tblInd w:w="3180" w:type="dxa"/>
        <w:tblCellMar>
          <w:top w:w="0" w:type="dxa"/>
          <w:left w:w="0" w:type="dxa"/>
          <w:bottom w:w="0" w:type="dxa"/>
          <w:right w:w="0" w:type="dxa"/>
        </w:tblCellMar>
      </w:tblPr>
      <w:tr>
        <w:trPr>
          <w:trHeight w:val="298"/>
        </w:trPr>
        <w:tc>
          <w:tcPr>
            <w:tcW w:w="1960" w:type="dxa"/>
            <w:vAlign w:val="bottom"/>
          </w:tcPr>
          <w:p>
            <w:pPr>
              <w:spacing w:after="0"/>
              <w:rPr>
                <w:sz w:val="20"/>
                <w:szCs w:val="20"/>
                <w:color w:val="auto"/>
              </w:rPr>
            </w:pPr>
            <w:r>
              <w:rPr>
                <w:rFonts w:ascii="Arial" w:cs="Arial" w:eastAsia="Arial" w:hAnsi="Arial"/>
                <w:sz w:val="24"/>
                <w:szCs w:val="24"/>
                <w:b w:val="1"/>
                <w:bCs w:val="1"/>
                <w:color w:val="3F0004"/>
              </w:rPr>
              <w:t>NET SALES</w:t>
            </w:r>
          </w:p>
        </w:tc>
        <w:tc>
          <w:tcPr>
            <w:tcW w:w="2940" w:type="dxa"/>
            <w:vAlign w:val="bottom"/>
          </w:tcPr>
          <w:p>
            <w:pPr>
              <w:ind w:left="660"/>
              <w:spacing w:after="0"/>
              <w:rPr>
                <w:sz w:val="20"/>
                <w:szCs w:val="20"/>
                <w:color w:val="auto"/>
              </w:rPr>
            </w:pPr>
            <w:r>
              <w:rPr>
                <w:rFonts w:ascii="Arial" w:cs="Arial" w:eastAsia="Arial" w:hAnsi="Arial"/>
                <w:sz w:val="24"/>
                <w:szCs w:val="24"/>
                <w:b w:val="1"/>
                <w:bCs w:val="1"/>
                <w:color w:val="3F0004"/>
                <w:w w:val="96"/>
              </w:rPr>
              <w:t>ADJUSTED EBITDA*</w:t>
            </w:r>
          </w:p>
        </w:tc>
      </w:tr>
    </w:tbl>
    <w:p>
      <w:pPr>
        <w:spacing w:after="0" w:line="200" w:lineRule="exact"/>
        <w:rPr>
          <w:sz w:val="20"/>
          <w:szCs w:val="20"/>
          <w:color w:val="auto"/>
        </w:rPr>
      </w:pPr>
    </w:p>
    <w:p>
      <w:pPr>
        <w:sectPr>
          <w:pgSz w:w="11880" w:h="15480" w:orient="portrait"/>
          <w:cols w:equalWidth="0" w:num="1">
            <w:col w:w="10400"/>
          </w:cols>
          <w:pgMar w:left="720" w:top="1393" w:right="760" w:bottom="127" w:gutter="0" w:footer="0" w:header="0"/>
        </w:sectPr>
      </w:pP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i w:val="1"/>
          <w:iCs w:val="1"/>
          <w:color w:val="404040"/>
        </w:rPr>
        <w:t>*This is a non-GAAP financial measure. See “Management’s Discussion and Analysis of Financial Condition and Results of Operations—Non-GAAP Financial Measures” in our 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7082790</wp:posOffset>
            </wp:positionH>
            <wp:positionV relativeFrom="paragraph">
              <wp:posOffset>434975</wp:posOffset>
            </wp:positionV>
            <wp:extent cx="4763" cy="4763"/>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434975</wp:posOffset>
            </wp:positionV>
            <wp:extent cx="4763" cy="4763"/>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ectPr>
          <w:pgSz w:w="11880" w:h="15480" w:orient="portrait"/>
          <w:cols w:equalWidth="0" w:num="1">
            <w:col w:w="10400"/>
          </w:cols>
          <w:pgMar w:left="720" w:top="1393" w:right="760" w:bottom="127" w:gutter="0" w:footer="0" w:header="0"/>
          <w:type w:val="continuous"/>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35198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543800" cy="3519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56"/>
          <w:szCs w:val="56"/>
          <w:b w:val="1"/>
          <w:bCs w:val="1"/>
          <w:color w:val="3F0004"/>
        </w:rPr>
        <w:t>CAPITAL ALLOCATION</w:t>
      </w:r>
    </w:p>
    <w:p>
      <w:pPr>
        <w:spacing w:after="0" w:line="375" w:lineRule="exact"/>
        <w:rPr>
          <w:sz w:val="20"/>
          <w:szCs w:val="20"/>
          <w:color w:val="auto"/>
        </w:rPr>
      </w:pPr>
    </w:p>
    <w:p>
      <w:pPr>
        <w:spacing w:after="0" w:line="263" w:lineRule="auto"/>
        <w:rPr>
          <w:sz w:val="20"/>
          <w:szCs w:val="20"/>
          <w:color w:val="auto"/>
        </w:rPr>
      </w:pPr>
      <w:r>
        <w:rPr>
          <w:rFonts w:ascii="Arial" w:cs="Arial" w:eastAsia="Arial" w:hAnsi="Arial"/>
          <w:sz w:val="24"/>
          <w:szCs w:val="24"/>
          <w:color w:val="3F0004"/>
        </w:rPr>
        <w:t>LP remains committed to consistent execution of our capital allocation strategy. Lower OSB prices reduced cash flows in 2025, but with more than $1 billion in liquidity and confidence in future Siding growth, we continued to invest in future growth and return capital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208280</wp:posOffset>
            </wp:positionV>
            <wp:extent cx="6631305" cy="2036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31305" cy="2036445"/>
                    </a:xfrm>
                    <a:prstGeom prst="rect">
                      <a:avLst/>
                    </a:prstGeom>
                    <a:noFill/>
                  </pic:spPr>
                </pic:pic>
              </a:graphicData>
            </a:graphic>
          </wp:anchor>
        </w:drawing>
      </w:r>
    </w:p>
    <w:p>
      <w:pPr>
        <w:spacing w:after="0" w:line="398" w:lineRule="exact"/>
        <w:rPr>
          <w:sz w:val="20"/>
          <w:szCs w:val="20"/>
          <w:color w:val="auto"/>
        </w:rPr>
      </w:pPr>
    </w:p>
    <w:p>
      <w:pPr>
        <w:ind w:left="2420"/>
        <w:spacing w:after="0"/>
        <w:tabs>
          <w:tab w:leader="none" w:pos="7780" w:val="left"/>
        </w:tabs>
        <w:rPr>
          <w:sz w:val="20"/>
          <w:szCs w:val="20"/>
          <w:color w:val="auto"/>
        </w:rPr>
      </w:pPr>
      <w:r>
        <w:rPr>
          <w:rFonts w:ascii="Arial" w:cs="Arial" w:eastAsia="Arial" w:hAnsi="Arial"/>
          <w:sz w:val="58"/>
          <w:szCs w:val="58"/>
          <w:b w:val="1"/>
          <w:bCs w:val="1"/>
          <w:color w:val="FFFFFF"/>
        </w:rPr>
        <w:t>1</w:t>
      </w:r>
      <w:r>
        <w:rPr>
          <w:sz w:val="20"/>
          <w:szCs w:val="20"/>
          <w:color w:val="auto"/>
        </w:rPr>
        <w:tab/>
      </w:r>
      <w:r>
        <w:rPr>
          <w:rFonts w:ascii="Arial" w:cs="Arial" w:eastAsia="Arial" w:hAnsi="Arial"/>
          <w:sz w:val="58"/>
          <w:szCs w:val="58"/>
          <w:b w:val="1"/>
          <w:bCs w:val="1"/>
          <w:color w:val="FFFFFF"/>
        </w:rPr>
        <w:t>2</w:t>
      </w:r>
    </w:p>
    <w:p>
      <w:pPr>
        <w:spacing w:after="0" w:line="214" w:lineRule="exact"/>
        <w:rPr>
          <w:sz w:val="20"/>
          <w:szCs w:val="20"/>
          <w:color w:val="auto"/>
        </w:rPr>
      </w:pPr>
    </w:p>
    <w:tbl>
      <w:tblPr>
        <w:tblLayout w:type="fixed"/>
        <w:tblInd w:w="860" w:type="dxa"/>
        <w:tblCellMar>
          <w:top w:w="0" w:type="dxa"/>
          <w:left w:w="0" w:type="dxa"/>
          <w:bottom w:w="0" w:type="dxa"/>
          <w:right w:w="0" w:type="dxa"/>
        </w:tblCellMar>
      </w:tblPr>
      <w:tr>
        <w:trPr>
          <w:trHeight w:val="1080"/>
        </w:trPr>
        <w:tc>
          <w:tcPr>
            <w:tcW w:w="4300" w:type="dxa"/>
            <w:vAlign w:val="bottom"/>
          </w:tcPr>
          <w:p>
            <w:pPr>
              <w:jc w:val="center"/>
              <w:ind w:right="710"/>
              <w:spacing w:after="0"/>
              <w:rPr>
                <w:sz w:val="20"/>
                <w:szCs w:val="20"/>
                <w:color w:val="auto"/>
              </w:rPr>
            </w:pPr>
            <w:r>
              <w:rPr>
                <w:rFonts w:ascii="Arial" w:cs="Arial" w:eastAsia="Arial" w:hAnsi="Arial"/>
                <w:sz w:val="88"/>
                <w:szCs w:val="88"/>
                <w:b w:val="1"/>
                <w:bCs w:val="1"/>
                <w:color w:val="FFFFFF"/>
                <w:w w:val="81"/>
              </w:rPr>
              <w:t>$382M</w:t>
            </w:r>
          </w:p>
        </w:tc>
        <w:tc>
          <w:tcPr>
            <w:tcW w:w="4520" w:type="dxa"/>
            <w:vAlign w:val="bottom"/>
          </w:tcPr>
          <w:p>
            <w:pPr>
              <w:jc w:val="center"/>
              <w:ind w:left="772"/>
              <w:spacing w:after="0"/>
              <w:rPr>
                <w:sz w:val="20"/>
                <w:szCs w:val="20"/>
                <w:color w:val="auto"/>
              </w:rPr>
            </w:pPr>
            <w:r>
              <w:rPr>
                <w:rFonts w:ascii="Arial" w:cs="Arial" w:eastAsia="Arial" w:hAnsi="Arial"/>
                <w:sz w:val="88"/>
                <w:szCs w:val="88"/>
                <w:b w:val="1"/>
                <w:bCs w:val="1"/>
                <w:color w:val="FFFFFF"/>
                <w:w w:val="76"/>
              </w:rPr>
              <w:t>$291M</w:t>
            </w:r>
          </w:p>
        </w:tc>
        <w:tc>
          <w:tcPr>
            <w:tcW w:w="0" w:type="dxa"/>
            <w:vAlign w:val="bottom"/>
          </w:tcPr>
          <w:p>
            <w:pPr>
              <w:spacing w:after="0"/>
              <w:rPr>
                <w:sz w:val="1"/>
                <w:szCs w:val="1"/>
                <w:color w:val="auto"/>
              </w:rPr>
            </w:pPr>
          </w:p>
        </w:tc>
      </w:tr>
      <w:tr>
        <w:trPr>
          <w:trHeight w:val="346"/>
        </w:trPr>
        <w:tc>
          <w:tcPr>
            <w:tcW w:w="4300" w:type="dxa"/>
            <w:vAlign w:val="bottom"/>
            <w:vMerge w:val="restart"/>
          </w:tcPr>
          <w:p>
            <w:pPr>
              <w:jc w:val="center"/>
              <w:ind w:right="710"/>
              <w:spacing w:after="0"/>
              <w:rPr>
                <w:sz w:val="20"/>
                <w:szCs w:val="20"/>
                <w:color w:val="auto"/>
              </w:rPr>
            </w:pPr>
            <w:r>
              <w:rPr>
                <w:rFonts w:ascii="Arial" w:cs="Arial" w:eastAsia="Arial" w:hAnsi="Arial"/>
                <w:sz w:val="28"/>
                <w:szCs w:val="28"/>
                <w:b w:val="1"/>
                <w:bCs w:val="1"/>
                <w:color w:val="3F0004"/>
                <w:w w:val="99"/>
              </w:rPr>
              <w:t>CASH PROVIDED BY</w:t>
            </w:r>
          </w:p>
        </w:tc>
        <w:tc>
          <w:tcPr>
            <w:tcW w:w="4520" w:type="dxa"/>
            <w:vAlign w:val="bottom"/>
          </w:tcPr>
          <w:p>
            <w:pPr>
              <w:jc w:val="center"/>
              <w:ind w:left="772"/>
              <w:spacing w:after="0"/>
              <w:rPr>
                <w:sz w:val="20"/>
                <w:szCs w:val="20"/>
                <w:color w:val="auto"/>
              </w:rPr>
            </w:pPr>
            <w:r>
              <w:rPr>
                <w:rFonts w:ascii="Arial" w:cs="Arial" w:eastAsia="Arial" w:hAnsi="Arial"/>
                <w:sz w:val="28"/>
                <w:szCs w:val="28"/>
                <w:b w:val="1"/>
                <w:bCs w:val="1"/>
                <w:color w:val="3F0004"/>
                <w:w w:val="99"/>
              </w:rPr>
              <w:t>CAPITAL EXPENDITURES</w:t>
            </w:r>
          </w:p>
        </w:tc>
        <w:tc>
          <w:tcPr>
            <w:tcW w:w="0" w:type="dxa"/>
            <w:vAlign w:val="bottom"/>
          </w:tcPr>
          <w:p>
            <w:pPr>
              <w:spacing w:after="0"/>
              <w:rPr>
                <w:sz w:val="1"/>
                <w:szCs w:val="1"/>
                <w:color w:val="auto"/>
              </w:rPr>
            </w:pPr>
          </w:p>
        </w:tc>
      </w:tr>
      <w:tr>
        <w:trPr>
          <w:trHeight w:val="154"/>
        </w:trPr>
        <w:tc>
          <w:tcPr>
            <w:tcW w:w="4300" w:type="dxa"/>
            <w:vAlign w:val="bottom"/>
            <w:vMerge w:val="continue"/>
          </w:tcPr>
          <w:p>
            <w:pPr>
              <w:spacing w:after="0"/>
              <w:rPr>
                <w:sz w:val="13"/>
                <w:szCs w:val="13"/>
                <w:color w:val="auto"/>
              </w:rPr>
            </w:pPr>
          </w:p>
        </w:tc>
        <w:tc>
          <w:tcPr>
            <w:tcW w:w="4520" w:type="dxa"/>
            <w:vAlign w:val="bottom"/>
            <w:vMerge w:val="restart"/>
          </w:tcPr>
          <w:p>
            <w:pPr>
              <w:jc w:val="center"/>
              <w:ind w:left="772"/>
              <w:spacing w:after="0"/>
              <w:rPr>
                <w:sz w:val="20"/>
                <w:szCs w:val="20"/>
                <w:color w:val="auto"/>
              </w:rPr>
            </w:pPr>
            <w:r>
              <w:rPr>
                <w:rFonts w:ascii="Arial" w:cs="Arial" w:eastAsia="Arial" w:hAnsi="Arial"/>
                <w:sz w:val="18"/>
                <w:szCs w:val="18"/>
                <w:color w:val="FFFFFF"/>
              </w:rPr>
              <w:t>including investments in growth projects to</w:t>
            </w:r>
          </w:p>
        </w:tc>
        <w:tc>
          <w:tcPr>
            <w:tcW w:w="0" w:type="dxa"/>
            <w:vAlign w:val="bottom"/>
          </w:tcPr>
          <w:p>
            <w:pPr>
              <w:spacing w:after="0"/>
              <w:rPr>
                <w:sz w:val="1"/>
                <w:szCs w:val="1"/>
                <w:color w:val="auto"/>
              </w:rPr>
            </w:pPr>
          </w:p>
        </w:tc>
      </w:tr>
      <w:tr>
        <w:trPr>
          <w:trHeight w:val="145"/>
        </w:trPr>
        <w:tc>
          <w:tcPr>
            <w:tcW w:w="4300" w:type="dxa"/>
            <w:vAlign w:val="bottom"/>
            <w:vMerge w:val="restart"/>
          </w:tcPr>
          <w:p>
            <w:pPr>
              <w:jc w:val="center"/>
              <w:ind w:right="710"/>
              <w:spacing w:after="0"/>
              <w:rPr>
                <w:sz w:val="20"/>
                <w:szCs w:val="20"/>
                <w:color w:val="auto"/>
              </w:rPr>
            </w:pPr>
            <w:r>
              <w:rPr>
                <w:rFonts w:ascii="Arial" w:cs="Arial" w:eastAsia="Arial" w:hAnsi="Arial"/>
                <w:sz w:val="28"/>
                <w:szCs w:val="28"/>
                <w:b w:val="1"/>
                <w:bCs w:val="1"/>
                <w:color w:val="3F0004"/>
              </w:rPr>
              <w:t>OPERATING ACTIVITIES</w:t>
            </w:r>
          </w:p>
        </w:tc>
        <w:tc>
          <w:tcPr>
            <w:tcW w:w="4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520" w:type="dxa"/>
            <w:vAlign w:val="bottom"/>
          </w:tcPr>
          <w:p>
            <w:pPr>
              <w:jc w:val="center"/>
              <w:ind w:left="772"/>
              <w:spacing w:after="0"/>
              <w:rPr>
                <w:sz w:val="20"/>
                <w:szCs w:val="20"/>
                <w:color w:val="auto"/>
              </w:rPr>
            </w:pPr>
            <w:r>
              <w:rPr>
                <w:rFonts w:ascii="Arial" w:cs="Arial" w:eastAsia="Arial" w:hAnsi="Arial"/>
                <w:sz w:val="18"/>
                <w:szCs w:val="18"/>
                <w:color w:val="FFFFFF"/>
              </w:rPr>
              <w:t>support new product innovation</w:t>
            </w:r>
          </w:p>
        </w:tc>
        <w:tc>
          <w:tcPr>
            <w:tcW w:w="0" w:type="dxa"/>
            <w:vAlign w:val="bottom"/>
          </w:tcPr>
          <w:p>
            <w:pPr>
              <w:spacing w:after="0"/>
              <w:rPr>
                <w:sz w:val="1"/>
                <w:szCs w:val="1"/>
                <w:color w:val="auto"/>
              </w:rPr>
            </w:pPr>
          </w:p>
        </w:tc>
      </w:tr>
      <w:tr>
        <w:trPr>
          <w:trHeight w:val="1361"/>
        </w:trPr>
        <w:tc>
          <w:tcPr>
            <w:tcW w:w="4300" w:type="dxa"/>
            <w:vAlign w:val="bottom"/>
          </w:tcPr>
          <w:p>
            <w:pPr>
              <w:jc w:val="right"/>
              <w:ind w:right="2210"/>
              <w:spacing w:after="0"/>
              <w:rPr>
                <w:sz w:val="20"/>
                <w:szCs w:val="20"/>
                <w:color w:val="auto"/>
              </w:rPr>
            </w:pPr>
            <w:r>
              <w:rPr>
                <w:rFonts w:ascii="Arial" w:cs="Arial" w:eastAsia="Arial" w:hAnsi="Arial"/>
                <w:sz w:val="58"/>
                <w:szCs w:val="58"/>
                <w:b w:val="1"/>
                <w:bCs w:val="1"/>
                <w:color w:val="FFFFFF"/>
              </w:rPr>
              <w:t>3</w:t>
            </w:r>
          </w:p>
        </w:tc>
        <w:tc>
          <w:tcPr>
            <w:tcW w:w="4520" w:type="dxa"/>
            <w:vAlign w:val="bottom"/>
          </w:tcPr>
          <w:p>
            <w:pPr>
              <w:jc w:val="center"/>
              <w:ind w:left="772"/>
              <w:spacing w:after="0"/>
              <w:rPr>
                <w:sz w:val="20"/>
                <w:szCs w:val="20"/>
                <w:color w:val="auto"/>
              </w:rPr>
            </w:pPr>
            <w:r>
              <w:rPr>
                <w:rFonts w:ascii="Arial" w:cs="Arial" w:eastAsia="Arial" w:hAnsi="Arial"/>
                <w:sz w:val="58"/>
                <w:szCs w:val="58"/>
                <w:b w:val="1"/>
                <w:bCs w:val="1"/>
                <w:color w:val="FFFFFF"/>
                <w:w w:val="80"/>
              </w:rPr>
              <w:t>4</w:t>
            </w:r>
          </w:p>
        </w:tc>
        <w:tc>
          <w:tcPr>
            <w:tcW w:w="0" w:type="dxa"/>
            <w:vAlign w:val="bottom"/>
          </w:tcPr>
          <w:p>
            <w:pPr>
              <w:spacing w:after="0"/>
              <w:rPr>
                <w:sz w:val="1"/>
                <w:szCs w:val="1"/>
                <w:color w:val="auto"/>
              </w:rPr>
            </w:pPr>
          </w:p>
        </w:tc>
      </w:tr>
      <w:tr>
        <w:trPr>
          <w:trHeight w:val="1274"/>
        </w:trPr>
        <w:tc>
          <w:tcPr>
            <w:tcW w:w="4300" w:type="dxa"/>
            <w:vAlign w:val="bottom"/>
          </w:tcPr>
          <w:p>
            <w:pPr>
              <w:jc w:val="center"/>
              <w:ind w:right="690"/>
              <w:spacing w:after="0"/>
              <w:rPr>
                <w:sz w:val="20"/>
                <w:szCs w:val="20"/>
                <w:color w:val="auto"/>
              </w:rPr>
            </w:pPr>
            <w:r>
              <w:rPr>
                <w:rFonts w:ascii="Arial" w:cs="Arial" w:eastAsia="Arial" w:hAnsi="Arial"/>
                <w:sz w:val="88"/>
                <w:szCs w:val="88"/>
                <w:b w:val="1"/>
                <w:bCs w:val="1"/>
                <w:color w:val="FFFFFF"/>
                <w:w w:val="78"/>
              </w:rPr>
              <w:t>$78M</w:t>
            </w:r>
          </w:p>
        </w:tc>
        <w:tc>
          <w:tcPr>
            <w:tcW w:w="4520" w:type="dxa"/>
            <w:vAlign w:val="bottom"/>
          </w:tcPr>
          <w:p>
            <w:pPr>
              <w:jc w:val="center"/>
              <w:ind w:left="772"/>
              <w:spacing w:after="0"/>
              <w:rPr>
                <w:sz w:val="20"/>
                <w:szCs w:val="20"/>
                <w:color w:val="auto"/>
              </w:rPr>
            </w:pPr>
            <w:r>
              <w:rPr>
                <w:rFonts w:ascii="Arial" w:cs="Arial" w:eastAsia="Arial" w:hAnsi="Arial"/>
                <w:sz w:val="88"/>
                <w:szCs w:val="88"/>
                <w:b w:val="1"/>
                <w:bCs w:val="1"/>
                <w:color w:val="FFFFFF"/>
                <w:w w:val="75"/>
              </w:rPr>
              <w:t>$61M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-1311275</wp:posOffset>
            </wp:positionV>
            <wp:extent cx="6630670" cy="2035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30670" cy="2035175"/>
                    </a:xfrm>
                    <a:prstGeom prst="rect">
                      <a:avLst/>
                    </a:prstGeom>
                    <a:noFill/>
                  </pic:spPr>
                </pic:pic>
              </a:graphicData>
            </a:graphic>
          </wp:anchor>
        </w:drawing>
      </w:r>
    </w:p>
    <w:p>
      <w:pPr>
        <w:sectPr>
          <w:pgSz w:w="11880" w:h="15480" w:orient="portrait"/>
          <w:cols w:equalWidth="0" w:num="1">
            <w:col w:w="10380"/>
          </w:cols>
          <w:pgMar w:left="720" w:top="1440" w:right="780" w:bottom="505" w:gutter="0" w:footer="0" w:header="0"/>
        </w:sectPr>
      </w:pPr>
    </w:p>
    <w:p>
      <w:pPr>
        <w:spacing w:after="0" w:line="96" w:lineRule="exact"/>
        <w:rPr>
          <w:sz w:val="20"/>
          <w:szCs w:val="20"/>
          <w:color w:val="auto"/>
        </w:rPr>
      </w:pPr>
    </w:p>
    <w:p>
      <w:pPr>
        <w:ind w:left="1140"/>
        <w:spacing w:after="0"/>
        <w:tabs>
          <w:tab w:leader="none" w:pos="6320" w:val="left"/>
        </w:tabs>
        <w:rPr>
          <w:sz w:val="20"/>
          <w:szCs w:val="20"/>
          <w:color w:val="auto"/>
        </w:rPr>
      </w:pPr>
      <w:r>
        <w:rPr>
          <w:rFonts w:ascii="Arial" w:cs="Arial" w:eastAsia="Arial" w:hAnsi="Arial"/>
          <w:sz w:val="28"/>
          <w:szCs w:val="28"/>
          <w:b w:val="1"/>
          <w:bCs w:val="1"/>
          <w:color w:val="3F0004"/>
        </w:rPr>
        <w:t>DIVIDENDS PAID TO</w:t>
      </w:r>
      <w:r>
        <w:rPr>
          <w:sz w:val="20"/>
          <w:szCs w:val="20"/>
          <w:color w:val="auto"/>
        </w:rPr>
        <w:tab/>
      </w:r>
      <w:r>
        <w:rPr>
          <w:rFonts w:ascii="Arial" w:cs="Arial" w:eastAsia="Arial" w:hAnsi="Arial"/>
          <w:sz w:val="27"/>
          <w:szCs w:val="27"/>
          <w:b w:val="1"/>
          <w:bCs w:val="1"/>
          <w:color w:val="3F0004"/>
        </w:rPr>
        <w:t>SHARE REPURCHASES</w:t>
      </w:r>
    </w:p>
    <w:p>
      <w:pPr>
        <w:spacing w:after="0" w:line="14" w:lineRule="exact"/>
        <w:rPr>
          <w:sz w:val="20"/>
          <w:szCs w:val="20"/>
          <w:color w:val="auto"/>
        </w:rPr>
      </w:pPr>
    </w:p>
    <w:p>
      <w:pPr>
        <w:ind w:left="1360"/>
        <w:spacing w:after="0"/>
        <w:rPr>
          <w:sz w:val="20"/>
          <w:szCs w:val="20"/>
          <w:color w:val="auto"/>
        </w:rPr>
      </w:pPr>
      <w:r>
        <w:rPr>
          <w:rFonts w:ascii="Arial" w:cs="Arial" w:eastAsia="Arial" w:hAnsi="Arial"/>
          <w:sz w:val="28"/>
          <w:szCs w:val="28"/>
          <w:b w:val="1"/>
          <w:bCs w:val="1"/>
          <w:color w:val="3F0004"/>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7082790</wp:posOffset>
            </wp:positionH>
            <wp:positionV relativeFrom="paragraph">
              <wp:posOffset>675005</wp:posOffset>
            </wp:positionV>
            <wp:extent cx="4763" cy="4763"/>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675005</wp:posOffset>
            </wp:positionV>
            <wp:extent cx="4763" cy="4763"/>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ectPr>
          <w:pgSz w:w="11880" w:h="15480" w:orient="portrait"/>
          <w:cols w:equalWidth="0" w:num="1">
            <w:col w:w="10380"/>
          </w:cols>
          <w:pgMar w:left="720" w:top="1440" w:right="780" w:bottom="505"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4631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543800" cy="46316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6100"/>
        <w:spacing w:after="0"/>
        <w:rPr>
          <w:sz w:val="20"/>
          <w:szCs w:val="20"/>
          <w:color w:val="auto"/>
        </w:rPr>
      </w:pPr>
      <w:r>
        <w:rPr>
          <w:rFonts w:ascii="Arial" w:cs="Arial" w:eastAsia="Arial" w:hAnsi="Arial"/>
          <w:sz w:val="65"/>
          <w:szCs w:val="65"/>
          <w:b w:val="1"/>
          <w:bCs w:val="1"/>
          <w:color w:val="FFFFFF"/>
        </w:rPr>
        <w:t>IMAGE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2891790</wp:posOffset>
            </wp:positionV>
            <wp:extent cx="7543800" cy="5141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543800" cy="5141595"/>
                    </a:xfrm>
                    <a:prstGeom prst="rect">
                      <a:avLst/>
                    </a:prstGeom>
                    <a:noFill/>
                  </pic:spPr>
                </pic:pic>
              </a:graphicData>
            </a:graphic>
          </wp:anchor>
        </w:drawing>
      </w:r>
    </w:p>
    <w:p>
      <w:pPr>
        <w:sectPr>
          <w:pgSz w:w="11880" w:h="15480" w:orient="portrait"/>
          <w:cols w:equalWidth="0" w:num="1">
            <w:col w:w="9000"/>
          </w:cols>
          <w:pgMar w:left="1440" w:top="1440" w:right="1440" w:bottom="1440" w:gutter="0" w:footer="0" w:header="0"/>
        </w:sectPr>
      </w:pPr>
    </w:p>
    <w:bookmarkStart w:id="12" w:name="page13"/>
    <w:bookmarkEnd w:id="12"/>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1897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543800" cy="1897380"/>
                    </a:xfrm>
                    <a:prstGeom prst="rect">
                      <a:avLst/>
                    </a:prstGeom>
                    <a:noFill/>
                  </pic:spPr>
                </pic:pic>
              </a:graphicData>
            </a:graphic>
          </wp:anchor>
        </w:drawing>
      </w:r>
    </w:p>
    <w:p>
      <w:pPr>
        <w:spacing w:after="0"/>
        <w:rPr>
          <w:sz w:val="20"/>
          <w:szCs w:val="20"/>
          <w:color w:val="auto"/>
        </w:rPr>
      </w:pPr>
      <w:r>
        <w:rPr>
          <w:rFonts w:ascii="Arial" w:cs="Arial" w:eastAsia="Arial" w:hAnsi="Arial"/>
          <w:sz w:val="56"/>
          <w:szCs w:val="56"/>
          <w:b w:val="1"/>
          <w:bCs w:val="1"/>
          <w:color w:val="FFFFFF"/>
        </w:rPr>
        <w:t>SUSTAINABILITY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80"/>
        <w:spacing w:after="0" w:line="262" w:lineRule="auto"/>
        <w:rPr>
          <w:sz w:val="20"/>
          <w:szCs w:val="20"/>
          <w:color w:val="auto"/>
        </w:rPr>
      </w:pPr>
      <w:r>
        <w:rPr>
          <w:rFonts w:ascii="Arial" w:cs="Arial" w:eastAsia="Arial" w:hAnsi="Arial"/>
          <w:sz w:val="24"/>
          <w:szCs w:val="24"/>
          <w:color w:val="3F0004"/>
        </w:rPr>
        <w:t>We are proud that the foundation of LP’s strategy is a sustainable and responsible business model. LP remains committed to helping address the challenges of housing undersupply and affordability while also delivering meaningful economic benefits and being a responsible corporate citizen in the communities where we operate.</w:t>
      </w:r>
    </w:p>
    <w:p>
      <w:pPr>
        <w:spacing w:after="0" w:line="26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SAFETY</w:t>
      </w:r>
    </w:p>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20"/>
          <w:szCs w:val="20"/>
          <w:color w:val="404040"/>
        </w:rPr>
        <w:t>Safety is a core value at LP, and we are dedicated to fostering a safe work environment for all our team members. Several LP mills achieved significant safety milestones in 2025, helping us add to our collection of industry safety awards. However, we understand that safety is a race with no finish line, and LP remains focused on continually strengthening our practices so that every team member works safely, every single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6626225" cy="2407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26225" cy="2407285"/>
                    </a:xfrm>
                    <a:prstGeom prst="rect">
                      <a:avLst/>
                    </a:prstGeom>
                    <a:noFill/>
                  </pic:spPr>
                </pic:pic>
              </a:graphicData>
            </a:graphic>
          </wp:anchor>
        </w:drawing>
      </w:r>
    </w:p>
    <w:p>
      <w:pPr>
        <w:spacing w:after="0" w:line="267" w:lineRule="exact"/>
        <w:rPr>
          <w:sz w:val="20"/>
          <w:szCs w:val="20"/>
          <w:color w:val="auto"/>
        </w:rPr>
      </w:pPr>
    </w:p>
    <w:p>
      <w:pPr>
        <w:ind w:left="560"/>
        <w:spacing w:after="0"/>
        <w:tabs>
          <w:tab w:leader="none" w:pos="4040" w:val="left"/>
          <w:tab w:leader="none" w:pos="7620" w:val="left"/>
        </w:tabs>
        <w:rPr>
          <w:sz w:val="20"/>
          <w:szCs w:val="20"/>
          <w:color w:val="auto"/>
        </w:rPr>
      </w:pPr>
      <w:r>
        <w:rPr>
          <w:rFonts w:ascii="Arial" w:cs="Arial" w:eastAsia="Arial" w:hAnsi="Arial"/>
          <w:sz w:val="58"/>
          <w:szCs w:val="58"/>
          <w:b w:val="1"/>
          <w:bCs w:val="1"/>
          <w:color w:val="FFFFFF"/>
        </w:rPr>
        <w:t>1</w:t>
      </w:r>
      <w:r>
        <w:rPr>
          <w:sz w:val="20"/>
          <w:szCs w:val="20"/>
          <w:color w:val="auto"/>
        </w:rPr>
        <w:tab/>
      </w:r>
      <w:r>
        <w:rPr>
          <w:rFonts w:ascii="Arial" w:cs="Arial" w:eastAsia="Arial" w:hAnsi="Arial"/>
          <w:sz w:val="58"/>
          <w:szCs w:val="58"/>
          <w:b w:val="1"/>
          <w:bCs w:val="1"/>
          <w:color w:val="FFFFFF"/>
        </w:rPr>
        <w:t>2</w:t>
      </w:r>
      <w:r>
        <w:rPr>
          <w:sz w:val="20"/>
          <w:szCs w:val="20"/>
          <w:color w:val="auto"/>
        </w:rPr>
        <w:tab/>
      </w:r>
      <w:r>
        <w:rPr>
          <w:rFonts w:ascii="Arial" w:cs="Arial" w:eastAsia="Arial" w:hAnsi="Arial"/>
          <w:sz w:val="46"/>
          <w:szCs w:val="46"/>
          <w:b w:val="1"/>
          <w:bCs w:val="1"/>
          <w:color w:val="FFFFFF"/>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40" w:type="dxa"/>
        <w:tblCellMar>
          <w:top w:w="0" w:type="dxa"/>
          <w:left w:w="0" w:type="dxa"/>
          <w:bottom w:w="0" w:type="dxa"/>
          <w:right w:w="0" w:type="dxa"/>
        </w:tblCellMar>
      </w:tblPr>
      <w:tr>
        <w:trPr>
          <w:trHeight w:val="517"/>
        </w:trPr>
        <w:tc>
          <w:tcPr>
            <w:tcW w:w="3100" w:type="dxa"/>
            <w:vAlign w:val="bottom"/>
            <w:vMerge w:val="restart"/>
          </w:tcPr>
          <w:p>
            <w:pPr>
              <w:spacing w:after="0"/>
              <w:rPr>
                <w:sz w:val="20"/>
                <w:szCs w:val="20"/>
                <w:color w:val="auto"/>
              </w:rPr>
            </w:pPr>
            <w:r>
              <w:rPr>
                <w:rFonts w:ascii="Arial" w:cs="Arial" w:eastAsia="Arial" w:hAnsi="Arial"/>
                <w:sz w:val="88"/>
                <w:szCs w:val="88"/>
                <w:b w:val="1"/>
                <w:bCs w:val="1"/>
                <w:color w:val="FFFFFF"/>
              </w:rPr>
              <w:t>0.62</w:t>
            </w:r>
          </w:p>
        </w:tc>
        <w:tc>
          <w:tcPr>
            <w:tcW w:w="3660" w:type="dxa"/>
            <w:vAlign w:val="bottom"/>
          </w:tcPr>
          <w:p>
            <w:pPr>
              <w:ind w:left="440"/>
              <w:spacing w:after="0"/>
              <w:rPr>
                <w:sz w:val="20"/>
                <w:szCs w:val="20"/>
                <w:color w:val="auto"/>
              </w:rPr>
            </w:pPr>
            <w:r>
              <w:rPr>
                <w:rFonts w:ascii="Arial" w:cs="Arial" w:eastAsia="Arial" w:hAnsi="Arial"/>
                <w:sz w:val="44"/>
                <w:szCs w:val="44"/>
                <w:b w:val="1"/>
                <w:bCs w:val="1"/>
                <w:color w:val="FFFFFF"/>
                <w:w w:val="80"/>
              </w:rPr>
              <w:t>SAFESTCOMPANY</w:t>
            </w:r>
          </w:p>
        </w:tc>
        <w:tc>
          <w:tcPr>
            <w:tcW w:w="3200" w:type="dxa"/>
            <w:vAlign w:val="bottom"/>
          </w:tcPr>
          <w:p>
            <w:pPr>
              <w:ind w:left="360"/>
              <w:spacing w:after="0"/>
              <w:rPr>
                <w:sz w:val="20"/>
                <w:szCs w:val="20"/>
                <w:color w:val="auto"/>
              </w:rPr>
            </w:pPr>
            <w:r>
              <w:rPr>
                <w:rFonts w:ascii="Arial" w:cs="Arial" w:eastAsia="Arial" w:hAnsi="Arial"/>
                <w:sz w:val="36"/>
                <w:szCs w:val="36"/>
                <w:b w:val="1"/>
                <w:bCs w:val="1"/>
                <w:color w:val="FFFFFF"/>
              </w:rPr>
              <w:t>10SAFETYAND</w:t>
            </w:r>
          </w:p>
        </w:tc>
        <w:tc>
          <w:tcPr>
            <w:tcW w:w="0" w:type="dxa"/>
            <w:vAlign w:val="bottom"/>
          </w:tcPr>
          <w:p>
            <w:pPr>
              <w:spacing w:after="0"/>
              <w:rPr>
                <w:sz w:val="1"/>
                <w:szCs w:val="1"/>
                <w:color w:val="auto"/>
              </w:rPr>
            </w:pPr>
          </w:p>
        </w:tc>
      </w:tr>
      <w:tr>
        <w:trPr>
          <w:trHeight w:val="546"/>
        </w:trPr>
        <w:tc>
          <w:tcPr>
            <w:tcW w:w="3100" w:type="dxa"/>
            <w:vAlign w:val="bottom"/>
            <w:vMerge w:val="continue"/>
          </w:tcPr>
          <w:p>
            <w:pPr>
              <w:spacing w:after="0"/>
              <w:rPr>
                <w:sz w:val="24"/>
                <w:szCs w:val="24"/>
                <w:color w:val="auto"/>
              </w:rPr>
            </w:pPr>
          </w:p>
        </w:tc>
        <w:tc>
          <w:tcPr>
            <w:tcW w:w="3660" w:type="dxa"/>
            <w:vAlign w:val="bottom"/>
          </w:tcPr>
          <w:p>
            <w:pPr>
              <w:ind w:left="440"/>
              <w:spacing w:after="0"/>
              <w:rPr>
                <w:sz w:val="20"/>
                <w:szCs w:val="20"/>
                <w:color w:val="auto"/>
              </w:rPr>
            </w:pPr>
            <w:r>
              <w:rPr>
                <w:rFonts w:ascii="Arial" w:cs="Arial" w:eastAsia="Arial" w:hAnsi="Arial"/>
                <w:sz w:val="44"/>
                <w:szCs w:val="44"/>
                <w:b w:val="1"/>
                <w:bCs w:val="1"/>
                <w:color w:val="FFFFFF"/>
              </w:rPr>
              <w:t>AWARD</w:t>
            </w:r>
          </w:p>
        </w:tc>
        <w:tc>
          <w:tcPr>
            <w:tcW w:w="3200" w:type="dxa"/>
            <w:vAlign w:val="bottom"/>
          </w:tcPr>
          <w:p>
            <w:pPr>
              <w:ind w:left="360"/>
              <w:spacing w:after="0"/>
              <w:rPr>
                <w:sz w:val="20"/>
                <w:szCs w:val="20"/>
                <w:color w:val="auto"/>
              </w:rPr>
            </w:pPr>
            <w:r>
              <w:rPr>
                <w:rFonts w:ascii="Arial" w:cs="Arial" w:eastAsia="Arial" w:hAnsi="Arial"/>
                <w:sz w:val="36"/>
                <w:szCs w:val="36"/>
                <w:b w:val="1"/>
                <w:bCs w:val="1"/>
                <w:color w:val="FFFFFF"/>
                <w:w w:val="91"/>
              </w:rPr>
              <w:t>HEALTHAWARDS</w:t>
            </w:r>
          </w:p>
        </w:tc>
        <w:tc>
          <w:tcPr>
            <w:tcW w:w="0" w:type="dxa"/>
            <w:vAlign w:val="bottom"/>
          </w:tcPr>
          <w:p>
            <w:pPr>
              <w:spacing w:after="0"/>
              <w:rPr>
                <w:sz w:val="1"/>
                <w:szCs w:val="1"/>
                <w:color w:val="auto"/>
              </w:rPr>
            </w:pPr>
          </w:p>
        </w:tc>
      </w:tr>
      <w:tr>
        <w:trPr>
          <w:trHeight w:val="399"/>
        </w:trPr>
        <w:tc>
          <w:tcPr>
            <w:tcW w:w="3100" w:type="dxa"/>
            <w:vAlign w:val="bottom"/>
          </w:tcPr>
          <w:p>
            <w:pPr>
              <w:spacing w:after="0"/>
              <w:rPr>
                <w:sz w:val="20"/>
                <w:szCs w:val="20"/>
                <w:color w:val="auto"/>
              </w:rPr>
            </w:pPr>
            <w:r>
              <w:rPr>
                <w:rFonts w:ascii="Arial" w:cs="Arial" w:eastAsia="Arial" w:hAnsi="Arial"/>
                <w:sz w:val="24"/>
                <w:szCs w:val="24"/>
                <w:b w:val="1"/>
                <w:bCs w:val="1"/>
                <w:color w:val="D30049"/>
              </w:rPr>
              <w:t>INDUSTRY-LEADING</w:t>
            </w:r>
          </w:p>
        </w:tc>
        <w:tc>
          <w:tcPr>
            <w:tcW w:w="3660" w:type="dxa"/>
            <w:vAlign w:val="bottom"/>
          </w:tcPr>
          <w:p>
            <w:pPr>
              <w:ind w:left="440"/>
              <w:spacing w:after="0"/>
              <w:rPr>
                <w:sz w:val="20"/>
                <w:szCs w:val="20"/>
                <w:color w:val="auto"/>
              </w:rPr>
            </w:pPr>
            <w:r>
              <w:rPr>
                <w:rFonts w:ascii="Arial" w:cs="Arial" w:eastAsia="Arial" w:hAnsi="Arial"/>
                <w:sz w:val="24"/>
                <w:szCs w:val="24"/>
                <w:b w:val="1"/>
                <w:bCs w:val="1"/>
                <w:color w:val="D30049"/>
              </w:rPr>
              <w:t>APA</w:t>
            </w:r>
            <w:r>
              <w:rPr>
                <w:rFonts w:ascii="Arial" w:cs="Arial" w:eastAsia="Arial" w:hAnsi="Arial"/>
                <w:sz w:val="24"/>
                <w:szCs w:val="24"/>
                <w:color w:val="D30049"/>
              </w:rPr>
              <w:t>—</w:t>
            </w:r>
            <w:r>
              <w:rPr>
                <w:rFonts w:ascii="Arial" w:cs="Arial" w:eastAsia="Arial" w:hAnsi="Arial"/>
                <w:sz w:val="24"/>
                <w:szCs w:val="24"/>
                <w:b w:val="1"/>
                <w:bCs w:val="1"/>
                <w:color w:val="D30049"/>
              </w:rPr>
              <w:t>THE ENGINEERED</w:t>
            </w:r>
          </w:p>
        </w:tc>
        <w:tc>
          <w:tcPr>
            <w:tcW w:w="3200" w:type="dxa"/>
            <w:vAlign w:val="bottom"/>
          </w:tcPr>
          <w:p>
            <w:pPr>
              <w:ind w:left="360"/>
              <w:spacing w:after="0"/>
              <w:rPr>
                <w:sz w:val="20"/>
                <w:szCs w:val="20"/>
                <w:color w:val="auto"/>
              </w:rPr>
            </w:pPr>
            <w:r>
              <w:rPr>
                <w:rFonts w:ascii="Arial" w:cs="Arial" w:eastAsia="Arial" w:hAnsi="Arial"/>
                <w:sz w:val="24"/>
                <w:szCs w:val="24"/>
                <w:b w:val="1"/>
                <w:bCs w:val="1"/>
                <w:color w:val="D30049"/>
                <w:w w:val="97"/>
              </w:rPr>
              <w:t>APA</w:t>
            </w:r>
            <w:r>
              <w:rPr>
                <w:rFonts w:ascii="Arial" w:cs="Arial" w:eastAsia="Arial" w:hAnsi="Arial"/>
                <w:sz w:val="24"/>
                <w:szCs w:val="24"/>
                <w:color w:val="D30049"/>
                <w:w w:val="97"/>
              </w:rPr>
              <w:t>—</w:t>
            </w:r>
            <w:r>
              <w:rPr>
                <w:rFonts w:ascii="Arial" w:cs="Arial" w:eastAsia="Arial" w:hAnsi="Arial"/>
                <w:sz w:val="24"/>
                <w:szCs w:val="24"/>
                <w:b w:val="1"/>
                <w:bCs w:val="1"/>
                <w:color w:val="D30049"/>
                <w:w w:val="97"/>
              </w:rPr>
              <w:t>THE ENGINEERED</w:t>
            </w:r>
          </w:p>
        </w:tc>
        <w:tc>
          <w:tcPr>
            <w:tcW w:w="0" w:type="dxa"/>
            <w:vAlign w:val="bottom"/>
          </w:tcPr>
          <w:p>
            <w:pPr>
              <w:spacing w:after="0"/>
              <w:rPr>
                <w:sz w:val="1"/>
                <w:szCs w:val="1"/>
                <w:color w:val="auto"/>
              </w:rPr>
            </w:pPr>
          </w:p>
        </w:tc>
      </w:tr>
      <w:tr>
        <w:trPr>
          <w:trHeight w:val="314"/>
        </w:trPr>
        <w:tc>
          <w:tcPr>
            <w:tcW w:w="3100" w:type="dxa"/>
            <w:vAlign w:val="bottom"/>
          </w:tcPr>
          <w:p>
            <w:pPr>
              <w:spacing w:after="0"/>
              <w:rPr>
                <w:sz w:val="20"/>
                <w:szCs w:val="20"/>
                <w:color w:val="auto"/>
              </w:rPr>
            </w:pPr>
            <w:r>
              <w:rPr>
                <w:rFonts w:ascii="Arial" w:cs="Arial" w:eastAsia="Arial" w:hAnsi="Arial"/>
                <w:sz w:val="24"/>
                <w:szCs w:val="24"/>
                <w:b w:val="1"/>
                <w:bCs w:val="1"/>
                <w:color w:val="D30049"/>
              </w:rPr>
              <w:t>TOTAL INCIDENT RATE</w:t>
            </w:r>
          </w:p>
        </w:tc>
        <w:tc>
          <w:tcPr>
            <w:tcW w:w="3660" w:type="dxa"/>
            <w:vAlign w:val="bottom"/>
          </w:tcPr>
          <w:p>
            <w:pPr>
              <w:ind w:left="440"/>
              <w:spacing w:after="0"/>
              <w:rPr>
                <w:sz w:val="20"/>
                <w:szCs w:val="20"/>
                <w:color w:val="auto"/>
              </w:rPr>
            </w:pPr>
            <w:r>
              <w:rPr>
                <w:rFonts w:ascii="Arial" w:cs="Arial" w:eastAsia="Arial" w:hAnsi="Arial"/>
                <w:sz w:val="24"/>
                <w:szCs w:val="24"/>
                <w:b w:val="1"/>
                <w:bCs w:val="1"/>
                <w:color w:val="D30049"/>
              </w:rPr>
              <w:t>WOOD ASSOCIATION</w:t>
            </w:r>
          </w:p>
        </w:tc>
        <w:tc>
          <w:tcPr>
            <w:tcW w:w="3200" w:type="dxa"/>
            <w:vAlign w:val="bottom"/>
          </w:tcPr>
          <w:p>
            <w:pPr>
              <w:ind w:left="360"/>
              <w:spacing w:after="0"/>
              <w:rPr>
                <w:sz w:val="20"/>
                <w:szCs w:val="20"/>
                <w:color w:val="auto"/>
              </w:rPr>
            </w:pPr>
            <w:r>
              <w:rPr>
                <w:rFonts w:ascii="Arial" w:cs="Arial" w:eastAsia="Arial" w:hAnsi="Arial"/>
                <w:sz w:val="24"/>
                <w:szCs w:val="24"/>
                <w:b w:val="1"/>
                <w:bCs w:val="1"/>
                <w:color w:val="D30049"/>
              </w:rPr>
              <w:t>WOOD ASSOCIATION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ENVIRONMENTAL STEWARDSHIP</w:t>
      </w:r>
    </w:p>
    <w:p>
      <w:pPr>
        <w:spacing w:after="0" w:line="310" w:lineRule="exact"/>
        <w:rPr>
          <w:sz w:val="20"/>
          <w:szCs w:val="20"/>
          <w:color w:val="auto"/>
        </w:rPr>
      </w:pPr>
    </w:p>
    <w:p>
      <w:pPr>
        <w:ind w:right="100"/>
        <w:spacing w:after="0" w:line="293" w:lineRule="auto"/>
        <w:rPr>
          <w:sz w:val="20"/>
          <w:szCs w:val="20"/>
          <w:color w:val="auto"/>
        </w:rPr>
      </w:pPr>
      <w:r>
        <w:rPr>
          <w:rFonts w:ascii="Arial" w:cs="Arial" w:eastAsia="Arial" w:hAnsi="Arial"/>
          <w:sz w:val="20"/>
          <w:szCs w:val="20"/>
          <w:color w:val="404040"/>
        </w:rPr>
        <w:t>At LP, our work goes beyond pioneering cutting-edge products—we are Building a Better World™. Through innovation and expertise, we strive to engineer solutions that make a lasting impact and set the standard for environmental stewardship. Sustainability is central to our strategy, guiding everything from responsible sourcing and operational efficiency to community engagement and accountability.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404040"/>
        </w:rPr>
        <w:t>We believe that LP</w:t>
      </w:r>
      <w:r>
        <w:rPr>
          <w:rFonts w:ascii="Arial" w:cs="Arial" w:eastAsia="Arial" w:hAnsi="Arial"/>
          <w:sz w:val="11"/>
          <w:szCs w:val="11"/>
          <w:color w:val="404040"/>
        </w:rPr>
        <w:t>®</w:t>
      </w:r>
      <w:r>
        <w:rPr>
          <w:rFonts w:ascii="Arial" w:cs="Arial" w:eastAsia="Arial" w:hAnsi="Arial"/>
          <w:sz w:val="20"/>
          <w:szCs w:val="20"/>
          <w:color w:val="404040"/>
        </w:rPr>
        <w:t xml:space="preserve"> SmartSide</w:t>
      </w:r>
      <w:r>
        <w:rPr>
          <w:rFonts w:ascii="Arial" w:cs="Arial" w:eastAsia="Arial" w:hAnsi="Arial"/>
          <w:sz w:val="11"/>
          <w:szCs w:val="11"/>
          <w:color w:val="404040"/>
        </w:rPr>
        <w:t>®</w:t>
      </w:r>
      <w:r>
        <w:rPr>
          <w:rFonts w:ascii="Arial" w:cs="Arial" w:eastAsia="Arial" w:hAnsi="Arial"/>
          <w:sz w:val="20"/>
          <w:szCs w:val="20"/>
          <w:color w:val="404040"/>
        </w:rPr>
        <w:t xml:space="preserve"> Trim &amp; Siding is one of the most sustainable siding products available.</w:t>
      </w:r>
    </w:p>
    <w:p>
      <w:pPr>
        <w:spacing w:after="0" w:line="230" w:lineRule="exact"/>
        <w:rPr>
          <w:sz w:val="20"/>
          <w:szCs w:val="20"/>
          <w:color w:val="auto"/>
        </w:rPr>
      </w:pPr>
    </w:p>
    <w:p>
      <w:pPr>
        <w:spacing w:after="0" w:line="293" w:lineRule="auto"/>
        <w:rPr>
          <w:sz w:val="20"/>
          <w:szCs w:val="20"/>
          <w:color w:val="auto"/>
        </w:rPr>
      </w:pPr>
      <w:r>
        <w:rPr>
          <w:rFonts w:ascii="Arial" w:cs="Arial" w:eastAsia="Arial" w:hAnsi="Arial"/>
          <w:sz w:val="20"/>
          <w:szCs w:val="20"/>
          <w:color w:val="404040"/>
        </w:rPr>
        <w:t>One hundred percent of the natural wood fiber we use to make LP</w:t>
      </w:r>
      <w:r>
        <w:rPr>
          <w:rFonts w:ascii="Arial" w:cs="Arial" w:eastAsia="Arial" w:hAnsi="Arial"/>
          <w:sz w:val="11"/>
          <w:szCs w:val="11"/>
          <w:color w:val="404040"/>
        </w:rPr>
        <w:t>®</w:t>
      </w:r>
      <w:r>
        <w:rPr>
          <w:rFonts w:ascii="Arial" w:cs="Arial" w:eastAsia="Arial" w:hAnsi="Arial"/>
          <w:sz w:val="20"/>
          <w:szCs w:val="20"/>
          <w:color w:val="404040"/>
        </w:rPr>
        <w:t xml:space="preserve"> products is sourced through rigorous certification systems, such as Sustainable Forestry Initiative</w:t>
      </w:r>
      <w:r>
        <w:rPr>
          <w:rFonts w:ascii="Arial" w:cs="Arial" w:eastAsia="Arial" w:hAnsi="Arial"/>
          <w:sz w:val="11"/>
          <w:szCs w:val="11"/>
          <w:color w:val="404040"/>
        </w:rPr>
        <w:t>®</w:t>
      </w:r>
      <w:r>
        <w:rPr>
          <w:rFonts w:ascii="Arial" w:cs="Arial" w:eastAsia="Arial" w:hAnsi="Arial"/>
          <w:sz w:val="20"/>
          <w:szCs w:val="20"/>
          <w:color w:val="404040"/>
        </w:rPr>
        <w:t xml:space="preserve"> standards in North America and the Programme for the Endorsement of Forest Certification in South America. We utilize this valuable and renewable natural resource responsibly and efficiently, converting 99% of each log into finished products or renewable energy. We believe responsible forest management is essential to the long-term health of forests, communities, and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7082790</wp:posOffset>
            </wp:positionH>
            <wp:positionV relativeFrom="paragraph">
              <wp:posOffset>406400</wp:posOffset>
            </wp:positionV>
            <wp:extent cx="4763" cy="4763"/>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406400</wp:posOffset>
            </wp:positionV>
            <wp:extent cx="4763" cy="4763"/>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ectPr>
          <w:pgSz w:w="11880" w:h="15480" w:orient="portrait"/>
          <w:cols w:equalWidth="0" w:num="1">
            <w:col w:w="10300"/>
          </w:cols>
          <w:pgMar w:left="720" w:top="1440" w:right="860" w:bottom="82"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4197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543800" cy="419735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6100"/>
        <w:spacing w:after="0"/>
        <w:rPr>
          <w:sz w:val="20"/>
          <w:szCs w:val="20"/>
          <w:color w:val="auto"/>
        </w:rPr>
      </w:pPr>
      <w:r>
        <w:rPr>
          <w:rFonts w:ascii="Arial" w:cs="Arial" w:eastAsia="Arial" w:hAnsi="Arial"/>
          <w:sz w:val="65"/>
          <w:szCs w:val="65"/>
          <w:b w:val="1"/>
          <w:bCs w:val="1"/>
          <w:color w:val="FFFFFF"/>
        </w:rPr>
        <w:t>IMAGE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2457450</wp:posOffset>
            </wp:positionV>
            <wp:extent cx="7543800" cy="55759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543800" cy="5575935"/>
                    </a:xfrm>
                    <a:prstGeom prst="rect">
                      <a:avLst/>
                    </a:prstGeom>
                    <a:noFill/>
                  </pic:spPr>
                </pic:pic>
              </a:graphicData>
            </a:graphic>
          </wp:anchor>
        </w:drawing>
      </w:r>
    </w:p>
    <w:p>
      <w:pPr>
        <w:sectPr>
          <w:pgSz w:w="11880" w:h="15480" w:orient="portrait"/>
          <w:cols w:equalWidth="0" w:num="1">
            <w:col w:w="9000"/>
          </w:cols>
          <w:pgMar w:left="1440" w:top="1440" w:right="1440" w:bottom="1440" w:gutter="0" w:footer="0" w:header="0"/>
        </w:sectPr>
      </w:pPr>
    </w:p>
    <w:bookmarkStart w:id="14" w:name="page15"/>
    <w:bookmarkEnd w:id="14"/>
    <w:p>
      <w:pP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7539990</wp:posOffset>
            </wp:positionH>
            <wp:positionV relativeFrom="page">
              <wp:posOffset>0</wp:posOffset>
            </wp:positionV>
            <wp:extent cx="4763" cy="4763"/>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4763" cy="4763"/>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63" cy="4763"/>
                    </a:xfrm>
                    <a:prstGeom prst="rect">
                      <a:avLst/>
                    </a:prstGeom>
                    <a:noFill/>
                  </pic:spPr>
                </pic:pic>
              </a:graphicData>
            </a:graphic>
          </wp:anchor>
        </w:drawing>
        <w:t>COMMUNITY IMPACT</w:t>
      </w:r>
    </w:p>
    <w:p>
      <w:pPr>
        <w:spacing w:after="0" w:line="310" w:lineRule="exact"/>
        <w:rPr>
          <w:sz w:val="20"/>
          <w:szCs w:val="20"/>
          <w:color w:val="auto"/>
        </w:rPr>
      </w:pPr>
    </w:p>
    <w:p>
      <w:pPr>
        <w:ind w:right="120"/>
        <w:spacing w:after="0" w:line="296" w:lineRule="auto"/>
        <w:rPr>
          <w:sz w:val="20"/>
          <w:szCs w:val="20"/>
          <w:color w:val="auto"/>
        </w:rPr>
      </w:pPr>
      <w:r>
        <w:rPr>
          <w:rFonts w:ascii="Arial" w:cs="Arial" w:eastAsia="Arial" w:hAnsi="Arial"/>
          <w:sz w:val="20"/>
          <w:szCs w:val="20"/>
          <w:color w:val="404040"/>
        </w:rPr>
        <w:t>LP’s growth, innovation, and value creation are made possible by the pride, creativity, and dedication of our 4,300 team members.</w:t>
      </w:r>
    </w:p>
    <w:p>
      <w:pPr>
        <w:spacing w:after="0" w:line="173" w:lineRule="exact"/>
        <w:rPr>
          <w:sz w:val="20"/>
          <w:szCs w:val="20"/>
          <w:color w:val="auto"/>
        </w:rPr>
      </w:pPr>
    </w:p>
    <w:p>
      <w:pPr>
        <w:spacing w:after="0" w:line="294" w:lineRule="auto"/>
        <w:rPr>
          <w:sz w:val="20"/>
          <w:szCs w:val="20"/>
          <w:color w:val="auto"/>
        </w:rPr>
      </w:pPr>
      <w:r>
        <w:rPr>
          <w:rFonts w:ascii="Arial" w:cs="Arial" w:eastAsia="Arial" w:hAnsi="Arial"/>
          <w:sz w:val="20"/>
          <w:szCs w:val="20"/>
          <w:color w:val="404040"/>
        </w:rPr>
        <w:t>LP plays an important role in building sustainable, thriving communities by providing rewarding careers and supporting local businesses. As one of the largest employers in the regions where we operate, we are committed to strengthening local economies and contributing to long-term prosperity.</w:t>
      </w:r>
    </w:p>
    <w:p>
      <w:pPr>
        <w:spacing w:after="0" w:line="175" w:lineRule="exact"/>
        <w:rPr>
          <w:sz w:val="20"/>
          <w:szCs w:val="20"/>
          <w:color w:val="auto"/>
        </w:rPr>
      </w:pPr>
    </w:p>
    <w:p>
      <w:pPr>
        <w:jc w:val="both"/>
        <w:ind w:right="200"/>
        <w:spacing w:after="0" w:line="294" w:lineRule="auto"/>
        <w:rPr>
          <w:sz w:val="20"/>
          <w:szCs w:val="20"/>
          <w:color w:val="auto"/>
        </w:rPr>
      </w:pPr>
      <w:r>
        <w:rPr>
          <w:rFonts w:ascii="Arial" w:cs="Arial" w:eastAsia="Arial" w:hAnsi="Arial"/>
          <w:sz w:val="20"/>
          <w:szCs w:val="20"/>
          <w:color w:val="404040"/>
        </w:rPr>
        <w:t>In the communities we call home, LP provides funding, resources, and volunteer support to initiatives that reflect our mission and values, with a focus on economic vitality, skill development, and community well-being. Through these efforts, we aim to create a lasting positive impact where our team members live and work.</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404040"/>
        </w:rPr>
        <w:t xml:space="preserve">To learn more, please read our </w:t>
      </w:r>
      <w:r>
        <w:rPr>
          <w:rFonts w:ascii="Arial" w:cs="Arial" w:eastAsia="Arial" w:hAnsi="Arial"/>
          <w:sz w:val="20"/>
          <w:szCs w:val="20"/>
          <w:u w:val="single" w:color="auto"/>
          <w:color w:val="440005"/>
        </w:rPr>
        <w:t>2025 Sustainability Report</w:t>
      </w:r>
      <w:r>
        <w:rPr>
          <w:rFonts w:ascii="Arial" w:cs="Arial" w:eastAsia="Arial" w:hAnsi="Arial"/>
          <w:sz w:val="20"/>
          <w:szCs w:val="20"/>
          <w:color w:val="40404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201295</wp:posOffset>
            </wp:positionV>
            <wp:extent cx="7543800" cy="6629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543800" cy="6629400"/>
                    </a:xfrm>
                    <a:prstGeom prst="rect">
                      <a:avLst/>
                    </a:prstGeom>
                    <a:noFill/>
                  </pic:spPr>
                </pic:pic>
              </a:graphicData>
            </a:graphic>
          </wp:anchor>
        </w:drawing>
      </w:r>
    </w:p>
    <w:p>
      <w:pPr>
        <w:sectPr>
          <w:pgSz w:w="11880" w:h="15480" w:orient="portrait"/>
          <w:cols w:equalWidth="0" w:num="1">
            <w:col w:w="10360"/>
          </w:cols>
          <w:pgMar w:left="720" w:top="1057" w:right="800"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rFonts w:ascii="Arial" w:cs="Arial" w:eastAsia="Arial" w:hAnsi="Arial"/>
          <w:sz w:val="36"/>
          <w:szCs w:val="36"/>
          <w:b w:val="1"/>
          <w:bCs w:val="1"/>
          <w:color w:val="auto"/>
        </w:rPr>
        <mc:AlternateContent>
          <mc:Choice Requires="wps">
            <w:drawing>
              <wp:anchor simplePos="0" relativeHeight="251657728" behindDoc="1" locked="0" layoutInCell="0" allowOverlap="1">
                <wp:simplePos x="0" y="0"/>
                <wp:positionH relativeFrom="page">
                  <wp:posOffset>661670</wp:posOffset>
                </wp:positionH>
                <wp:positionV relativeFrom="page">
                  <wp:posOffset>800100</wp:posOffset>
                </wp:positionV>
                <wp:extent cx="621982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9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1pt,63pt" to="541.85pt,63pt" o:allowincell="f" strokecolor="#000000" strokeweight="1pt">
                <w10:wrap anchorx="page" anchory="page"/>
              </v:line>
            </w:pict>
          </mc:Fallback>
        </mc:AlternateContent>
        <w:t>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-137795</wp:posOffset>
                </wp:positionH>
                <wp:positionV relativeFrom="paragraph">
                  <wp:posOffset>-246380</wp:posOffset>
                </wp:positionV>
                <wp:extent cx="621919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91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499pt,-19.3999pt" to="478.85pt,-19.3999pt" o:allowincell="f" strokecolor="#000000" strokeweight="1pt"/>
            </w:pict>
          </mc:Fallback>
        </mc:AlternateContent>
      </w:r>
    </w:p>
    <w:p>
      <w:pPr>
        <w:jc w:val="center"/>
        <w:spacing w:after="0"/>
        <w:rPr>
          <w:sz w:val="20"/>
          <w:szCs w:val="20"/>
          <w:color w:val="auto"/>
        </w:rPr>
      </w:pPr>
      <w:r>
        <w:rPr>
          <w:rFonts w:ascii="Arial" w:cs="Arial" w:eastAsia="Arial" w:hAnsi="Arial"/>
          <w:sz w:val="36"/>
          <w:szCs w:val="36"/>
          <w:b w:val="1"/>
          <w:bCs w:val="1"/>
          <w:color w:val="auto"/>
        </w:rPr>
        <w:t>SECURITIES AND EXCHANGE COMMISSION</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1699895</wp:posOffset>
                </wp:positionH>
                <wp:positionV relativeFrom="paragraph">
                  <wp:posOffset>98425</wp:posOffset>
                </wp:positionV>
                <wp:extent cx="254317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3.85pt,7.75pt" to="334.1pt,7.75pt" o:allowincell="f" strokecolor="#000000" strokeweight="1pt"/>
            </w:pict>
          </mc:Fallback>
        </mc:AlternateConten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FORM 10-K</w:t>
      </w:r>
    </w:p>
    <w:p>
      <w:pPr>
        <w:spacing w:after="0" w:line="120" w:lineRule="exact"/>
        <w:rPr>
          <w:sz w:val="20"/>
          <w:szCs w:val="20"/>
          <w:color w:val="auto"/>
        </w:rPr>
      </w:pPr>
    </w:p>
    <w:p>
      <w:pPr>
        <w:jc w:val="center"/>
        <w:spacing w:after="0" w:line="276" w:lineRule="auto"/>
        <w:rPr>
          <w:sz w:val="20"/>
          <w:szCs w:val="20"/>
          <w:color w:val="auto"/>
        </w:rPr>
      </w:pPr>
      <w:r>
        <w:rPr>
          <w:rFonts w:ascii="Arial" w:cs="Arial" w:eastAsia="Arial" w:hAnsi="Arial"/>
          <w:sz w:val="20"/>
          <w:szCs w:val="20"/>
          <w:b w:val="1"/>
          <w:bCs w:val="1"/>
          <w:color w:val="auto"/>
        </w:rPr>
        <w:t xml:space="preserve">x </w:t>
      </w:r>
      <w:r>
        <w:rPr>
          <w:rFonts w:ascii="Arial" w:cs="Arial" w:eastAsia="Arial" w:hAnsi="Arial"/>
          <w:sz w:val="24"/>
          <w:szCs w:val="24"/>
          <w:b w:val="1"/>
          <w:bCs w:val="1"/>
          <w:color w:val="auto"/>
        </w:rPr>
        <w:t>ANNUAL REPORT PURSUANT TO SECTION 13 OR 15(d) OF THE SECURITIES</w:t>
      </w:r>
      <w:r>
        <w:rPr>
          <w:rFonts w:ascii="Arial" w:cs="Arial" w:eastAsia="Arial" w:hAnsi="Arial"/>
          <w:sz w:val="20"/>
          <w:szCs w:val="20"/>
          <w:b w:val="1"/>
          <w:bCs w:val="1"/>
          <w:color w:val="auto"/>
        </w:rPr>
        <w:t xml:space="preserve"> </w:t>
      </w:r>
      <w:r>
        <w:rPr>
          <w:rFonts w:ascii="Arial" w:cs="Arial" w:eastAsia="Arial" w:hAnsi="Arial"/>
          <w:sz w:val="24"/>
          <w:szCs w:val="24"/>
          <w:b w:val="1"/>
          <w:bCs w:val="1"/>
          <w:color w:val="auto"/>
        </w:rPr>
        <w:t>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 the Fiscal Year Ended December 31, 2025</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56" w:lineRule="exact"/>
        <w:rPr>
          <w:sz w:val="20"/>
          <w:szCs w:val="20"/>
          <w:color w:val="auto"/>
        </w:rPr>
      </w:pPr>
    </w:p>
    <w:p>
      <w:pPr>
        <w:ind w:left="2480" w:right="600" w:hanging="1871"/>
        <w:spacing w:after="0" w:line="282" w:lineRule="auto"/>
        <w:tabs>
          <w:tab w:leader="none" w:pos="986" w:val="left"/>
        </w:tabs>
        <w:numPr>
          <w:ilvl w:val="0"/>
          <w:numId w:val="1"/>
        </w:numPr>
        <w:rPr>
          <w:rFonts w:ascii="Arial" w:cs="Arial" w:eastAsia="Arial" w:hAnsi="Arial"/>
          <w:sz w:val="20"/>
          <w:szCs w:val="20"/>
          <w:b w:val="1"/>
          <w:bCs w:val="1"/>
          <w:color w:val="auto"/>
        </w:rPr>
      </w:pPr>
      <w:r>
        <w:rPr>
          <w:rFonts w:ascii="Arial" w:cs="Arial" w:eastAsia="Arial" w:hAnsi="Arial"/>
          <w:sz w:val="24"/>
          <w:szCs w:val="24"/>
          <w:b w:val="1"/>
          <w:bCs w:val="1"/>
          <w:color w:val="auto"/>
        </w:rPr>
        <w:t>TRANSITION REPORT PURSUANT TO SECTION 13 OR 15(d) OF THE SECURITIES EXCHANGE ACT OF 1934</w:t>
      </w:r>
    </w:p>
    <w:p>
      <w:pPr>
        <w:spacing w:after="0" w:line="1" w:lineRule="exact"/>
        <w:rPr>
          <w:sz w:val="20"/>
          <w:szCs w:val="20"/>
          <w:color w:val="auto"/>
        </w:rPr>
      </w:pPr>
    </w:p>
    <w:p>
      <w:pPr>
        <w:jc w:val="center"/>
        <w:spacing w:after="0"/>
        <w:tabs>
          <w:tab w:leader="none" w:pos="32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 xml:space="preserve">Commission File Number </w:t>
      </w:r>
      <w:r>
        <w:rPr>
          <w:rFonts w:ascii="Arial" w:cs="Arial" w:eastAsia="Arial" w:hAnsi="Arial"/>
          <w:sz w:val="20"/>
          <w:szCs w:val="20"/>
          <w:b w:val="1"/>
          <w:bCs w:val="1"/>
          <w:color w:val="auto"/>
        </w:rPr>
        <w:t>1-7107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1699895</wp:posOffset>
                </wp:positionH>
                <wp:positionV relativeFrom="paragraph">
                  <wp:posOffset>123825</wp:posOffset>
                </wp:positionV>
                <wp:extent cx="254317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3.85pt,9.75pt" to="334.1pt,9.75pt" o:allowincell="f" strokecolor="#000000" strokeweight="1pt"/>
            </w:pict>
          </mc:Fallback>
        </mc:AlternateConten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48"/>
          <w:szCs w:val="48"/>
          <w:b w:val="1"/>
          <w:bCs w:val="1"/>
          <w:color w:val="auto"/>
        </w:rPr>
        <w:t>LOUISIANA-PACIFIC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1699895</wp:posOffset>
                </wp:positionH>
                <wp:positionV relativeFrom="paragraph">
                  <wp:posOffset>78105</wp:posOffset>
                </wp:positionV>
                <wp:extent cx="254317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3.85pt,6.15pt" to="334.1pt,6.15pt" o:allowincell="f" strokecolor="#000000" strokeweight="1pt"/>
            </w:pict>
          </mc:Fallback>
        </mc:AlternateContent>
      </w:r>
    </w:p>
    <w:p>
      <w:pPr>
        <w:spacing w:after="0" w:line="353"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3200" w:type="dxa"/>
            <w:vAlign w:val="bottom"/>
            <w:gridSpan w:val="3"/>
          </w:tcPr>
          <w:p>
            <w:pPr>
              <w:jc w:val="center"/>
              <w:ind w:right="1920"/>
              <w:spacing w:after="0"/>
              <w:rPr>
                <w:sz w:val="20"/>
                <w:szCs w:val="20"/>
                <w:color w:val="auto"/>
              </w:rPr>
            </w:pPr>
            <w:r>
              <w:rPr>
                <w:rFonts w:ascii="Arial" w:cs="Arial" w:eastAsia="Arial" w:hAnsi="Arial"/>
                <w:sz w:val="20"/>
                <w:szCs w:val="20"/>
                <w:b w:val="1"/>
                <w:bCs w:val="1"/>
                <w:color w:val="auto"/>
                <w:w w:val="91"/>
              </w:rPr>
              <w:t>Delaware</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0" w:type="dxa"/>
            <w:vAlign w:val="bottom"/>
            <w:gridSpan w:val="3"/>
          </w:tcPr>
          <w:p>
            <w:pPr>
              <w:jc w:val="right"/>
              <w:ind w:right="740"/>
              <w:spacing w:after="0"/>
              <w:rPr>
                <w:sz w:val="20"/>
                <w:szCs w:val="20"/>
                <w:color w:val="auto"/>
              </w:rPr>
            </w:pPr>
            <w:r>
              <w:rPr>
                <w:rFonts w:ascii="Arial" w:cs="Arial" w:eastAsia="Arial" w:hAnsi="Arial"/>
                <w:sz w:val="20"/>
                <w:szCs w:val="20"/>
                <w:b w:val="1"/>
                <w:bCs w:val="1"/>
                <w:color w:val="auto"/>
              </w:rPr>
              <w:t>93-0609074</w:t>
            </w:r>
          </w:p>
        </w:tc>
        <w:tc>
          <w:tcPr>
            <w:tcW w:w="0" w:type="dxa"/>
            <w:vAlign w:val="bottom"/>
          </w:tcPr>
          <w:p>
            <w:pPr>
              <w:spacing w:after="0"/>
              <w:rPr>
                <w:sz w:val="1"/>
                <w:szCs w:val="1"/>
                <w:color w:val="auto"/>
              </w:rPr>
            </w:pPr>
          </w:p>
        </w:tc>
      </w:tr>
      <w:tr>
        <w:trPr>
          <w:trHeight w:val="232"/>
        </w:trPr>
        <w:tc>
          <w:tcPr>
            <w:tcW w:w="3740" w:type="dxa"/>
            <w:vAlign w:val="bottom"/>
            <w:gridSpan w:val="3"/>
          </w:tcPr>
          <w:p>
            <w:pPr>
              <w:jc w:val="center"/>
              <w:ind w:right="1000"/>
              <w:spacing w:after="0"/>
              <w:rPr>
                <w:sz w:val="20"/>
                <w:szCs w:val="20"/>
                <w:color w:val="auto"/>
              </w:rPr>
            </w:pPr>
            <w:r>
              <w:rPr>
                <w:rFonts w:ascii="Arial" w:cs="Arial" w:eastAsia="Arial" w:hAnsi="Arial"/>
                <w:sz w:val="16"/>
                <w:szCs w:val="16"/>
                <w:b w:val="1"/>
                <w:bCs w:val="1"/>
                <w:color w:val="auto"/>
                <w:w w:val="92"/>
              </w:rPr>
              <w:t>(State of Incorporation)</w:t>
            </w:r>
          </w:p>
        </w:tc>
        <w:tc>
          <w:tcPr>
            <w:tcW w:w="140" w:type="dxa"/>
            <w:vAlign w:val="bottom"/>
            <w:shd w:val="clear" w:color="auto" w:fill="2E2E2E"/>
          </w:tcPr>
          <w:p>
            <w:pPr>
              <w:spacing w:after="0"/>
              <w:rPr>
                <w:sz w:val="20"/>
                <w:szCs w:val="20"/>
                <w:color w:val="auto"/>
              </w:rPr>
            </w:pPr>
          </w:p>
        </w:tc>
        <w:tc>
          <w:tcPr>
            <w:tcW w:w="1120" w:type="dxa"/>
            <w:vAlign w:val="bottom"/>
            <w:shd w:val="clear" w:color="auto" w:fill="2E2E2E"/>
          </w:tcPr>
          <w:p>
            <w:pPr>
              <w:spacing w:after="0"/>
              <w:rPr>
                <w:sz w:val="20"/>
                <w:szCs w:val="20"/>
                <w:color w:val="auto"/>
              </w:rPr>
            </w:pPr>
          </w:p>
        </w:tc>
        <w:tc>
          <w:tcPr>
            <w:tcW w:w="180" w:type="dxa"/>
            <w:vAlign w:val="bottom"/>
            <w:shd w:val="clear" w:color="auto" w:fill="2E2E2E"/>
          </w:tcPr>
          <w:p>
            <w:pPr>
              <w:spacing w:after="0"/>
              <w:rPr>
                <w:sz w:val="20"/>
                <w:szCs w:val="20"/>
                <w:color w:val="auto"/>
              </w:rPr>
            </w:pPr>
          </w:p>
        </w:tc>
        <w:tc>
          <w:tcPr>
            <w:tcW w:w="1200" w:type="dxa"/>
            <w:vAlign w:val="bottom"/>
          </w:tcPr>
          <w:p>
            <w:pPr>
              <w:spacing w:after="0"/>
              <w:rPr>
                <w:sz w:val="20"/>
                <w:szCs w:val="20"/>
                <w:color w:val="auto"/>
              </w:rPr>
            </w:pPr>
          </w:p>
        </w:tc>
        <w:tc>
          <w:tcPr>
            <w:tcW w:w="24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4"/>
              </w:rPr>
              <w:t>(I.R.S. Employer</w:t>
            </w: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shd w:val="clear" w:color="auto" w:fill="2E2E2E"/>
          </w:tcPr>
          <w:p>
            <w:pPr>
              <w:spacing w:after="0"/>
              <w:rPr>
                <w:sz w:val="18"/>
                <w:szCs w:val="18"/>
                <w:color w:val="auto"/>
              </w:rPr>
            </w:pPr>
          </w:p>
        </w:tc>
        <w:tc>
          <w:tcPr>
            <w:tcW w:w="1120" w:type="dxa"/>
            <w:vAlign w:val="bottom"/>
            <w:shd w:val="clear" w:color="auto" w:fill="2E2E2E"/>
          </w:tcPr>
          <w:p>
            <w:pPr>
              <w:spacing w:after="0"/>
              <w:rPr>
                <w:sz w:val="18"/>
                <w:szCs w:val="18"/>
                <w:color w:val="auto"/>
              </w:rPr>
            </w:pPr>
          </w:p>
        </w:tc>
        <w:tc>
          <w:tcPr>
            <w:tcW w:w="180" w:type="dxa"/>
            <w:vAlign w:val="bottom"/>
            <w:shd w:val="clear" w:color="auto" w:fill="2E2E2E"/>
          </w:tcPr>
          <w:p>
            <w:pPr>
              <w:spacing w:after="0"/>
              <w:rPr>
                <w:sz w:val="18"/>
                <w:szCs w:val="18"/>
                <w:color w:val="auto"/>
              </w:rPr>
            </w:pPr>
          </w:p>
        </w:tc>
        <w:tc>
          <w:tcPr>
            <w:tcW w:w="1200" w:type="dxa"/>
            <w:vAlign w:val="bottom"/>
          </w:tcPr>
          <w:p>
            <w:pPr>
              <w:spacing w:after="0"/>
              <w:rPr>
                <w:sz w:val="18"/>
                <w:szCs w:val="18"/>
                <w:color w:val="auto"/>
              </w:rPr>
            </w:pPr>
          </w:p>
        </w:tc>
        <w:tc>
          <w:tcPr>
            <w:tcW w:w="24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1"/>
              </w:rPr>
              <w:t>Identification No.)</w:t>
            </w:r>
          </w:p>
        </w:tc>
        <w:tc>
          <w:tcPr>
            <w:tcW w:w="0" w:type="dxa"/>
            <w:vAlign w:val="bottom"/>
          </w:tcPr>
          <w:p>
            <w:pPr>
              <w:spacing w:after="0"/>
              <w:rPr>
                <w:sz w:val="1"/>
                <w:szCs w:val="1"/>
                <w:color w:val="auto"/>
              </w:rPr>
            </w:pPr>
          </w:p>
        </w:tc>
      </w:tr>
      <w:tr>
        <w:trPr>
          <w:trHeight w:val="284"/>
        </w:trPr>
        <w:tc>
          <w:tcPr>
            <w:tcW w:w="3740" w:type="dxa"/>
            <w:vAlign w:val="bottom"/>
            <w:gridSpan w:val="3"/>
          </w:tcPr>
          <w:p>
            <w:pPr>
              <w:jc w:val="center"/>
              <w:ind w:right="1000"/>
              <w:spacing w:after="0"/>
              <w:rPr>
                <w:sz w:val="20"/>
                <w:szCs w:val="20"/>
                <w:color w:val="auto"/>
              </w:rPr>
            </w:pPr>
            <w:r>
              <w:rPr>
                <w:rFonts w:ascii="Arial" w:cs="Arial" w:eastAsia="Arial" w:hAnsi="Arial"/>
                <w:sz w:val="20"/>
                <w:szCs w:val="20"/>
                <w:b w:val="1"/>
                <w:bCs w:val="1"/>
                <w:color w:val="auto"/>
                <w:w w:val="90"/>
              </w:rPr>
              <w:t>1610 West End Ave. Suite 200</w:t>
            </w:r>
          </w:p>
        </w:tc>
        <w:tc>
          <w:tcPr>
            <w:tcW w:w="140" w:type="dxa"/>
            <w:vAlign w:val="bottom"/>
            <w:shd w:val="clear" w:color="auto" w:fill="2E2E2E"/>
          </w:tcPr>
          <w:p>
            <w:pPr>
              <w:spacing w:after="0"/>
              <w:rPr>
                <w:sz w:val="24"/>
                <w:szCs w:val="24"/>
                <w:color w:val="auto"/>
              </w:rPr>
            </w:pPr>
          </w:p>
        </w:tc>
        <w:tc>
          <w:tcPr>
            <w:tcW w:w="1120" w:type="dxa"/>
            <w:vAlign w:val="bottom"/>
            <w:shd w:val="clear" w:color="auto" w:fill="2E2E2E"/>
          </w:tcPr>
          <w:p>
            <w:pPr>
              <w:spacing w:after="0"/>
              <w:rPr>
                <w:sz w:val="24"/>
                <w:szCs w:val="24"/>
                <w:color w:val="auto"/>
              </w:rPr>
            </w:pPr>
          </w:p>
        </w:tc>
        <w:tc>
          <w:tcPr>
            <w:tcW w:w="180" w:type="dxa"/>
            <w:vAlign w:val="bottom"/>
            <w:shd w:val="clear" w:color="auto" w:fill="2E2E2E"/>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740" w:type="dxa"/>
            <w:vAlign w:val="bottom"/>
            <w:gridSpan w:val="3"/>
          </w:tcPr>
          <w:p>
            <w:pPr>
              <w:jc w:val="center"/>
              <w:ind w:right="1000"/>
              <w:spacing w:after="0"/>
              <w:rPr>
                <w:sz w:val="20"/>
                <w:szCs w:val="20"/>
                <w:color w:val="auto"/>
              </w:rPr>
            </w:pPr>
            <w:r>
              <w:rPr>
                <w:rFonts w:ascii="Arial" w:cs="Arial" w:eastAsia="Arial" w:hAnsi="Arial"/>
                <w:sz w:val="20"/>
                <w:szCs w:val="20"/>
                <w:b w:val="1"/>
                <w:bCs w:val="1"/>
                <w:color w:val="auto"/>
                <w:w w:val="92"/>
              </w:rPr>
              <w:t>Nashville TN 37203</w:t>
            </w:r>
          </w:p>
        </w:tc>
        <w:tc>
          <w:tcPr>
            <w:tcW w:w="140" w:type="dxa"/>
            <w:vAlign w:val="bottom"/>
            <w:shd w:val="clear" w:color="auto" w:fill="2E2E2E"/>
          </w:tcPr>
          <w:p>
            <w:pPr>
              <w:spacing w:after="0"/>
              <w:rPr>
                <w:sz w:val="24"/>
                <w:szCs w:val="24"/>
                <w:color w:val="auto"/>
              </w:rPr>
            </w:pPr>
          </w:p>
        </w:tc>
        <w:tc>
          <w:tcPr>
            <w:tcW w:w="1120" w:type="dxa"/>
            <w:vAlign w:val="bottom"/>
            <w:shd w:val="clear" w:color="auto" w:fill="2E2E2E"/>
          </w:tcPr>
          <w:p>
            <w:pPr>
              <w:spacing w:after="0"/>
              <w:rPr>
                <w:sz w:val="24"/>
                <w:szCs w:val="24"/>
                <w:color w:val="auto"/>
              </w:rPr>
            </w:pPr>
          </w:p>
        </w:tc>
        <w:tc>
          <w:tcPr>
            <w:tcW w:w="180" w:type="dxa"/>
            <w:vAlign w:val="bottom"/>
            <w:shd w:val="clear" w:color="auto" w:fill="2E2E2E"/>
          </w:tcPr>
          <w:p>
            <w:pPr>
              <w:spacing w:after="0"/>
              <w:rPr>
                <w:sz w:val="24"/>
                <w:szCs w:val="24"/>
                <w:color w:val="auto"/>
              </w:rPr>
            </w:pPr>
          </w:p>
        </w:tc>
        <w:tc>
          <w:tcPr>
            <w:tcW w:w="1200" w:type="dxa"/>
            <w:vAlign w:val="bottom"/>
          </w:tcPr>
          <w:p>
            <w:pPr>
              <w:spacing w:after="0"/>
              <w:rPr>
                <w:sz w:val="24"/>
                <w:szCs w:val="24"/>
                <w:color w:val="auto"/>
              </w:rPr>
            </w:pPr>
          </w:p>
        </w:tc>
        <w:tc>
          <w:tcPr>
            <w:tcW w:w="2400" w:type="dxa"/>
            <w:vAlign w:val="bottom"/>
            <w:gridSpan w:val="3"/>
          </w:tcPr>
          <w:p>
            <w:pPr>
              <w:jc w:val="right"/>
              <w:ind w:right="540"/>
              <w:spacing w:after="0"/>
              <w:rPr>
                <w:sz w:val="20"/>
                <w:szCs w:val="20"/>
                <w:color w:val="auto"/>
              </w:rPr>
            </w:pPr>
            <w:r>
              <w:rPr>
                <w:rFonts w:ascii="Arial" w:cs="Arial" w:eastAsia="Arial" w:hAnsi="Arial"/>
                <w:sz w:val="20"/>
                <w:szCs w:val="20"/>
                <w:b w:val="1"/>
                <w:bCs w:val="1"/>
                <w:color w:val="auto"/>
              </w:rPr>
              <w:t>(615) 986 - 5600</w:t>
            </w:r>
          </w:p>
        </w:tc>
        <w:tc>
          <w:tcPr>
            <w:tcW w:w="0" w:type="dxa"/>
            <w:vAlign w:val="bottom"/>
          </w:tcPr>
          <w:p>
            <w:pPr>
              <w:spacing w:after="0"/>
              <w:rPr>
                <w:sz w:val="1"/>
                <w:szCs w:val="1"/>
                <w:color w:val="auto"/>
              </w:rPr>
            </w:pPr>
          </w:p>
        </w:tc>
      </w:tr>
      <w:tr>
        <w:trPr>
          <w:trHeight w:val="194"/>
        </w:trPr>
        <w:tc>
          <w:tcPr>
            <w:tcW w:w="3740" w:type="dxa"/>
            <w:vAlign w:val="bottom"/>
            <w:gridSpan w:val="3"/>
          </w:tcPr>
          <w:p>
            <w:pPr>
              <w:jc w:val="center"/>
              <w:ind w:right="1000"/>
              <w:spacing w:after="0"/>
              <w:rPr>
                <w:sz w:val="20"/>
                <w:szCs w:val="20"/>
                <w:color w:val="auto"/>
              </w:rPr>
            </w:pPr>
            <w:r>
              <w:rPr>
                <w:rFonts w:ascii="Arial" w:cs="Arial" w:eastAsia="Arial" w:hAnsi="Arial"/>
                <w:sz w:val="16"/>
                <w:szCs w:val="16"/>
                <w:b w:val="1"/>
                <w:bCs w:val="1"/>
                <w:color w:val="auto"/>
                <w:w w:val="88"/>
              </w:rPr>
              <w:t>(Address of principal executive offices)</w:t>
            </w:r>
          </w:p>
        </w:tc>
        <w:tc>
          <w:tcPr>
            <w:tcW w:w="140" w:type="dxa"/>
            <w:vAlign w:val="bottom"/>
            <w:shd w:val="clear" w:color="auto" w:fill="797979"/>
          </w:tcPr>
          <w:p>
            <w:pPr>
              <w:spacing w:after="0"/>
              <w:rPr>
                <w:sz w:val="16"/>
                <w:szCs w:val="16"/>
                <w:color w:val="auto"/>
              </w:rPr>
            </w:pPr>
          </w:p>
        </w:tc>
        <w:tc>
          <w:tcPr>
            <w:tcW w:w="1120" w:type="dxa"/>
            <w:vAlign w:val="bottom"/>
            <w:shd w:val="clear" w:color="auto" w:fill="797979"/>
          </w:tcPr>
          <w:p>
            <w:pPr>
              <w:spacing w:after="0"/>
              <w:rPr>
                <w:sz w:val="16"/>
                <w:szCs w:val="16"/>
                <w:color w:val="auto"/>
              </w:rPr>
            </w:pPr>
          </w:p>
        </w:tc>
        <w:tc>
          <w:tcPr>
            <w:tcW w:w="180" w:type="dxa"/>
            <w:vAlign w:val="bottom"/>
            <w:shd w:val="clear" w:color="auto" w:fill="797979"/>
          </w:tcPr>
          <w:p>
            <w:pPr>
              <w:spacing w:after="0"/>
              <w:rPr>
                <w:sz w:val="16"/>
                <w:szCs w:val="16"/>
                <w:color w:val="auto"/>
              </w:rPr>
            </w:pPr>
          </w:p>
        </w:tc>
        <w:tc>
          <w:tcPr>
            <w:tcW w:w="1200" w:type="dxa"/>
            <w:vAlign w:val="bottom"/>
          </w:tcPr>
          <w:p>
            <w:pPr>
              <w:spacing w:after="0"/>
              <w:rPr>
                <w:sz w:val="16"/>
                <w:szCs w:val="16"/>
                <w:color w:val="auto"/>
              </w:rPr>
            </w:pPr>
          </w:p>
        </w:tc>
        <w:tc>
          <w:tcPr>
            <w:tcW w:w="24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(Registrant’s telephone number</w:t>
            </w: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9"/>
              </w:rPr>
              <w:t>including area code)</w:t>
            </w:r>
          </w:p>
        </w:tc>
        <w:tc>
          <w:tcPr>
            <w:tcW w:w="0" w:type="dxa"/>
            <w:vAlign w:val="bottom"/>
          </w:tcPr>
          <w:p>
            <w:pPr>
              <w:spacing w:after="0"/>
              <w:rPr>
                <w:sz w:val="1"/>
                <w:szCs w:val="1"/>
                <w:color w:val="auto"/>
              </w:rPr>
            </w:pPr>
          </w:p>
        </w:tc>
      </w:tr>
      <w:tr>
        <w:trPr>
          <w:trHeight w:val="388"/>
        </w:trPr>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20" w:type="dxa"/>
            <w:vAlign w:val="bottom"/>
            <w:gridSpan w:val="8"/>
          </w:tcPr>
          <w:p>
            <w:pPr>
              <w:jc w:val="center"/>
              <w:ind w:right="1860"/>
              <w:spacing w:after="0"/>
              <w:rPr>
                <w:sz w:val="20"/>
                <w:szCs w:val="20"/>
                <w:color w:val="auto"/>
              </w:rPr>
            </w:pPr>
            <w:r>
              <w:rPr>
                <w:rFonts w:ascii="Arial" w:cs="Arial" w:eastAsia="Arial" w:hAnsi="Arial"/>
                <w:sz w:val="20"/>
                <w:szCs w:val="20"/>
                <w:b w:val="1"/>
                <w:bCs w:val="1"/>
                <w:color w:val="auto"/>
                <w:w w:val="88"/>
              </w:rPr>
              <w:t>Securities registered pursuant to Section 12(b) of the Act:</w:t>
            </w:r>
          </w:p>
        </w:tc>
        <w:tc>
          <w:tcPr>
            <w:tcW w:w="0" w:type="dxa"/>
            <w:vAlign w:val="bottom"/>
          </w:tcPr>
          <w:p>
            <w:pPr>
              <w:spacing w:after="0"/>
              <w:rPr>
                <w:sz w:val="1"/>
                <w:szCs w:val="1"/>
                <w:color w:val="auto"/>
              </w:rPr>
            </w:pPr>
          </w:p>
        </w:tc>
      </w:tr>
      <w:tr>
        <w:trPr>
          <w:trHeight w:val="339"/>
        </w:trPr>
        <w:tc>
          <w:tcPr>
            <w:tcW w:w="680" w:type="dxa"/>
            <w:vAlign w:val="bottom"/>
          </w:tcPr>
          <w:p>
            <w:pPr>
              <w:spacing w:after="0"/>
              <w:rPr>
                <w:sz w:val="24"/>
                <w:szCs w:val="24"/>
                <w:color w:val="auto"/>
              </w:rPr>
            </w:pPr>
          </w:p>
        </w:tc>
        <w:tc>
          <w:tcPr>
            <w:tcW w:w="3200" w:type="dxa"/>
            <w:vAlign w:val="bottom"/>
            <w:gridSpan w:val="3"/>
            <w:vMerge w:val="restart"/>
          </w:tcPr>
          <w:p>
            <w:pPr>
              <w:jc w:val="center"/>
              <w:ind w:right="1920"/>
              <w:spacing w:after="0"/>
              <w:rPr>
                <w:sz w:val="20"/>
                <w:szCs w:val="20"/>
                <w:color w:val="auto"/>
              </w:rPr>
            </w:pPr>
            <w:r>
              <w:rPr>
                <w:rFonts w:ascii="Arial" w:cs="Arial" w:eastAsia="Arial" w:hAnsi="Arial"/>
                <w:sz w:val="16"/>
                <w:szCs w:val="16"/>
                <w:b w:val="1"/>
                <w:bCs w:val="1"/>
                <w:color w:val="auto"/>
                <w:w w:val="89"/>
              </w:rPr>
              <w:t>Title of Each Class</w:t>
            </w:r>
          </w:p>
        </w:tc>
        <w:tc>
          <w:tcPr>
            <w:tcW w:w="2500" w:type="dxa"/>
            <w:vAlign w:val="bottom"/>
            <w:gridSpan w:val="3"/>
            <w:vMerge w:val="restart"/>
          </w:tcPr>
          <w:p>
            <w:pPr>
              <w:jc w:val="center"/>
              <w:ind w:right="1380"/>
              <w:spacing w:after="0"/>
              <w:rPr>
                <w:sz w:val="20"/>
                <w:szCs w:val="20"/>
                <w:color w:val="auto"/>
              </w:rPr>
            </w:pPr>
            <w:r>
              <w:rPr>
                <w:rFonts w:ascii="Arial" w:cs="Arial" w:eastAsia="Arial" w:hAnsi="Arial"/>
                <w:sz w:val="16"/>
                <w:szCs w:val="16"/>
                <w:b w:val="1"/>
                <w:bCs w:val="1"/>
                <w:color w:val="auto"/>
                <w:w w:val="92"/>
              </w:rPr>
              <w:t>Trading Symbol</w:t>
            </w:r>
          </w:p>
        </w:tc>
        <w:tc>
          <w:tcPr>
            <w:tcW w:w="24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w w:val="89"/>
              </w:rPr>
              <w:t>Name of Each Exchange on Which</w:t>
            </w:r>
          </w:p>
        </w:tc>
        <w:tc>
          <w:tcPr>
            <w:tcW w:w="0" w:type="dxa"/>
            <w:vAlign w:val="bottom"/>
          </w:tcPr>
          <w:p>
            <w:pPr>
              <w:spacing w:after="0"/>
              <w:rPr>
                <w:sz w:val="1"/>
                <w:szCs w:val="1"/>
                <w:color w:val="auto"/>
              </w:rPr>
            </w:pPr>
          </w:p>
        </w:tc>
      </w:tr>
      <w:tr>
        <w:trPr>
          <w:trHeight w:val="140"/>
        </w:trPr>
        <w:tc>
          <w:tcPr>
            <w:tcW w:w="680" w:type="dxa"/>
            <w:vAlign w:val="bottom"/>
          </w:tcPr>
          <w:p>
            <w:pPr>
              <w:spacing w:after="0"/>
              <w:rPr>
                <w:sz w:val="12"/>
                <w:szCs w:val="12"/>
                <w:color w:val="auto"/>
              </w:rPr>
            </w:pPr>
          </w:p>
        </w:tc>
        <w:tc>
          <w:tcPr>
            <w:tcW w:w="3200" w:type="dxa"/>
            <w:vAlign w:val="bottom"/>
            <w:gridSpan w:val="3"/>
            <w:vMerge w:val="continue"/>
          </w:tcPr>
          <w:p>
            <w:pPr>
              <w:spacing w:after="0"/>
              <w:rPr>
                <w:sz w:val="12"/>
                <w:szCs w:val="12"/>
                <w:color w:val="auto"/>
              </w:rPr>
            </w:pPr>
          </w:p>
        </w:tc>
        <w:tc>
          <w:tcPr>
            <w:tcW w:w="250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580" w:type="dxa"/>
            <w:vAlign w:val="bottom"/>
            <w:gridSpan w:val="2"/>
          </w:tcPr>
          <w:p>
            <w:pPr>
              <w:jc w:val="center"/>
              <w:ind w:right="860"/>
              <w:spacing w:after="0" w:line="140" w:lineRule="exact"/>
              <w:rPr>
                <w:sz w:val="20"/>
                <w:szCs w:val="20"/>
                <w:color w:val="auto"/>
              </w:rPr>
            </w:pPr>
            <w:r>
              <w:rPr>
                <w:rFonts w:ascii="Arial" w:cs="Arial" w:eastAsia="Arial" w:hAnsi="Arial"/>
                <w:sz w:val="16"/>
                <w:szCs w:val="16"/>
                <w:b w:val="1"/>
                <w:bCs w:val="1"/>
                <w:color w:val="auto"/>
                <w:w w:val="87"/>
              </w:rPr>
              <w:t>Registered</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3880" w:type="dxa"/>
            <w:vAlign w:val="bottom"/>
            <w:gridSpan w:val="4"/>
          </w:tcPr>
          <w:p>
            <w:pPr>
              <w:jc w:val="center"/>
              <w:ind w:right="1240"/>
              <w:spacing w:after="0"/>
              <w:rPr>
                <w:sz w:val="20"/>
                <w:szCs w:val="20"/>
                <w:color w:val="auto"/>
              </w:rPr>
            </w:pPr>
            <w:r>
              <w:rPr>
                <w:rFonts w:ascii="Arial" w:cs="Arial" w:eastAsia="Arial" w:hAnsi="Arial"/>
                <w:sz w:val="20"/>
                <w:szCs w:val="20"/>
                <w:color w:val="auto"/>
                <w:w w:val="89"/>
              </w:rPr>
              <w:t>Common Stock, $1 par value</w:t>
            </w:r>
          </w:p>
        </w:tc>
        <w:tc>
          <w:tcPr>
            <w:tcW w:w="2500" w:type="dxa"/>
            <w:vAlign w:val="bottom"/>
            <w:gridSpan w:val="3"/>
          </w:tcPr>
          <w:p>
            <w:pPr>
              <w:jc w:val="center"/>
              <w:ind w:right="1380"/>
              <w:spacing w:after="0"/>
              <w:rPr>
                <w:sz w:val="20"/>
                <w:szCs w:val="20"/>
                <w:color w:val="auto"/>
              </w:rPr>
            </w:pPr>
            <w:r>
              <w:rPr>
                <w:rFonts w:ascii="Arial" w:cs="Arial" w:eastAsia="Arial" w:hAnsi="Arial"/>
                <w:sz w:val="20"/>
                <w:szCs w:val="20"/>
                <w:color w:val="auto"/>
                <w:w w:val="95"/>
              </w:rPr>
              <w:t>LPX</w:t>
            </w:r>
          </w:p>
        </w:tc>
        <w:tc>
          <w:tcPr>
            <w:tcW w:w="2400" w:type="dxa"/>
            <w:vAlign w:val="bottom"/>
            <w:gridSpan w:val="3"/>
          </w:tcPr>
          <w:p>
            <w:pPr>
              <w:jc w:val="center"/>
              <w:ind w:right="40"/>
              <w:spacing w:after="0"/>
              <w:rPr>
                <w:sz w:val="20"/>
                <w:szCs w:val="20"/>
                <w:color w:val="auto"/>
              </w:rPr>
            </w:pPr>
            <w:r>
              <w:rPr>
                <w:rFonts w:ascii="Arial" w:cs="Arial" w:eastAsia="Arial" w:hAnsi="Arial"/>
                <w:sz w:val="20"/>
                <w:szCs w:val="20"/>
                <w:color w:val="auto"/>
                <w:w w:val="92"/>
              </w:rPr>
              <w:t>New York Stock Exchange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2640965</wp:posOffset>
            </wp:positionH>
            <wp:positionV relativeFrom="paragraph">
              <wp:posOffset>-1555750</wp:posOffset>
            </wp:positionV>
            <wp:extent cx="704850" cy="427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9">
                      <a:extLst>
                        <a:ext uri="{28A0092B-C50C-407E-A947-70E740481C1C}"/>
                      </a:extLst>
                    </a:blip>
                    <a:srcRect/>
                    <a:stretch>
                      <a:fillRect/>
                    </a:stretch>
                  </pic:blipFill>
                  <pic:spPr bwMode="auto">
                    <a:xfrm>
                      <a:off x="0" y="0"/>
                      <a:ext cx="704850" cy="4279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-995680</wp:posOffset>
            </wp:positionV>
            <wp:extent cx="848360" cy="819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0">
                      <a:extLst>
                        <a:ext uri="{28A0092B-C50C-407E-A947-70E740481C1C}"/>
                      </a:extLst>
                    </a:blip>
                    <a:srcRect/>
                    <a:stretch>
                      <a:fillRect/>
                    </a:stretch>
                  </pic:blipFill>
                  <pic:spPr bwMode="auto">
                    <a:xfrm>
                      <a:off x="0" y="0"/>
                      <a:ext cx="848360" cy="81915"/>
                    </a:xfrm>
                    <a:prstGeom prst="rect">
                      <a:avLst/>
                    </a:prstGeom>
                    <a:noFill/>
                  </pic:spPr>
                </pic:pic>
              </a:graphicData>
            </a:graphic>
          </wp:anchor>
        </w:drawing>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Securities registered pursuant to Section 12(g) of the Act: </w:t>
      </w: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1699895</wp:posOffset>
                </wp:positionH>
                <wp:positionV relativeFrom="paragraph">
                  <wp:posOffset>86360</wp:posOffset>
                </wp:positionV>
                <wp:extent cx="254317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3.85pt,6.8pt" to="334.1pt,6.8pt" o:allowincell="f" strokecolor="#000000" strokeweight="1pt"/>
            </w:pict>
          </mc:Fallback>
        </mc:AlternateContent>
      </w:r>
    </w:p>
    <w:p>
      <w:pPr>
        <w:spacing w:after="0" w:line="349"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 xml:space="preserve">Indicate by check mark if the registrant is a well-known seasoned issuer as defined in Rule 405 of the Securities Act. Yes </w:t>
      </w:r>
      <w:r>
        <w:rPr>
          <w:rFonts w:ascii="Arial" w:cs="Arial" w:eastAsia="Arial" w:hAnsi="Arial"/>
          <w:sz w:val="20"/>
          <w:szCs w:val="20"/>
          <w:b w:val="1"/>
          <w:bCs w:val="1"/>
          <w:color w:val="auto"/>
        </w:rPr>
        <w:t>ý</w:t>
      </w:r>
      <w:r>
        <w:rPr>
          <w:rFonts w:ascii="Arial" w:cs="Arial" w:eastAsia="Arial" w:hAnsi="Arial"/>
          <w:sz w:val="20"/>
          <w:szCs w:val="20"/>
          <w:color w:val="auto"/>
        </w:rPr>
        <w:t xml:space="preserve"> No </w:t>
      </w:r>
      <w:r>
        <w:rPr>
          <w:rFonts w:ascii="Arial" w:cs="Arial" w:eastAsia="Arial" w:hAnsi="Arial"/>
          <w:sz w:val="20"/>
          <w:szCs w:val="20"/>
          <w:b w:val="1"/>
          <w:bCs w:val="1"/>
          <w:color w:val="auto"/>
        </w:rPr>
        <w:t>¨</w:t>
      </w:r>
    </w:p>
    <w:p>
      <w:pPr>
        <w:spacing w:after="0" w:line="27"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 xml:space="preserve">Indicate by check mark if the registrant is not required to file reports pursuant to Section 13 or Section 15(d) of the Act. Yes </w:t>
      </w:r>
      <w:r>
        <w:rPr>
          <w:rFonts w:ascii="Arial" w:cs="Arial" w:eastAsia="Arial" w:hAnsi="Arial"/>
          <w:sz w:val="20"/>
          <w:szCs w:val="20"/>
          <w:b w:val="1"/>
          <w:bCs w:val="1"/>
          <w:color w:val="auto"/>
        </w:rPr>
        <w:t>¨</w:t>
      </w:r>
      <w:r>
        <w:rPr>
          <w:rFonts w:ascii="Arial" w:cs="Arial" w:eastAsia="Arial" w:hAnsi="Arial"/>
          <w:sz w:val="20"/>
          <w:szCs w:val="20"/>
          <w:color w:val="auto"/>
        </w:rPr>
        <w:t xml:space="preserve"> No </w:t>
      </w:r>
      <w:r>
        <w:rPr>
          <w:rFonts w:ascii="Arial" w:cs="Arial" w:eastAsia="Arial" w:hAnsi="Arial"/>
          <w:sz w:val="20"/>
          <w:szCs w:val="20"/>
          <w:b w:val="1"/>
          <w:bCs w:val="1"/>
          <w:color w:val="auto"/>
        </w:rPr>
        <w:t>ý</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0"/>
          <w:szCs w:val="20"/>
          <w:b w:val="1"/>
          <w:bCs w:val="1"/>
          <w:color w:val="auto"/>
        </w:rPr>
        <w:t>ý</w:t>
      </w:r>
      <w:r>
        <w:rPr>
          <w:rFonts w:ascii="Arial" w:cs="Arial" w:eastAsia="Arial" w:hAnsi="Arial"/>
          <w:sz w:val="20"/>
          <w:szCs w:val="20"/>
          <w:color w:val="auto"/>
        </w:rPr>
        <w:t xml:space="preserve"> No </w:t>
      </w:r>
      <w:r>
        <w:rPr>
          <w:rFonts w:ascii="Arial" w:cs="Arial" w:eastAsia="Arial" w:hAnsi="Arial"/>
          <w:sz w:val="20"/>
          <w:szCs w:val="20"/>
          <w:b w:val="1"/>
          <w:bCs w:val="1"/>
          <w:color w:val="auto"/>
        </w:rPr>
        <w:t>¨</w:t>
      </w:r>
    </w:p>
    <w:p>
      <w:pPr>
        <w:spacing w:after="0" w:line="6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9"/>
          <w:szCs w:val="19"/>
          <w:b w:val="1"/>
          <w:bCs w:val="1"/>
          <w:color w:val="auto"/>
        </w:rPr>
        <w:t>ý</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ectPr>
          <w:pgSz w:w="11880" w:h="15480" w:orient="portrait"/>
          <w:cols w:equalWidth="0" w:num="1">
            <w:col w:w="9360"/>
          </w:cols>
          <w:pgMar w:left="1260" w:top="1309" w:right="1260" w:bottom="973" w:gutter="0" w:footer="0" w:header="0"/>
        </w:sectPr>
      </w:pPr>
    </w:p>
    <w:bookmarkStart w:id="17" w:name="page18"/>
    <w:bookmarkEnd w:id="17"/>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2540" w:type="dxa"/>
            <w:vAlign w:val="bottom"/>
          </w:tcPr>
          <w:p>
            <w:pPr>
              <w:spacing w:after="0"/>
              <w:rPr>
                <w:sz w:val="20"/>
                <w:szCs w:val="20"/>
                <w:color w:val="auto"/>
              </w:rPr>
            </w:pPr>
            <w:r>
              <w:rPr>
                <w:rFonts w:ascii="Arial" w:cs="Arial" w:eastAsia="Arial" w:hAnsi="Arial"/>
                <w:sz w:val="20"/>
                <w:szCs w:val="20"/>
                <w:color w:val="auto"/>
              </w:rPr>
              <w:t>Large accelerated filer</w:t>
            </w:r>
          </w:p>
        </w:tc>
        <w:tc>
          <w:tcPr>
            <w:tcW w:w="1920" w:type="dxa"/>
            <w:vAlign w:val="bottom"/>
          </w:tcPr>
          <w:p>
            <w:pPr>
              <w:ind w:left="380"/>
              <w:spacing w:after="0"/>
              <w:rPr>
                <w:sz w:val="20"/>
                <w:szCs w:val="20"/>
                <w:color w:val="auto"/>
              </w:rPr>
            </w:pPr>
            <w:r>
              <w:rPr>
                <w:rFonts w:ascii="Arial" w:cs="Arial" w:eastAsia="Arial" w:hAnsi="Arial"/>
                <w:sz w:val="20"/>
                <w:szCs w:val="20"/>
                <w:b w:val="1"/>
                <w:bCs w:val="1"/>
                <w:color w:val="auto"/>
              </w:rPr>
              <w:t>x</w:t>
            </w:r>
          </w:p>
        </w:tc>
        <w:tc>
          <w:tcPr>
            <w:tcW w:w="3840" w:type="dxa"/>
            <w:vAlign w:val="bottom"/>
          </w:tcPr>
          <w:p>
            <w:pPr>
              <w:ind w:left="1320"/>
              <w:spacing w:after="0"/>
              <w:rPr>
                <w:sz w:val="20"/>
                <w:szCs w:val="20"/>
                <w:color w:val="auto"/>
              </w:rPr>
            </w:pPr>
            <w:r>
              <w:rPr>
                <w:rFonts w:ascii="Arial" w:cs="Arial" w:eastAsia="Arial" w:hAnsi="Arial"/>
                <w:sz w:val="20"/>
                <w:szCs w:val="20"/>
                <w:color w:val="auto"/>
              </w:rPr>
              <w:t>Accelerated filer</w:t>
            </w:r>
          </w:p>
        </w:tc>
        <w:tc>
          <w:tcPr>
            <w:tcW w:w="460" w:type="dxa"/>
            <w:vAlign w:val="bottom"/>
          </w:tcPr>
          <w:p>
            <w:pPr>
              <w:ind w:left="320"/>
              <w:spacing w:after="0" w:line="171" w:lineRule="exact"/>
              <w:rPr>
                <w:sz w:val="20"/>
                <w:szCs w:val="20"/>
                <w:color w:val="auto"/>
              </w:rPr>
            </w:pPr>
            <w:r>
              <w:rPr>
                <w:rFonts w:ascii="MS PGothic" w:cs="MS PGothic" w:eastAsia="MS PGothic" w:hAnsi="MS PGothic"/>
                <w:sz w:val="17"/>
                <w:szCs w:val="17"/>
                <w:b w:val="1"/>
                <w:bCs w:val="1"/>
                <w:color w:val="auto"/>
                <w:w w:val="70"/>
              </w:rPr>
              <w:t>☐</w:t>
            </w:r>
          </w:p>
        </w:tc>
      </w:tr>
      <w:tr>
        <w:trPr>
          <w:trHeight w:val="312"/>
        </w:trPr>
        <w:tc>
          <w:tcPr>
            <w:tcW w:w="2540" w:type="dxa"/>
            <w:vAlign w:val="bottom"/>
          </w:tcPr>
          <w:p>
            <w:pPr>
              <w:spacing w:after="0"/>
              <w:rPr>
                <w:sz w:val="20"/>
                <w:szCs w:val="20"/>
                <w:color w:val="auto"/>
              </w:rPr>
            </w:pPr>
            <w:r>
              <w:rPr>
                <w:rFonts w:ascii="Arial" w:cs="Arial" w:eastAsia="Arial" w:hAnsi="Arial"/>
                <w:sz w:val="20"/>
                <w:szCs w:val="20"/>
                <w:color w:val="auto"/>
              </w:rPr>
              <w:t>Non-accelerated filer</w:t>
            </w:r>
          </w:p>
        </w:tc>
        <w:tc>
          <w:tcPr>
            <w:tcW w:w="1920" w:type="dxa"/>
            <w:vAlign w:val="bottom"/>
          </w:tcPr>
          <w:p>
            <w:pPr>
              <w:ind w:left="380"/>
              <w:spacing w:after="0" w:line="201" w:lineRule="exact"/>
              <w:rPr>
                <w:sz w:val="20"/>
                <w:szCs w:val="20"/>
                <w:color w:val="auto"/>
              </w:rPr>
            </w:pPr>
            <w:r>
              <w:rPr>
                <w:rFonts w:ascii="MS PGothic" w:cs="MS PGothic" w:eastAsia="MS PGothic" w:hAnsi="MS PGothic"/>
                <w:sz w:val="20"/>
                <w:szCs w:val="20"/>
                <w:b w:val="1"/>
                <w:bCs w:val="1"/>
                <w:color w:val="auto"/>
              </w:rPr>
              <w:t>☐</w:t>
            </w:r>
          </w:p>
        </w:tc>
        <w:tc>
          <w:tcPr>
            <w:tcW w:w="3840" w:type="dxa"/>
            <w:vAlign w:val="bottom"/>
          </w:tcPr>
          <w:p>
            <w:pPr>
              <w:ind w:left="1320"/>
              <w:spacing w:after="0"/>
              <w:rPr>
                <w:sz w:val="20"/>
                <w:szCs w:val="20"/>
                <w:color w:val="auto"/>
              </w:rPr>
            </w:pPr>
            <w:r>
              <w:rPr>
                <w:rFonts w:ascii="Arial" w:cs="Arial" w:eastAsia="Arial" w:hAnsi="Arial"/>
                <w:sz w:val="20"/>
                <w:szCs w:val="20"/>
                <w:color w:val="auto"/>
              </w:rPr>
              <w:t>Smaller reporting company</w:t>
            </w:r>
          </w:p>
        </w:tc>
        <w:tc>
          <w:tcPr>
            <w:tcW w:w="460" w:type="dxa"/>
            <w:vAlign w:val="bottom"/>
          </w:tcPr>
          <w:p>
            <w:pPr>
              <w:ind w:left="320"/>
              <w:spacing w:after="0" w:line="171" w:lineRule="exact"/>
              <w:rPr>
                <w:sz w:val="20"/>
                <w:szCs w:val="20"/>
                <w:color w:val="auto"/>
              </w:rPr>
            </w:pPr>
            <w:r>
              <w:rPr>
                <w:rFonts w:ascii="MS PGothic" w:cs="MS PGothic" w:eastAsia="MS PGothic" w:hAnsi="MS PGothic"/>
                <w:sz w:val="17"/>
                <w:szCs w:val="17"/>
                <w:b w:val="1"/>
                <w:bCs w:val="1"/>
                <w:color w:val="auto"/>
                <w:w w:val="70"/>
              </w:rPr>
              <w:t>☐</w:t>
            </w:r>
          </w:p>
        </w:tc>
      </w:tr>
      <w:tr>
        <w:trPr>
          <w:trHeight w:val="300"/>
        </w:trPr>
        <w:tc>
          <w:tcPr>
            <w:tcW w:w="2540" w:type="dxa"/>
            <w:vAlign w:val="bottom"/>
          </w:tcPr>
          <w:p>
            <w:pPr>
              <w:spacing w:after="0"/>
              <w:rPr>
                <w:sz w:val="20"/>
                <w:szCs w:val="20"/>
                <w:color w:val="auto"/>
              </w:rPr>
            </w:pPr>
            <w:r>
              <w:rPr>
                <w:rFonts w:ascii="Arial" w:cs="Arial" w:eastAsia="Arial" w:hAnsi="Arial"/>
                <w:sz w:val="20"/>
                <w:szCs w:val="20"/>
                <w:color w:val="auto"/>
              </w:rPr>
              <w:t>Emerging growth company</w:t>
            </w:r>
          </w:p>
        </w:tc>
        <w:tc>
          <w:tcPr>
            <w:tcW w:w="1920" w:type="dxa"/>
            <w:vAlign w:val="bottom"/>
          </w:tcPr>
          <w:p>
            <w:pPr>
              <w:ind w:left="380"/>
              <w:spacing w:after="0" w:line="201" w:lineRule="exact"/>
              <w:rPr>
                <w:sz w:val="20"/>
                <w:szCs w:val="20"/>
                <w:color w:val="auto"/>
              </w:rPr>
            </w:pPr>
            <w:r>
              <w:rPr>
                <w:rFonts w:ascii="MS PGothic" w:cs="MS PGothic" w:eastAsia="MS PGothic" w:hAnsi="MS PGothic"/>
                <w:sz w:val="20"/>
                <w:szCs w:val="20"/>
                <w:b w:val="1"/>
                <w:bCs w:val="1"/>
                <w:color w:val="auto"/>
              </w:rPr>
              <w:t>☐</w:t>
            </w:r>
          </w:p>
        </w:tc>
        <w:tc>
          <w:tcPr>
            <w:tcW w:w="38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20"/>
          <w:szCs w:val="20"/>
          <w:b w:val="1"/>
          <w:bCs w:val="1"/>
          <w:color w:val="auto"/>
        </w:rPr>
        <w:t>o</w:t>
      </w:r>
    </w:p>
    <w:p>
      <w:pPr>
        <w:spacing w:after="0" w:line="52"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8"/>
          <w:szCs w:val="18"/>
          <w:b w:val="1"/>
          <w:bCs w:val="1"/>
          <w:color w:val="auto"/>
        </w:rPr>
        <w:t>ý</w:t>
      </w:r>
    </w:p>
    <w:p>
      <w:pPr>
        <w:spacing w:after="0" w:line="1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20"/>
          <w:szCs w:val="20"/>
          <w:b w:val="1"/>
          <w:bCs w:val="1"/>
          <w:color w:val="auto"/>
        </w:rPr>
        <w:t>o</w:t>
      </w:r>
    </w:p>
    <w:p>
      <w:pPr>
        <w:spacing w:after="0" w:line="5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Indicate by check mark whether any of those error corrections are restatements that required a recovery analysis of incentive-based compensation received by any of the registrant’s executive officers during the relevant recovery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period pursuant to §240.10D-1(b). </w:t>
      </w:r>
      <w:r>
        <w:rPr>
          <w:rFonts w:ascii="Arial" w:cs="Arial" w:eastAsia="Arial" w:hAnsi="Arial"/>
          <w:sz w:val="20"/>
          <w:szCs w:val="20"/>
          <w:b w:val="1"/>
          <w:bCs w:val="1"/>
          <w:color w:val="auto"/>
        </w:rPr>
        <w:t>o</w:t>
      </w:r>
    </w:p>
    <w:p>
      <w:pPr>
        <w:spacing w:after="0" w:line="150" w:lineRule="exact"/>
        <w:rPr>
          <w:sz w:val="20"/>
          <w:szCs w:val="20"/>
          <w:color w:val="auto"/>
        </w:rPr>
      </w:pPr>
    </w:p>
    <w:p>
      <w:pPr>
        <w:jc w:val="both"/>
        <w:spacing w:after="0" w:line="260" w:lineRule="exact"/>
        <w:rPr>
          <w:sz w:val="20"/>
          <w:szCs w:val="20"/>
          <w:color w:val="auto"/>
        </w:rPr>
      </w:pPr>
      <w:r>
        <w:rPr>
          <w:rFonts w:ascii="Arial" w:cs="Arial" w:eastAsia="Arial" w:hAnsi="Arial"/>
          <w:sz w:val="20"/>
          <w:szCs w:val="20"/>
          <w:color w:val="auto"/>
        </w:rPr>
        <w:t xml:space="preserve">Indicate by check mark whether the registrant is a shell company (as defined in Rule 12b-2 of the Act): Yes </w:t>
      </w:r>
      <w:r>
        <w:rPr>
          <w:rFonts w:ascii="MS PGothic" w:cs="MS PGothic" w:eastAsia="MS PGothic" w:hAnsi="MS PGothic"/>
          <w:sz w:val="20"/>
          <w:szCs w:val="20"/>
          <w:b w:val="1"/>
          <w:bCs w:val="1"/>
          <w:color w:val="auto"/>
        </w:rPr>
        <w:t>☐</w:t>
      </w:r>
      <w:r>
        <w:rPr>
          <w:rFonts w:ascii="Arial" w:cs="Arial" w:eastAsia="Arial" w:hAnsi="Arial"/>
          <w:sz w:val="20"/>
          <w:szCs w:val="20"/>
          <w:color w:val="auto"/>
        </w:rPr>
        <w:t xml:space="preserve"> No </w:t>
      </w:r>
      <w:r>
        <w:rPr>
          <w:rFonts w:ascii="Arial" w:cs="Arial" w:eastAsia="Arial" w:hAnsi="Arial"/>
          <w:sz w:val="20"/>
          <w:szCs w:val="20"/>
          <w:b w:val="1"/>
          <w:bCs w:val="1"/>
          <w:color w:val="auto"/>
        </w:rPr>
        <w:t>ý</w:t>
      </w:r>
    </w:p>
    <w:p>
      <w:pPr>
        <w:spacing w:after="0" w:line="8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sold, or the average bid and asked price of such common equity, as of the last business day of the registrant’s most recently completed second fiscal quarter: $5,897,870,878.</w:t>
      </w:r>
    </w:p>
    <w:p>
      <w:pPr>
        <w:spacing w:after="0" w:line="41"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Indicate the number of shares outstanding of each of the registrant’s classes of common stock as of the latest practicable date: 69,830,343 shares of common stock, $1 par value, outstanding as of February 13, 2026.</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Documents Incorporated by Reference</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Certain portions of the registrant’s Definitive Proxy Statement for its 2026 Annual Meeting of Stockholders (which is expected to be filed with the Securities and Exchange Commission within 120 days after the end of the registrant’s 2025 fiscal year) are incorporated by reference into Part III of this annual report on Form 10-K.</w:t>
      </w:r>
    </w:p>
    <w:p>
      <w:pPr>
        <w:spacing w:after="0" w:line="53" w:lineRule="exact"/>
        <w:rPr>
          <w:sz w:val="20"/>
          <w:szCs w:val="20"/>
          <w:color w:val="auto"/>
        </w:rPr>
      </w:pPr>
    </w:p>
    <w:p>
      <w:pPr>
        <w:jc w:val="both"/>
        <w:spacing w:after="0" w:line="345" w:lineRule="auto"/>
        <w:rPr>
          <w:sz w:val="20"/>
          <w:szCs w:val="20"/>
          <w:color w:val="auto"/>
        </w:rPr>
      </w:pPr>
      <w:r>
        <w:rPr>
          <w:rFonts w:ascii="Arial" w:cs="Arial" w:eastAsia="Arial" w:hAnsi="Arial"/>
          <w:sz w:val="18"/>
          <w:szCs w:val="18"/>
          <w:b w:val="1"/>
          <w:bCs w:val="1"/>
          <w:i w:val="1"/>
          <w:iCs w:val="1"/>
          <w:color w:val="auto"/>
        </w:rPr>
        <w:t>Except as otherwise specified and unless the context otherwise requires, references to “LP,” the “Company,” “we,” “us,” and “our” refer to Louisiana-Pacific Corporation and its consolidated subsidiaries.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-280670</wp:posOffset>
                </wp:positionH>
                <wp:positionV relativeFrom="paragraph">
                  <wp:posOffset>44450</wp:posOffset>
                </wp:positionV>
                <wp:extent cx="650494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999pt,3.5pt" to="490.1pt,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-280670</wp:posOffset>
                </wp:positionH>
                <wp:positionV relativeFrom="paragraph">
                  <wp:posOffset>92075</wp:posOffset>
                </wp:positionV>
                <wp:extent cx="650494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999pt,7.25pt" to="490.1pt,7.25pt" o:allowincell="f" strokecolor="#000000" strokeweight="1pt"/>
            </w:pict>
          </mc:Fallback>
        </mc:AlternateContent>
      </w:r>
    </w:p>
    <w:p>
      <w:pPr>
        <w:sectPr>
          <w:pgSz w:w="11880" w:h="15480" w:orient="portrait"/>
          <w:cols w:equalWidth="0" w:num="1">
            <w:col w:w="9360"/>
          </w:cols>
          <w:pgMar w:left="1260" w:top="1440" w:right="1260"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Section 27A of the Securities Act of 1933, as amended (the Securities Act),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such forward-looking statements. This annual report on Form 10-K contains, and other reports and documents we file with, or furnish to, the Securities and Exchange Commission (SEC) may contain, forward-looking statements. These statements are based upon the beliefs and assumptions of, and on information currently available to, our management.</w:t>
      </w:r>
    </w:p>
    <w:p>
      <w:pPr>
        <w:spacing w:after="0" w:line="6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following statements are or may constitute forward-looking statements: statements preceded by, followed by or that include words like “may,” “will,” “could,” “should,” “believe,” “expect,” “anticipate,” “assume,” “intend,” “plan,” “seek,” “estimate,” “project,” “target,” “potential,” “continue,” “likely,” or “future,” as well as similar expressions, or the negative or other variations thereof. Forward-looking statements include other statements regarding matters that are not historical facts including without limitation, plans for product development, forecasts of future costs and expenditures, possible outcomes of legal proceedings, capacity expansion and other growth initiatives, the adequacy of reserves for loss contingencies, and any statements regarding the Company’s financial outlook.</w:t>
      </w:r>
    </w:p>
    <w:p>
      <w:pPr>
        <w:spacing w:after="0" w:line="8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Factors that could cause actual results to differ materially from those expressed or implied by forward-looking statements include, but are not limited to, the following:</w:t>
      </w:r>
    </w:p>
    <w:p>
      <w:pPr>
        <w:spacing w:after="0" w:line="58" w:lineRule="exact"/>
        <w:rPr>
          <w:sz w:val="20"/>
          <w:szCs w:val="20"/>
          <w:color w:val="auto"/>
        </w:rPr>
      </w:pPr>
    </w:p>
    <w:p>
      <w:pPr>
        <w:ind w:left="720" w:hanging="360"/>
        <w:spacing w:after="0" w:line="271"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changes in governmental fiscal, trade, and monetary policies, including the imposition of higher or new tariffs, trade barriers, and levels of employment;</w:t>
      </w:r>
    </w:p>
    <w:p>
      <w:pPr>
        <w:ind w:left="720" w:hanging="360"/>
        <w:spacing w:after="0" w:line="271"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changes in general and global economic conditions, including impacts from rising inflation, supply chain disruptions, new, ongoing, or escalated geopolitical or military conflicts or tensions;</w:t>
      </w:r>
    </w:p>
    <w:p>
      <w:pPr>
        <w:jc w:val="both"/>
        <w:ind w:left="720" w:hanging="360"/>
        <w:spacing w:after="0" w:line="264"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commodity nature of a segment of our products and the prices for those products, which are determined in significant part by external factors such as total industry capacity and wider industry cycles affecting supply and demand trends;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changes in the cost and availability of capital;</w:t>
      </w:r>
    </w:p>
    <w:p>
      <w:pPr>
        <w:spacing w:after="0" w:line="50"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changes in the cost and availability of financing for home mortgages;</w:t>
      </w:r>
    </w:p>
    <w:p>
      <w:pPr>
        <w:spacing w:after="0" w:line="50" w:lineRule="exact"/>
        <w:rPr>
          <w:rFonts w:ascii="Arial" w:cs="Arial" w:eastAsia="Arial" w:hAnsi="Arial"/>
          <w:sz w:val="20"/>
          <w:szCs w:val="20"/>
          <w:color w:val="auto"/>
        </w:rPr>
      </w:pPr>
    </w:p>
    <w:p>
      <w:pPr>
        <w:ind w:left="720" w:hanging="360"/>
        <w:spacing w:after="0" w:line="271"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changes in the level of home construction and repair and remodel activity, including as a result of labor shortages;</w:t>
      </w:r>
    </w:p>
    <w:p>
      <w:pPr>
        <w:ind w:left="720" w:hanging="360"/>
        <w:spacing w:after="0"/>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changes in competitive conditions and prices for our products;</w:t>
      </w:r>
    </w:p>
    <w:p>
      <w:pPr>
        <w:spacing w:after="0" w:line="50"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changes in the relationship between supply of and demand for building products;</w:t>
      </w:r>
    </w:p>
    <w:p>
      <w:pPr>
        <w:spacing w:after="0" w:line="50" w:lineRule="exact"/>
        <w:rPr>
          <w:rFonts w:ascii="Arial" w:cs="Arial" w:eastAsia="Arial" w:hAnsi="Arial"/>
          <w:sz w:val="20"/>
          <w:szCs w:val="20"/>
          <w:color w:val="auto"/>
        </w:rPr>
      </w:pPr>
    </w:p>
    <w:p>
      <w:pPr>
        <w:ind w:left="720" w:hanging="360"/>
        <w:spacing w:after="0" w:line="271"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changes in the financial or business conditions of third-party wholesale distributors and dealers of building products;</w:t>
      </w:r>
    </w:p>
    <w:p>
      <w:pPr>
        <w:ind w:left="720" w:hanging="360"/>
        <w:spacing w:after="0" w:line="271"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changes in prices and the relationship between the supply of and demand for raw materials, including wood fiber and resins, used in manufacturing our products;</w:t>
      </w:r>
    </w:p>
    <w:p>
      <w:pPr>
        <w:ind w:left="720" w:hanging="360"/>
        <w:spacing w:after="0"/>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changes in the cost and availability of energy, primarily natural gas, electricity, and diesel fuel;</w:t>
      </w:r>
    </w:p>
    <w:p>
      <w:pPr>
        <w:spacing w:after="0" w:line="50" w:lineRule="exact"/>
        <w:rPr>
          <w:rFonts w:ascii="Arial" w:cs="Arial" w:eastAsia="Arial" w:hAnsi="Arial"/>
          <w:sz w:val="20"/>
          <w:szCs w:val="20"/>
          <w:color w:val="auto"/>
        </w:rPr>
      </w:pPr>
    </w:p>
    <w:p>
      <w:pPr>
        <w:ind w:left="720" w:hanging="360"/>
        <w:spacing w:after="0" w:line="271"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changes in the cost and availability of transportation, including transportation services provided by third parties;</w:t>
      </w:r>
    </w:p>
    <w:p>
      <w:pPr>
        <w:ind w:left="720" w:hanging="360"/>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third-party vendors and suppliers for certain goods and services critical to our business;</w:t>
      </w:r>
    </w:p>
    <w:p>
      <w:pPr>
        <w:spacing w:after="0" w:line="73" w:lineRule="exact"/>
        <w:rPr>
          <w:rFonts w:ascii="Arial" w:cs="Arial" w:eastAsia="Arial" w:hAnsi="Arial"/>
          <w:sz w:val="18"/>
          <w:szCs w:val="18"/>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operational and financial impacts from manufacturing our products internationally;</w:t>
      </w:r>
    </w:p>
    <w:p>
      <w:pPr>
        <w:spacing w:after="0" w:line="50"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difficulties in the development, launch or production ramp-up of new products;</w:t>
      </w:r>
    </w:p>
    <w:p>
      <w:pPr>
        <w:spacing w:after="0" w:line="50"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ability to attract and retain qualified executives, management and other key employees;</w:t>
      </w:r>
    </w:p>
    <w:p>
      <w:pPr>
        <w:spacing w:after="0" w:line="50" w:lineRule="exact"/>
        <w:rPr>
          <w:rFonts w:ascii="Arial" w:cs="Arial" w:eastAsia="Arial" w:hAnsi="Arial"/>
          <w:sz w:val="20"/>
          <w:szCs w:val="20"/>
          <w:color w:val="auto"/>
        </w:rPr>
      </w:pPr>
    </w:p>
    <w:p>
      <w:pPr>
        <w:ind w:left="720" w:hanging="360"/>
        <w:spacing w:after="0" w:line="271"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need to formulate and implement effective succession plans from time to time for key members of our management team;</w:t>
      </w:r>
    </w:p>
    <w:p>
      <w:pPr>
        <w:jc w:val="both"/>
        <w:ind w:left="720" w:hanging="360"/>
        <w:spacing w:after="0" w:line="266"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impacts from public health issues (including global pandemics) on the economy, demand for our products or our operations, including the actions and recommendations of governmental authorities to contain such public health issues;</w:t>
      </w:r>
    </w:p>
    <w:p>
      <w:pPr>
        <w:sectPr>
          <w:pgSz w:w="11880" w:h="15480" w:orient="portrait"/>
          <w:cols w:equalWidth="0" w:num="1">
            <w:col w:w="9360"/>
          </w:cols>
          <w:pgMar w:left="1260" w:top="1190" w:right="1260" w:bottom="223"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9360"/>
          </w:cols>
          <w:pgMar w:left="1260" w:top="1190" w:right="1260" w:bottom="223" w:gutter="0" w:footer="0" w:header="0"/>
          <w:type w:val="continuous"/>
        </w:sectPr>
      </w:pPr>
    </w:p>
    <w:bookmarkStart w:id="19" w:name="page20"/>
    <w:bookmarkEnd w:id="19"/>
    <w:p>
      <w:pPr>
        <w:ind w:left="720" w:hanging="360"/>
        <w:spacing w:after="0" w:line="271"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identify and successfully complete and integrate acquisitions, divestitures, joint ventures, capital investments and other corporate strategic transactions;</w:t>
      </w:r>
    </w:p>
    <w:p>
      <w:pPr>
        <w:jc w:val="both"/>
        <w:ind w:left="720" w:hanging="360"/>
        <w:spacing w:after="0" w:line="274" w:lineRule="auto"/>
        <w:tabs>
          <w:tab w:leader="none" w:pos="720" w:val="left"/>
        </w:tabs>
        <w:numPr>
          <w:ilvl w:val="0"/>
          <w:numId w:val="3"/>
        </w:numPr>
        <w:rPr>
          <w:rFonts w:ascii="Arial" w:cs="Arial" w:eastAsia="Arial" w:hAnsi="Arial"/>
          <w:sz w:val="19"/>
          <w:szCs w:val="19"/>
          <w:color w:val="auto"/>
        </w:rPr>
      </w:pPr>
      <w:r>
        <w:rPr>
          <w:rFonts w:ascii="Arial" w:cs="Arial" w:eastAsia="Arial" w:hAnsi="Arial"/>
          <w:sz w:val="19"/>
          <w:szCs w:val="19"/>
          <w:color w:val="auto"/>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spacing w:after="0" w:line="2" w:lineRule="exact"/>
        <w:rPr>
          <w:rFonts w:ascii="Arial" w:cs="Arial" w:eastAsia="Arial" w:hAnsi="Arial"/>
          <w:sz w:val="19"/>
          <w:szCs w:val="19"/>
          <w:color w:val="auto"/>
        </w:rPr>
      </w:pPr>
    </w:p>
    <w:p>
      <w:pPr>
        <w:ind w:left="720" w:hanging="360"/>
        <w:spacing w:after="0" w:line="271"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changes in global or regional climate conditions, the impacts of climate change, and potential government policies adopted in response to such conditions;</w:t>
      </w:r>
    </w:p>
    <w:p>
      <w:pPr>
        <w:ind w:left="720" w:hanging="360"/>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changes in other significant operating expenses;</w:t>
      </w:r>
    </w:p>
    <w:p>
      <w:pPr>
        <w:spacing w:after="0" w:line="50" w:lineRule="exact"/>
        <w:rPr>
          <w:rFonts w:ascii="Arial" w:cs="Arial" w:eastAsia="Arial" w:hAnsi="Arial"/>
          <w:sz w:val="20"/>
          <w:szCs w:val="20"/>
          <w:color w:val="auto"/>
        </w:rPr>
      </w:pPr>
    </w:p>
    <w:p>
      <w:pPr>
        <w:ind w:left="720" w:hanging="360"/>
        <w:spacing w:after="0" w:line="271"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changes in currency values and exchange rates between the U.S. dollar and other currencies, particularly the Canadian dollar, Brazilian real, Chilean peso, and Argentine peso;</w:t>
      </w:r>
    </w:p>
    <w:p>
      <w:pPr>
        <w:jc w:val="both"/>
        <w:ind w:left="720" w:hanging="360"/>
        <w:spacing w:after="0" w:line="260"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spacing w:after="0" w:line="3" w:lineRule="exact"/>
        <w:rPr>
          <w:rFonts w:ascii="Arial" w:cs="Arial" w:eastAsia="Arial" w:hAnsi="Arial"/>
          <w:sz w:val="20"/>
          <w:szCs w:val="20"/>
          <w:color w:val="auto"/>
        </w:rPr>
      </w:pPr>
    </w:p>
    <w:p>
      <w:pPr>
        <w:ind w:left="720" w:hanging="360"/>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changes in tax laws and interpretations thereof;</w:t>
      </w:r>
    </w:p>
    <w:p>
      <w:pPr>
        <w:spacing w:after="0" w:line="50" w:lineRule="exact"/>
        <w:rPr>
          <w:rFonts w:ascii="Arial" w:cs="Arial" w:eastAsia="Arial" w:hAnsi="Arial"/>
          <w:sz w:val="20"/>
          <w:szCs w:val="20"/>
          <w:color w:val="auto"/>
        </w:rPr>
      </w:pPr>
    </w:p>
    <w:p>
      <w:pPr>
        <w:ind w:left="720" w:hanging="360"/>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changes in circumstances giving rise to environmental liabilities or expenditures;</w:t>
      </w:r>
    </w:p>
    <w:p>
      <w:pPr>
        <w:spacing w:after="0" w:line="50" w:lineRule="exact"/>
        <w:rPr>
          <w:rFonts w:ascii="Arial" w:cs="Arial" w:eastAsia="Arial" w:hAnsi="Arial"/>
          <w:sz w:val="20"/>
          <w:szCs w:val="20"/>
          <w:color w:val="auto"/>
        </w:rPr>
      </w:pPr>
    </w:p>
    <w:p>
      <w:pPr>
        <w:ind w:left="720" w:hanging="360"/>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warranty costs exceeding our warranty reserves;</w:t>
      </w:r>
    </w:p>
    <w:p>
      <w:pPr>
        <w:spacing w:after="0" w:line="50" w:lineRule="exact"/>
        <w:rPr>
          <w:rFonts w:ascii="Arial" w:cs="Arial" w:eastAsia="Arial" w:hAnsi="Arial"/>
          <w:sz w:val="20"/>
          <w:szCs w:val="20"/>
          <w:color w:val="auto"/>
        </w:rPr>
      </w:pPr>
    </w:p>
    <w:p>
      <w:pPr>
        <w:ind w:left="720" w:hanging="360"/>
        <w:spacing w:after="0" w:line="271"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challenges to or exploitation of our intellectual property or other proprietary information by our competitors or other third parties;</w:t>
      </w:r>
    </w:p>
    <w:p>
      <w:pPr>
        <w:ind w:left="720" w:hanging="360"/>
        <w:spacing w:after="0" w:line="271"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resolution of existing and future product-related litigation, environmental proceedings and remediation efforts, and other legal or environmental proceedings or matters;</w:t>
      </w:r>
    </w:p>
    <w:p>
      <w:pPr>
        <w:ind w:left="720" w:hanging="360"/>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effect of covenants and events of default contained in our debt instruments;</w:t>
      </w:r>
    </w:p>
    <w:p>
      <w:pPr>
        <w:spacing w:after="0" w:line="50" w:lineRule="exact"/>
        <w:rPr>
          <w:rFonts w:ascii="Arial" w:cs="Arial" w:eastAsia="Arial" w:hAnsi="Arial"/>
          <w:sz w:val="20"/>
          <w:szCs w:val="20"/>
          <w:color w:val="auto"/>
        </w:rPr>
      </w:pPr>
    </w:p>
    <w:p>
      <w:pPr>
        <w:ind w:left="720" w:hanging="360"/>
        <w:spacing w:after="0" w:line="285" w:lineRule="auto"/>
        <w:tabs>
          <w:tab w:leader="none" w:pos="7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amount and timing of any repurchases of our common stock and the payment of dividends on our common stock, which will depend on market and business conditions and other considerations;</w:t>
      </w:r>
    </w:p>
    <w:p>
      <w:pPr>
        <w:spacing w:after="0" w:line="1" w:lineRule="exact"/>
        <w:rPr>
          <w:rFonts w:ascii="Arial" w:cs="Arial" w:eastAsia="Arial" w:hAnsi="Arial"/>
          <w:sz w:val="19"/>
          <w:szCs w:val="19"/>
          <w:color w:val="auto"/>
        </w:rPr>
      </w:pPr>
    </w:p>
    <w:p>
      <w:pPr>
        <w:ind w:left="720" w:hanging="360"/>
        <w:spacing w:after="0" w:line="271"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cybersecurity events affecting our information technology systems or those of our third-party providers and the related costs and impact of any disruption on our business; and</w:t>
      </w:r>
    </w:p>
    <w:p>
      <w:pPr>
        <w:ind w:left="720" w:hanging="360"/>
        <w:spacing w:after="0" w:line="283"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acts of public authorities, war, political or civil unrest, natural disasters, fire, floods, earthquakes, inclement weather, and other matters beyond our control.</w:t>
      </w:r>
    </w:p>
    <w:p>
      <w:pPr>
        <w:spacing w:after="0" w:line="5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addition to the foregoing and any risks and uncertainties specifically identified in the text surrounding forward-looking statements, any statements in the reports and other documents filed by us with, or furnished by us to,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The forward-looking statements that we make, or that are made by others on our behalf, are based on our knowledge of our business and our operating environment and assumptions that we believe to be, or will believe to be, reasonable when such forward-looking statements are or will be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you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and are inherently uncertain. We undertake no obligation to revise or update any of the forward-looking statements to reflect subsequent events or circumstances except to the extent required by applicable law.</w:t>
      </w:r>
    </w:p>
    <w:p>
      <w:pPr>
        <w:sectPr>
          <w:pgSz w:w="11880" w:h="15480" w:orient="portrait"/>
          <w:cols w:equalWidth="0" w:num="1">
            <w:col w:w="9360"/>
          </w:cols>
          <w:pgMar w:left="1260" w:top="1197" w:right="12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9360"/>
          </w:cols>
          <w:pgMar w:left="1260" w:top="1197" w:right="1260" w:bottom="223"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20"/>
          <w:szCs w:val="20"/>
          <w:b w:val="1"/>
          <w:bCs w:val="1"/>
          <w:color w:val="auto"/>
        </w:rPr>
        <w:t>ABOUT THIRD-PARTY INFORMATION</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this annual report on Form 10-K,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ectPr>
          <w:pgSz w:w="11880" w:h="15480" w:orient="portrait"/>
          <w:cols w:equalWidth="0" w:num="1">
            <w:col w:w="9360"/>
          </w:cols>
          <w:pgMar w:left="1260" w:top="1190" w:right="1260" w:bottom="2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9360"/>
          </w:cols>
          <w:pgMar w:left="1260" w:top="1190" w:right="1260" w:bottom="224" w:gutter="0" w:footer="0" w:header="0"/>
          <w:type w:val="continuous"/>
        </w:sectPr>
      </w:pPr>
    </w:p>
    <w:bookmarkStart w:id="21" w:name="page22"/>
    <w:bookmarkEnd w:id="21"/>
    <w:tbl>
      <w:tblPr>
        <w:tblLayout w:type="fixed"/>
        <w:tblInd w:w="75" w:type="dxa"/>
        <w:tblCellMar>
          <w:top w:w="0" w:type="dxa"/>
          <w:left w:w="0" w:type="dxa"/>
          <w:bottom w:w="0" w:type="dxa"/>
          <w:right w:w="0" w:type="dxa"/>
        </w:tblCellMar>
      </w:tblPr>
      <w:tr>
        <w:trPr>
          <w:trHeight w:val="261"/>
        </w:trPr>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80" w:type="dxa"/>
            <w:vAlign w:val="bottom"/>
            <w:gridSpan w:val="17"/>
          </w:tcPr>
          <w:p>
            <w:pPr>
              <w:ind w:left="320"/>
              <w:spacing w:after="0"/>
              <w:rPr>
                <w:sz w:val="20"/>
                <w:szCs w:val="20"/>
                <w:color w:val="auto"/>
              </w:rPr>
            </w:pPr>
            <w:r>
              <w:rPr>
                <w:rFonts w:ascii="Arial" w:cs="Arial" w:eastAsia="Arial" w:hAnsi="Arial"/>
                <w:sz w:val="20"/>
                <w:szCs w:val="20"/>
                <w:color w:val="auto"/>
              </w:rPr>
              <w:t>TABLE OF CONTENTS</w:t>
            </w:r>
          </w:p>
        </w:tc>
        <w:tc>
          <w:tcPr>
            <w:tcW w:w="0" w:type="dxa"/>
            <w:vAlign w:val="bottom"/>
          </w:tcPr>
          <w:p>
            <w:pPr>
              <w:spacing w:after="0"/>
              <w:rPr>
                <w:sz w:val="1"/>
                <w:szCs w:val="1"/>
                <w:color w:val="auto"/>
              </w:rPr>
            </w:pPr>
          </w:p>
        </w:tc>
      </w:tr>
      <w:tr>
        <w:trPr>
          <w:trHeight w:val="387"/>
        </w:trPr>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PART I</w:t>
            </w:r>
          </w:p>
        </w:tc>
        <w:tc>
          <w:tcPr>
            <w:tcW w:w="70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32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380" w:type="dxa"/>
            <w:vAlign w:val="bottom"/>
            <w:gridSpan w:val="26"/>
          </w:tcPr>
          <w:p>
            <w:pPr>
              <w:spacing w:after="0"/>
              <w:rPr>
                <w:sz w:val="20"/>
                <w:szCs w:val="20"/>
                <w:color w:val="auto"/>
              </w:rPr>
            </w:pPr>
            <w:r>
              <w:rPr>
                <w:rFonts w:ascii="Arial" w:cs="Arial" w:eastAsia="Arial" w:hAnsi="Arial"/>
                <w:sz w:val="18"/>
                <w:szCs w:val="18"/>
                <w:color w:val="auto"/>
              </w:rPr>
              <w:t>BUSINESS</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32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12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3"/>
              </w:rPr>
              <w:t>RISK FACTORS</w:t>
            </w:r>
          </w:p>
        </w:tc>
        <w:tc>
          <w:tcPr>
            <w:tcW w:w="5120" w:type="dxa"/>
            <w:vAlign w:val="bottom"/>
            <w:gridSpan w:val="21"/>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32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6380" w:type="dxa"/>
            <w:vAlign w:val="bottom"/>
            <w:gridSpan w:val="26"/>
          </w:tcPr>
          <w:p>
            <w:pPr>
              <w:spacing w:after="0"/>
              <w:rPr>
                <w:sz w:val="20"/>
                <w:szCs w:val="20"/>
                <w:color w:val="auto"/>
              </w:rPr>
            </w:pPr>
            <w:r>
              <w:rPr>
                <w:rFonts w:ascii="Arial" w:cs="Arial" w:eastAsia="Arial" w:hAnsi="Arial"/>
                <w:sz w:val="18"/>
                <w:szCs w:val="18"/>
                <w:color w:val="auto"/>
              </w:rPr>
              <w:t>UNRESOLVED STAFF COMMENTS</w:t>
            </w:r>
          </w:p>
        </w:tc>
        <w:tc>
          <w:tcPr>
            <w:tcW w:w="0" w:type="dxa"/>
            <w:vAlign w:val="bottom"/>
          </w:tcPr>
          <w:p>
            <w:pPr>
              <w:spacing w:after="0"/>
              <w:rPr>
                <w:sz w:val="1"/>
                <w:szCs w:val="1"/>
                <w:color w:val="auto"/>
              </w:rPr>
            </w:pPr>
          </w:p>
        </w:tc>
      </w:tr>
      <w:tr>
        <w:trPr>
          <w:trHeight w:val="235"/>
        </w:trPr>
        <w:tc>
          <w:tcPr>
            <w:tcW w:w="1320" w:type="dxa"/>
            <w:vAlign w:val="bottom"/>
            <w:gridSpan w:val="5"/>
          </w:tcPr>
          <w:p>
            <w:pPr>
              <w:spacing w:after="0"/>
              <w:rPr>
                <w:sz w:val="20"/>
                <w:szCs w:val="20"/>
                <w:color w:val="auto"/>
              </w:rPr>
            </w:pPr>
            <w:r>
              <w:rPr>
                <w:rFonts w:ascii="Arial" w:cs="Arial" w:eastAsia="Arial" w:hAnsi="Arial"/>
                <w:sz w:val="18"/>
                <w:szCs w:val="18"/>
                <w:color w:val="auto"/>
              </w:rPr>
              <w:t>Item 1C</w:t>
            </w:r>
          </w:p>
        </w:tc>
        <w:tc>
          <w:tcPr>
            <w:tcW w:w="148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color w:val="auto"/>
                <w:w w:val="95"/>
              </w:rPr>
              <w:t>CYBERSECURITY</w:t>
            </w:r>
          </w:p>
        </w:tc>
        <w:tc>
          <w:tcPr>
            <w:tcW w:w="1360" w:type="dxa"/>
            <w:vAlign w:val="bottom"/>
            <w:tcBorders>
              <w:top w:val="single" w:sz="8" w:color="auto"/>
            </w:tcBorders>
            <w:gridSpan w:val="6"/>
          </w:tcPr>
          <w:p>
            <w:pPr>
              <w:spacing w:after="0"/>
              <w:rPr>
                <w:sz w:val="20"/>
                <w:szCs w:val="20"/>
                <w:color w:val="auto"/>
              </w:rPr>
            </w:pPr>
          </w:p>
        </w:tc>
        <w:tc>
          <w:tcPr>
            <w:tcW w:w="354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320" w:type="dxa"/>
            <w:vAlign w:val="bottom"/>
            <w:gridSpan w:val="5"/>
          </w:tcPr>
          <w:p>
            <w:pPr>
              <w:spacing w:after="0"/>
              <w:rPr>
                <w:sz w:val="20"/>
                <w:szCs w:val="20"/>
                <w:color w:val="auto"/>
              </w:rPr>
            </w:pPr>
            <w:r>
              <w:rPr>
                <w:rFonts w:ascii="Arial" w:cs="Arial" w:eastAsia="Arial" w:hAnsi="Arial"/>
                <w:sz w:val="18"/>
                <w:szCs w:val="18"/>
                <w:color w:val="auto"/>
              </w:rPr>
              <w:t>Item 2</w:t>
            </w: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PROPERTIES</w:t>
            </w:r>
          </w:p>
        </w:tc>
        <w:tc>
          <w:tcPr>
            <w:tcW w:w="5320" w:type="dxa"/>
            <w:vAlign w:val="bottom"/>
            <w:gridSpan w:val="23"/>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320" w:type="dxa"/>
            <w:vAlign w:val="bottom"/>
            <w:gridSpan w:val="5"/>
          </w:tcPr>
          <w:p>
            <w:pPr>
              <w:spacing w:after="0"/>
              <w:rPr>
                <w:sz w:val="20"/>
                <w:szCs w:val="20"/>
                <w:color w:val="auto"/>
              </w:rPr>
            </w:pPr>
            <w:r>
              <w:rPr>
                <w:rFonts w:ascii="Arial" w:cs="Arial" w:eastAsia="Arial" w:hAnsi="Arial"/>
                <w:sz w:val="18"/>
                <w:szCs w:val="18"/>
                <w:color w:val="auto"/>
              </w:rPr>
              <w:t>Item 3</w:t>
            </w:r>
          </w:p>
        </w:tc>
        <w:tc>
          <w:tcPr>
            <w:tcW w:w="6380" w:type="dxa"/>
            <w:vAlign w:val="bottom"/>
            <w:gridSpan w:val="26"/>
          </w:tcPr>
          <w:p>
            <w:pPr>
              <w:spacing w:after="0"/>
              <w:rPr>
                <w:sz w:val="20"/>
                <w:szCs w:val="20"/>
                <w:color w:val="auto"/>
              </w:rPr>
            </w:pPr>
            <w:r>
              <w:rPr>
                <w:rFonts w:ascii="Arial" w:cs="Arial" w:eastAsia="Arial" w:hAnsi="Arial"/>
                <w:sz w:val="18"/>
                <w:szCs w:val="18"/>
                <w:color w:val="auto"/>
              </w:rPr>
              <w:t>LEGAL PROCEEDINGS</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320" w:type="dxa"/>
            <w:vAlign w:val="bottom"/>
            <w:gridSpan w:val="5"/>
          </w:tcPr>
          <w:p>
            <w:pPr>
              <w:spacing w:after="0"/>
              <w:rPr>
                <w:sz w:val="20"/>
                <w:szCs w:val="20"/>
                <w:color w:val="auto"/>
              </w:rPr>
            </w:pPr>
            <w:r>
              <w:rPr>
                <w:rFonts w:ascii="Arial" w:cs="Arial" w:eastAsia="Arial" w:hAnsi="Arial"/>
                <w:sz w:val="18"/>
                <w:szCs w:val="18"/>
                <w:color w:val="auto"/>
              </w:rPr>
              <w:t>Item 4</w:t>
            </w:r>
          </w:p>
        </w:tc>
        <w:tc>
          <w:tcPr>
            <w:tcW w:w="6380" w:type="dxa"/>
            <w:vAlign w:val="bottom"/>
            <w:gridSpan w:val="26"/>
          </w:tcPr>
          <w:p>
            <w:pPr>
              <w:spacing w:after="0"/>
              <w:rPr>
                <w:sz w:val="20"/>
                <w:szCs w:val="20"/>
                <w:color w:val="auto"/>
              </w:rPr>
            </w:pPr>
            <w:r>
              <w:rPr>
                <w:rFonts w:ascii="Arial" w:cs="Arial" w:eastAsia="Arial" w:hAnsi="Arial"/>
                <w:sz w:val="18"/>
                <w:szCs w:val="18"/>
                <w:color w:val="auto"/>
              </w:rPr>
              <w:t>MINE SAFETY DISCLOSURES</w:t>
            </w:r>
          </w:p>
        </w:tc>
        <w:tc>
          <w:tcPr>
            <w:tcW w:w="0" w:type="dxa"/>
            <w:vAlign w:val="bottom"/>
          </w:tcPr>
          <w:p>
            <w:pPr>
              <w:spacing w:after="0"/>
              <w:rPr>
                <w:sz w:val="1"/>
                <w:szCs w:val="1"/>
                <w:color w:val="auto"/>
              </w:rPr>
            </w:pPr>
          </w:p>
        </w:tc>
      </w:tr>
      <w:tr>
        <w:trPr>
          <w:trHeight w:val="550"/>
        </w:trPr>
        <w:tc>
          <w:tcPr>
            <w:tcW w:w="1320" w:type="dxa"/>
            <w:vAlign w:val="bottom"/>
            <w:gridSpan w:val="5"/>
          </w:tcPr>
          <w:p>
            <w:pPr>
              <w:spacing w:after="0"/>
              <w:rPr>
                <w:sz w:val="20"/>
                <w:szCs w:val="20"/>
                <w:color w:val="auto"/>
              </w:rPr>
            </w:pPr>
            <w:r>
              <w:rPr>
                <w:rFonts w:ascii="Arial" w:cs="Arial" w:eastAsia="Arial" w:hAnsi="Arial"/>
                <w:sz w:val="18"/>
                <w:szCs w:val="18"/>
                <w:b w:val="1"/>
                <w:bCs w:val="1"/>
                <w:color w:val="auto"/>
              </w:rPr>
              <w:t>PART II</w:t>
            </w: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8"/>
                <w:szCs w:val="18"/>
                <w:color w:val="auto"/>
              </w:rPr>
              <w:t>Item 5</w:t>
            </w:r>
          </w:p>
        </w:tc>
        <w:tc>
          <w:tcPr>
            <w:tcW w:w="640" w:type="dxa"/>
            <w:vAlign w:val="bottom"/>
            <w:gridSpan w:val="3"/>
            <w:vMerge w:val="restart"/>
          </w:tcPr>
          <w:p>
            <w:pPr>
              <w:spacing w:after="0"/>
              <w:rPr>
                <w:sz w:val="20"/>
                <w:szCs w:val="20"/>
                <w:color w:val="auto"/>
              </w:rPr>
            </w:pPr>
          </w:p>
        </w:tc>
        <w:tc>
          <w:tcPr>
            <w:tcW w:w="6380" w:type="dxa"/>
            <w:vAlign w:val="bottom"/>
            <w:tcBorders>
              <w:bottom w:val="single" w:sz="8" w:color="auto"/>
            </w:tcBorders>
            <w:gridSpan w:val="26"/>
          </w:tcPr>
          <w:p>
            <w:pPr>
              <w:spacing w:after="0"/>
              <w:rPr>
                <w:sz w:val="20"/>
                <w:szCs w:val="20"/>
                <w:color w:val="auto"/>
              </w:rPr>
            </w:pPr>
            <w:r>
              <w:rPr>
                <w:rFonts w:ascii="Arial" w:cs="Arial" w:eastAsia="Arial" w:hAnsi="Arial"/>
                <w:sz w:val="18"/>
                <w:szCs w:val="18"/>
                <w:color w:val="auto"/>
                <w:w w:val="97"/>
              </w:rPr>
              <w:t>MARKET FOR REGISTRANT’S COMMON EQUITY, RELATED STOCKHOLDER</w:t>
            </w:r>
          </w:p>
        </w:tc>
        <w:tc>
          <w:tcPr>
            <w:tcW w:w="0" w:type="dxa"/>
            <w:vAlign w:val="bottom"/>
          </w:tcPr>
          <w:p>
            <w:pPr>
              <w:spacing w:after="0"/>
              <w:rPr>
                <w:sz w:val="1"/>
                <w:szCs w:val="1"/>
                <w:color w:val="auto"/>
              </w:rPr>
            </w:pPr>
          </w:p>
        </w:tc>
      </w:tr>
      <w:tr>
        <w:trPr>
          <w:trHeight w:val="160"/>
        </w:trPr>
        <w:tc>
          <w:tcPr>
            <w:tcW w:w="680" w:type="dxa"/>
            <w:vAlign w:val="bottom"/>
            <w:gridSpan w:val="2"/>
            <w:vMerge w:val="continue"/>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5120" w:type="dxa"/>
            <w:vAlign w:val="bottom"/>
            <w:tcBorders>
              <w:bottom w:val="single" w:sz="8" w:color="auto"/>
            </w:tcBorders>
            <w:gridSpan w:val="19"/>
          </w:tcPr>
          <w:p>
            <w:pPr>
              <w:spacing w:after="0" w:line="160" w:lineRule="exact"/>
              <w:rPr>
                <w:sz w:val="20"/>
                <w:szCs w:val="20"/>
                <w:color w:val="auto"/>
              </w:rPr>
            </w:pPr>
            <w:r>
              <w:rPr>
                <w:rFonts w:ascii="Arial" w:cs="Arial" w:eastAsia="Arial" w:hAnsi="Arial"/>
                <w:sz w:val="18"/>
                <w:szCs w:val="18"/>
                <w:color w:val="auto"/>
                <w:w w:val="94"/>
              </w:rPr>
              <w:t>MATTERS, AND ISSUER PURCHASES OF EQUITY SECURITIES</w:t>
            </w:r>
          </w:p>
        </w:tc>
        <w:tc>
          <w:tcPr>
            <w:tcW w:w="1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320" w:type="dxa"/>
            <w:vAlign w:val="bottom"/>
            <w:gridSpan w:val="5"/>
          </w:tcPr>
          <w:p>
            <w:pPr>
              <w:spacing w:after="0"/>
              <w:rPr>
                <w:sz w:val="20"/>
                <w:szCs w:val="20"/>
                <w:color w:val="auto"/>
              </w:rPr>
            </w:pPr>
            <w:r>
              <w:rPr>
                <w:rFonts w:ascii="Arial" w:cs="Arial" w:eastAsia="Arial" w:hAnsi="Arial"/>
                <w:sz w:val="18"/>
                <w:szCs w:val="18"/>
                <w:color w:val="auto"/>
              </w:rPr>
              <w:t>Item 6</w:t>
            </w:r>
          </w:p>
        </w:tc>
        <w:tc>
          <w:tcPr>
            <w:tcW w:w="6380" w:type="dxa"/>
            <w:vAlign w:val="bottom"/>
            <w:gridSpan w:val="26"/>
          </w:tcPr>
          <w:p>
            <w:pPr>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320" w:type="dxa"/>
            <w:vAlign w:val="bottom"/>
            <w:gridSpan w:val="5"/>
            <w:vMerge w:val="restart"/>
          </w:tcPr>
          <w:p>
            <w:pPr>
              <w:spacing w:after="0"/>
              <w:rPr>
                <w:sz w:val="20"/>
                <w:szCs w:val="20"/>
                <w:color w:val="auto"/>
              </w:rPr>
            </w:pPr>
            <w:r>
              <w:rPr>
                <w:rFonts w:ascii="Arial" w:cs="Arial" w:eastAsia="Arial" w:hAnsi="Arial"/>
                <w:sz w:val="18"/>
                <w:szCs w:val="18"/>
                <w:color w:val="auto"/>
              </w:rPr>
              <w:t>Item 7</w:t>
            </w:r>
          </w:p>
        </w:tc>
        <w:tc>
          <w:tcPr>
            <w:tcW w:w="6380" w:type="dxa"/>
            <w:vAlign w:val="bottom"/>
            <w:gridSpan w:val="26"/>
          </w:tcPr>
          <w:p>
            <w:pPr>
              <w:spacing w:after="0"/>
              <w:rPr>
                <w:sz w:val="20"/>
                <w:szCs w:val="20"/>
                <w:color w:val="auto"/>
              </w:rPr>
            </w:pPr>
            <w:r>
              <w:rPr>
                <w:rFonts w:ascii="Arial" w:cs="Arial" w:eastAsia="Arial" w:hAnsi="Arial"/>
                <w:sz w:val="18"/>
                <w:szCs w:val="18"/>
                <w:color w:val="auto"/>
              </w:rPr>
              <w:t>MANAGEMENT’S DISCUSSION AND ANALYSIS OF FINANCIAL CONDITION</w:t>
            </w:r>
          </w:p>
        </w:tc>
        <w:tc>
          <w:tcPr>
            <w:tcW w:w="0" w:type="dxa"/>
            <w:vAlign w:val="bottom"/>
          </w:tcPr>
          <w:p>
            <w:pPr>
              <w:spacing w:after="0"/>
              <w:rPr>
                <w:sz w:val="1"/>
                <w:szCs w:val="1"/>
                <w:color w:val="auto"/>
              </w:rPr>
            </w:pPr>
          </w:p>
        </w:tc>
      </w:tr>
      <w:tr>
        <w:trPr>
          <w:trHeight w:val="160"/>
        </w:trPr>
        <w:tc>
          <w:tcPr>
            <w:tcW w:w="1320" w:type="dxa"/>
            <w:vAlign w:val="bottom"/>
            <w:gridSpan w:val="5"/>
            <w:vMerge w:val="continue"/>
          </w:tcPr>
          <w:p>
            <w:pPr>
              <w:spacing w:after="0"/>
              <w:rPr>
                <w:sz w:val="13"/>
                <w:szCs w:val="13"/>
                <w:color w:val="auto"/>
              </w:rPr>
            </w:pPr>
          </w:p>
        </w:tc>
        <w:tc>
          <w:tcPr>
            <w:tcW w:w="6300" w:type="dxa"/>
            <w:vAlign w:val="bottom"/>
            <w:tcBorders>
              <w:top w:val="single" w:sz="8" w:color="auto"/>
            </w:tcBorders>
            <w:gridSpan w:val="25"/>
          </w:tcPr>
          <w:p>
            <w:pPr>
              <w:spacing w:after="0" w:line="160" w:lineRule="exact"/>
              <w:rPr>
                <w:sz w:val="20"/>
                <w:szCs w:val="20"/>
                <w:color w:val="auto"/>
              </w:rPr>
            </w:pPr>
            <w:r>
              <w:rPr>
                <w:rFonts w:ascii="Arial" w:cs="Arial" w:eastAsia="Arial" w:hAnsi="Arial"/>
                <w:sz w:val="18"/>
                <w:szCs w:val="18"/>
                <w:color w:val="auto"/>
              </w:rPr>
              <w:t>AND RESULTS OF OPERATIONS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32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6380" w:type="dxa"/>
            <w:vAlign w:val="bottom"/>
            <w:gridSpan w:val="26"/>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0" w:type="dxa"/>
            <w:vAlign w:val="bottom"/>
          </w:tcPr>
          <w:p>
            <w:pPr>
              <w:spacing w:after="0"/>
              <w:rPr>
                <w:sz w:val="1"/>
                <w:szCs w:val="1"/>
                <w:color w:val="auto"/>
              </w:rPr>
            </w:pPr>
          </w:p>
        </w:tc>
      </w:tr>
      <w:tr>
        <w:trPr>
          <w:trHeight w:val="235"/>
        </w:trPr>
        <w:tc>
          <w:tcPr>
            <w:tcW w:w="1320" w:type="dxa"/>
            <w:vAlign w:val="bottom"/>
            <w:gridSpan w:val="5"/>
          </w:tcPr>
          <w:p>
            <w:pPr>
              <w:spacing w:after="0"/>
              <w:rPr>
                <w:sz w:val="20"/>
                <w:szCs w:val="20"/>
                <w:color w:val="auto"/>
              </w:rPr>
            </w:pPr>
            <w:r>
              <w:rPr>
                <w:rFonts w:ascii="Arial" w:cs="Arial" w:eastAsia="Arial" w:hAnsi="Arial"/>
                <w:sz w:val="18"/>
                <w:szCs w:val="18"/>
                <w:color w:val="auto"/>
              </w:rPr>
              <w:t>Item 8</w:t>
            </w:r>
          </w:p>
        </w:tc>
        <w:tc>
          <w:tcPr>
            <w:tcW w:w="6200" w:type="dxa"/>
            <w:vAlign w:val="bottom"/>
            <w:tcBorders>
              <w:top w:val="single" w:sz="8" w:color="auto"/>
            </w:tcBorders>
            <w:gridSpan w:val="24"/>
          </w:tcPr>
          <w:p>
            <w:pPr>
              <w:spacing w:after="0"/>
              <w:rPr>
                <w:sz w:val="20"/>
                <w:szCs w:val="20"/>
                <w:color w:val="auto"/>
              </w:rPr>
            </w:pPr>
            <w:r>
              <w:rPr>
                <w:rFonts w:ascii="Arial" w:cs="Arial" w:eastAsia="Arial" w:hAnsi="Arial"/>
                <w:sz w:val="18"/>
                <w:szCs w:val="18"/>
                <w:color w:val="auto"/>
              </w:rPr>
              <w:t>FINANCIAL STATEMENTS AND SUPPLEMENTARY DATA</w:t>
            </w:r>
          </w:p>
        </w:tc>
        <w:tc>
          <w:tcPr>
            <w:tcW w:w="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320" w:type="dxa"/>
            <w:vAlign w:val="bottom"/>
            <w:gridSpan w:val="5"/>
            <w:vMerge w:val="restart"/>
          </w:tcPr>
          <w:p>
            <w:pPr>
              <w:spacing w:after="0"/>
              <w:rPr>
                <w:sz w:val="20"/>
                <w:szCs w:val="20"/>
                <w:color w:val="auto"/>
              </w:rPr>
            </w:pPr>
            <w:r>
              <w:rPr>
                <w:rFonts w:ascii="Arial" w:cs="Arial" w:eastAsia="Arial" w:hAnsi="Arial"/>
                <w:sz w:val="18"/>
                <w:szCs w:val="18"/>
                <w:color w:val="auto"/>
              </w:rPr>
              <w:t>Item 9</w:t>
            </w:r>
          </w:p>
        </w:tc>
        <w:tc>
          <w:tcPr>
            <w:tcW w:w="6380" w:type="dxa"/>
            <w:vAlign w:val="bottom"/>
            <w:gridSpan w:val="26"/>
          </w:tcPr>
          <w:p>
            <w:pPr>
              <w:spacing w:after="0"/>
              <w:rPr>
                <w:sz w:val="20"/>
                <w:szCs w:val="20"/>
                <w:color w:val="auto"/>
              </w:rPr>
            </w:pPr>
            <w:r>
              <w:rPr>
                <w:rFonts w:ascii="Arial" w:cs="Arial" w:eastAsia="Arial" w:hAnsi="Arial"/>
                <w:sz w:val="18"/>
                <w:szCs w:val="18"/>
                <w:color w:val="auto"/>
              </w:rPr>
              <w:t>CHANGES IN AND DISAGREEMENTS WITH ACCOUNTANTS ON</w:t>
            </w:r>
          </w:p>
        </w:tc>
        <w:tc>
          <w:tcPr>
            <w:tcW w:w="0" w:type="dxa"/>
            <w:vAlign w:val="bottom"/>
          </w:tcPr>
          <w:p>
            <w:pPr>
              <w:spacing w:after="0"/>
              <w:rPr>
                <w:sz w:val="1"/>
                <w:szCs w:val="1"/>
                <w:color w:val="auto"/>
              </w:rPr>
            </w:pPr>
          </w:p>
        </w:tc>
      </w:tr>
      <w:tr>
        <w:trPr>
          <w:trHeight w:val="160"/>
        </w:trPr>
        <w:tc>
          <w:tcPr>
            <w:tcW w:w="1320" w:type="dxa"/>
            <w:vAlign w:val="bottom"/>
            <w:gridSpan w:val="5"/>
            <w:vMerge w:val="continue"/>
          </w:tcPr>
          <w:p>
            <w:pPr>
              <w:spacing w:after="0"/>
              <w:rPr>
                <w:sz w:val="13"/>
                <w:szCs w:val="13"/>
                <w:color w:val="auto"/>
              </w:rPr>
            </w:pPr>
          </w:p>
        </w:tc>
        <w:tc>
          <w:tcPr>
            <w:tcW w:w="5300" w:type="dxa"/>
            <w:vAlign w:val="bottom"/>
            <w:tcBorders>
              <w:top w:val="single" w:sz="8" w:color="auto"/>
            </w:tcBorders>
            <w:gridSpan w:val="20"/>
          </w:tcPr>
          <w:p>
            <w:pPr>
              <w:spacing w:after="0" w:line="160" w:lineRule="exact"/>
              <w:rPr>
                <w:sz w:val="20"/>
                <w:szCs w:val="20"/>
                <w:color w:val="auto"/>
              </w:rPr>
            </w:pPr>
            <w:r>
              <w:rPr>
                <w:rFonts w:ascii="Arial" w:cs="Arial" w:eastAsia="Arial" w:hAnsi="Arial"/>
                <w:sz w:val="18"/>
                <w:szCs w:val="18"/>
                <w:color w:val="auto"/>
              </w:rPr>
              <w:t>ACCOUNTING AND FINANCIAL DISCLOSURE</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32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2640" w:type="dxa"/>
            <w:vAlign w:val="bottom"/>
            <w:tcBorders>
              <w:top w:val="single" w:sz="8" w:color="auto"/>
              <w:bottom w:val="single" w:sz="8" w:color="auto"/>
            </w:tcBorders>
            <w:gridSpan w:val="12"/>
          </w:tcPr>
          <w:p>
            <w:pPr>
              <w:spacing w:after="0"/>
              <w:rPr>
                <w:sz w:val="20"/>
                <w:szCs w:val="20"/>
                <w:color w:val="auto"/>
              </w:rPr>
            </w:pPr>
            <w:r>
              <w:rPr>
                <w:rFonts w:ascii="Arial" w:cs="Arial" w:eastAsia="Arial" w:hAnsi="Arial"/>
                <w:sz w:val="18"/>
                <w:szCs w:val="18"/>
                <w:color w:val="auto"/>
                <w:w w:val="94"/>
              </w:rPr>
              <w:t>CONTROLS AND PROCEDURES</w:t>
            </w:r>
          </w:p>
        </w:tc>
        <w:tc>
          <w:tcPr>
            <w:tcW w:w="1140" w:type="dxa"/>
            <w:vAlign w:val="bottom"/>
            <w:tcBorders>
              <w:top w:val="single" w:sz="8" w:color="auto"/>
            </w:tcBorders>
            <w:gridSpan w:val="2"/>
          </w:tcPr>
          <w:p>
            <w:pPr>
              <w:spacing w:after="0"/>
              <w:rPr>
                <w:sz w:val="20"/>
                <w:szCs w:val="20"/>
                <w:color w:val="auto"/>
              </w:rPr>
            </w:pPr>
          </w:p>
        </w:tc>
        <w:tc>
          <w:tcPr>
            <w:tcW w:w="260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32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90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6"/>
              </w:rPr>
              <w:t>OTHER INFORMATION</w:t>
            </w:r>
          </w:p>
        </w:tc>
        <w:tc>
          <w:tcPr>
            <w:tcW w:w="448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320" w:type="dxa"/>
            <w:vAlign w:val="bottom"/>
            <w:gridSpan w:val="5"/>
            <w:vMerge w:val="restart"/>
          </w:tcPr>
          <w:p>
            <w:pPr>
              <w:spacing w:after="0"/>
              <w:rPr>
                <w:sz w:val="20"/>
                <w:szCs w:val="20"/>
                <w:color w:val="auto"/>
              </w:rPr>
            </w:pPr>
            <w:r>
              <w:rPr>
                <w:rFonts w:ascii="Arial" w:cs="Arial" w:eastAsia="Arial" w:hAnsi="Arial"/>
                <w:sz w:val="18"/>
                <w:szCs w:val="18"/>
                <w:color w:val="auto"/>
              </w:rPr>
              <w:t>Item 9C</w:t>
            </w:r>
          </w:p>
        </w:tc>
        <w:tc>
          <w:tcPr>
            <w:tcW w:w="6380" w:type="dxa"/>
            <w:vAlign w:val="bottom"/>
            <w:gridSpan w:val="26"/>
          </w:tcPr>
          <w:p>
            <w:pPr>
              <w:spacing w:after="0"/>
              <w:rPr>
                <w:sz w:val="20"/>
                <w:szCs w:val="20"/>
                <w:color w:val="auto"/>
              </w:rPr>
            </w:pPr>
            <w:r>
              <w:rPr>
                <w:rFonts w:ascii="Arial" w:cs="Arial" w:eastAsia="Arial" w:hAnsi="Arial"/>
                <w:sz w:val="18"/>
                <w:szCs w:val="18"/>
                <w:color w:val="auto"/>
              </w:rPr>
              <w:t>DISCLOSURE REGARDING FOREIGN JURISDICTIONS THAT PREVENT</w:t>
            </w:r>
          </w:p>
        </w:tc>
        <w:tc>
          <w:tcPr>
            <w:tcW w:w="0" w:type="dxa"/>
            <w:vAlign w:val="bottom"/>
          </w:tcPr>
          <w:p>
            <w:pPr>
              <w:spacing w:after="0"/>
              <w:rPr>
                <w:sz w:val="1"/>
                <w:szCs w:val="1"/>
                <w:color w:val="auto"/>
              </w:rPr>
            </w:pPr>
          </w:p>
        </w:tc>
      </w:tr>
      <w:tr>
        <w:trPr>
          <w:trHeight w:val="160"/>
        </w:trPr>
        <w:tc>
          <w:tcPr>
            <w:tcW w:w="1320" w:type="dxa"/>
            <w:vAlign w:val="bottom"/>
            <w:gridSpan w:val="5"/>
            <w:vMerge w:val="continue"/>
          </w:tcPr>
          <w:p>
            <w:pPr>
              <w:spacing w:after="0"/>
              <w:rPr>
                <w:sz w:val="13"/>
                <w:szCs w:val="13"/>
                <w:color w:val="auto"/>
              </w:rPr>
            </w:pPr>
          </w:p>
        </w:tc>
        <w:tc>
          <w:tcPr>
            <w:tcW w:w="5820" w:type="dxa"/>
            <w:vAlign w:val="bottom"/>
            <w:tcBorders>
              <w:top w:val="single" w:sz="8" w:color="auto"/>
            </w:tcBorders>
            <w:gridSpan w:val="23"/>
          </w:tcPr>
          <w:p>
            <w:pPr>
              <w:spacing w:after="0" w:line="160" w:lineRule="exact"/>
              <w:rPr>
                <w:sz w:val="20"/>
                <w:szCs w:val="20"/>
                <w:color w:val="auto"/>
              </w:rPr>
            </w:pPr>
            <w:r>
              <w:rPr>
                <w:rFonts w:ascii="Arial" w:cs="Arial" w:eastAsia="Arial" w:hAnsi="Arial"/>
                <w:sz w:val="18"/>
                <w:szCs w:val="18"/>
                <w:color w:val="auto"/>
              </w:rPr>
              <w:t>INSPECTIONS</w:t>
            </w:r>
          </w:p>
        </w:tc>
        <w:tc>
          <w:tcPr>
            <w:tcW w:w="5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550"/>
        </w:trPr>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PART III</w:t>
            </w:r>
          </w:p>
        </w:tc>
        <w:tc>
          <w:tcPr>
            <w:tcW w:w="5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32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6380" w:type="dxa"/>
            <w:vAlign w:val="bottom"/>
            <w:gridSpan w:val="26"/>
          </w:tcPr>
          <w:p>
            <w:pPr>
              <w:spacing w:after="0"/>
              <w:rPr>
                <w:sz w:val="20"/>
                <w:szCs w:val="20"/>
                <w:color w:val="auto"/>
              </w:rPr>
            </w:pPr>
            <w:r>
              <w:rPr>
                <w:rFonts w:ascii="Arial" w:cs="Arial" w:eastAsia="Arial" w:hAnsi="Arial"/>
                <w:sz w:val="18"/>
                <w:szCs w:val="18"/>
                <w:color w:val="auto"/>
              </w:rPr>
              <w:t>DIRECTORS, EXECUTIVE OFFICERS AND CORPORATE GOVERNANCE</w:t>
            </w:r>
          </w:p>
        </w:tc>
        <w:tc>
          <w:tcPr>
            <w:tcW w:w="0" w:type="dxa"/>
            <w:vAlign w:val="bottom"/>
          </w:tcPr>
          <w:p>
            <w:pPr>
              <w:spacing w:after="0"/>
              <w:rPr>
                <w:sz w:val="1"/>
                <w:szCs w:val="1"/>
                <w:color w:val="auto"/>
              </w:rPr>
            </w:pPr>
          </w:p>
        </w:tc>
      </w:tr>
      <w:tr>
        <w:trPr>
          <w:trHeight w:val="235"/>
        </w:trPr>
        <w:tc>
          <w:tcPr>
            <w:tcW w:w="132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2460" w:type="dxa"/>
            <w:vAlign w:val="bottom"/>
            <w:tcBorders>
              <w:top w:val="single" w:sz="8" w:color="auto"/>
              <w:bottom w:val="single" w:sz="8" w:color="auto"/>
            </w:tcBorders>
            <w:gridSpan w:val="11"/>
          </w:tcPr>
          <w:p>
            <w:pPr>
              <w:spacing w:after="0"/>
              <w:rPr>
                <w:sz w:val="20"/>
                <w:szCs w:val="20"/>
                <w:color w:val="auto"/>
              </w:rPr>
            </w:pPr>
            <w:r>
              <w:rPr>
                <w:rFonts w:ascii="Arial" w:cs="Arial" w:eastAsia="Arial" w:hAnsi="Arial"/>
                <w:sz w:val="18"/>
                <w:szCs w:val="18"/>
                <w:color w:val="auto"/>
                <w:w w:val="96"/>
              </w:rPr>
              <w:t>EXECUTIVE COMPENSATION</w:t>
            </w:r>
          </w:p>
        </w:tc>
        <w:tc>
          <w:tcPr>
            <w:tcW w:w="3340" w:type="dxa"/>
            <w:vAlign w:val="bottom"/>
            <w:tcBorders>
              <w:top w:val="single" w:sz="8" w:color="auto"/>
            </w:tcBorders>
            <w:gridSpan w:val="11"/>
          </w:tcPr>
          <w:p>
            <w:pPr>
              <w:spacing w:after="0"/>
              <w:rPr>
                <w:sz w:val="20"/>
                <w:szCs w:val="20"/>
                <w:color w:val="auto"/>
              </w:rPr>
            </w:pPr>
          </w:p>
        </w:tc>
        <w:tc>
          <w:tcPr>
            <w:tcW w:w="58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320" w:type="dxa"/>
            <w:vAlign w:val="bottom"/>
            <w:gridSpan w:val="5"/>
            <w:vMerge w:val="restart"/>
          </w:tcPr>
          <w:p>
            <w:pPr>
              <w:spacing w:after="0"/>
              <w:rPr>
                <w:sz w:val="20"/>
                <w:szCs w:val="20"/>
                <w:color w:val="auto"/>
              </w:rPr>
            </w:pPr>
            <w:r>
              <w:rPr>
                <w:rFonts w:ascii="Arial" w:cs="Arial" w:eastAsia="Arial" w:hAnsi="Arial"/>
                <w:sz w:val="18"/>
                <w:szCs w:val="18"/>
                <w:color w:val="auto"/>
              </w:rPr>
              <w:t>Item 12*</w:t>
            </w:r>
          </w:p>
        </w:tc>
        <w:tc>
          <w:tcPr>
            <w:tcW w:w="6380" w:type="dxa"/>
            <w:vAlign w:val="bottom"/>
            <w:gridSpan w:val="26"/>
          </w:tcPr>
          <w:p>
            <w:pPr>
              <w:spacing w:after="0"/>
              <w:rPr>
                <w:sz w:val="20"/>
                <w:szCs w:val="20"/>
                <w:color w:val="auto"/>
              </w:rPr>
            </w:pPr>
            <w:r>
              <w:rPr>
                <w:rFonts w:ascii="Arial" w:cs="Arial" w:eastAsia="Arial" w:hAnsi="Arial"/>
                <w:sz w:val="18"/>
                <w:szCs w:val="18"/>
                <w:color w:val="auto"/>
              </w:rPr>
              <w:t>SECURITY OWNERSHIP OF CERTAIN BENEFICIAL OWNERS AND</w:t>
            </w:r>
          </w:p>
        </w:tc>
        <w:tc>
          <w:tcPr>
            <w:tcW w:w="0" w:type="dxa"/>
            <w:vAlign w:val="bottom"/>
          </w:tcPr>
          <w:p>
            <w:pPr>
              <w:spacing w:after="0"/>
              <w:rPr>
                <w:sz w:val="1"/>
                <w:szCs w:val="1"/>
                <w:color w:val="auto"/>
              </w:rPr>
            </w:pPr>
          </w:p>
        </w:tc>
      </w:tr>
      <w:tr>
        <w:trPr>
          <w:trHeight w:val="160"/>
        </w:trPr>
        <w:tc>
          <w:tcPr>
            <w:tcW w:w="1320" w:type="dxa"/>
            <w:vAlign w:val="bottom"/>
            <w:gridSpan w:val="5"/>
            <w:vMerge w:val="continue"/>
          </w:tcPr>
          <w:p>
            <w:pPr>
              <w:spacing w:after="0"/>
              <w:rPr>
                <w:sz w:val="13"/>
                <w:szCs w:val="13"/>
                <w:color w:val="auto"/>
              </w:rPr>
            </w:pPr>
          </w:p>
        </w:tc>
        <w:tc>
          <w:tcPr>
            <w:tcW w:w="5440" w:type="dxa"/>
            <w:vAlign w:val="bottom"/>
            <w:tcBorders>
              <w:top w:val="single" w:sz="8" w:color="auto"/>
            </w:tcBorders>
            <w:gridSpan w:val="21"/>
          </w:tcPr>
          <w:p>
            <w:pPr>
              <w:spacing w:after="0" w:line="160" w:lineRule="exact"/>
              <w:rPr>
                <w:sz w:val="20"/>
                <w:szCs w:val="20"/>
                <w:color w:val="auto"/>
              </w:rPr>
            </w:pPr>
            <w:r>
              <w:rPr>
                <w:rFonts w:ascii="Arial" w:cs="Arial" w:eastAsia="Arial" w:hAnsi="Arial"/>
                <w:sz w:val="18"/>
                <w:szCs w:val="18"/>
                <w:color w:val="auto"/>
              </w:rPr>
              <w:t>MANAGEMENT AND RELATED STOCKHOLDER MATTERS</w:t>
            </w:r>
          </w:p>
        </w:tc>
        <w:tc>
          <w:tcPr>
            <w:tcW w:w="9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6"/>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100" w:type="dxa"/>
            <w:vAlign w:val="bottom"/>
            <w:gridSpan w:val="6"/>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320" w:type="dxa"/>
            <w:vAlign w:val="bottom"/>
            <w:gridSpan w:val="5"/>
            <w:vMerge w:val="restart"/>
          </w:tcPr>
          <w:p>
            <w:pPr>
              <w:spacing w:after="0"/>
              <w:rPr>
                <w:sz w:val="20"/>
                <w:szCs w:val="20"/>
                <w:color w:val="auto"/>
              </w:rPr>
            </w:pPr>
            <w:r>
              <w:rPr>
                <w:rFonts w:ascii="Arial" w:cs="Arial" w:eastAsia="Arial" w:hAnsi="Arial"/>
                <w:sz w:val="18"/>
                <w:szCs w:val="18"/>
                <w:color w:val="auto"/>
              </w:rPr>
              <w:t>Item 13*</w:t>
            </w:r>
          </w:p>
        </w:tc>
        <w:tc>
          <w:tcPr>
            <w:tcW w:w="6380" w:type="dxa"/>
            <w:vAlign w:val="bottom"/>
            <w:tcBorders>
              <w:bottom w:val="single" w:sz="8" w:color="auto"/>
            </w:tcBorders>
            <w:gridSpan w:val="26"/>
          </w:tcPr>
          <w:p>
            <w:pPr>
              <w:spacing w:after="0"/>
              <w:rPr>
                <w:sz w:val="20"/>
                <w:szCs w:val="20"/>
                <w:color w:val="auto"/>
              </w:rPr>
            </w:pPr>
            <w:r>
              <w:rPr>
                <w:rFonts w:ascii="Arial" w:cs="Arial" w:eastAsia="Arial" w:hAnsi="Arial"/>
                <w:sz w:val="18"/>
                <w:szCs w:val="18"/>
                <w:color w:val="auto"/>
                <w:w w:val="97"/>
              </w:rPr>
              <w:t>CERTAIN RELATIONSHIPS AND RELATED TRANSACTIONS, AND DIRECTOR</w:t>
            </w:r>
          </w:p>
        </w:tc>
        <w:tc>
          <w:tcPr>
            <w:tcW w:w="0" w:type="dxa"/>
            <w:vAlign w:val="bottom"/>
          </w:tcPr>
          <w:p>
            <w:pPr>
              <w:spacing w:after="0"/>
              <w:rPr>
                <w:sz w:val="1"/>
                <w:szCs w:val="1"/>
                <w:color w:val="auto"/>
              </w:rPr>
            </w:pPr>
          </w:p>
        </w:tc>
      </w:tr>
      <w:tr>
        <w:trPr>
          <w:trHeight w:val="160"/>
        </w:trPr>
        <w:tc>
          <w:tcPr>
            <w:tcW w:w="1320" w:type="dxa"/>
            <w:vAlign w:val="bottom"/>
            <w:gridSpan w:val="5"/>
            <w:vMerge w:val="continue"/>
          </w:tcPr>
          <w:p>
            <w:pPr>
              <w:spacing w:after="0"/>
              <w:rPr>
                <w:sz w:val="13"/>
                <w:szCs w:val="13"/>
                <w:color w:val="auto"/>
              </w:rPr>
            </w:pPr>
          </w:p>
        </w:tc>
        <w:tc>
          <w:tcPr>
            <w:tcW w:w="6380" w:type="dxa"/>
            <w:vAlign w:val="bottom"/>
            <w:gridSpan w:val="26"/>
          </w:tcPr>
          <w:p>
            <w:pPr>
              <w:spacing w:after="0" w:line="160" w:lineRule="exact"/>
              <w:rPr>
                <w:sz w:val="20"/>
                <w:szCs w:val="20"/>
                <w:color w:val="auto"/>
              </w:rPr>
            </w:pPr>
            <w:r>
              <w:rPr>
                <w:rFonts w:ascii="Arial" w:cs="Arial" w:eastAsia="Arial" w:hAnsi="Arial"/>
                <w:sz w:val="18"/>
                <w:szCs w:val="18"/>
                <w:color w:val="auto"/>
              </w:rPr>
              <w:t>INDEPENDENCE</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60" w:type="dxa"/>
            <w:vAlign w:val="bottom"/>
            <w:gridSpan w:val="6"/>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32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6380" w:type="dxa"/>
            <w:vAlign w:val="bottom"/>
            <w:gridSpan w:val="26"/>
          </w:tcPr>
          <w:p>
            <w:pPr>
              <w:spacing w:after="0"/>
              <w:rPr>
                <w:sz w:val="20"/>
                <w:szCs w:val="20"/>
                <w:color w:val="auto"/>
              </w:rPr>
            </w:pPr>
            <w:r>
              <w:rPr>
                <w:rFonts w:ascii="Arial" w:cs="Arial" w:eastAsia="Arial" w:hAnsi="Arial"/>
                <w:sz w:val="18"/>
                <w:szCs w:val="18"/>
                <w:color w:val="auto"/>
              </w:rPr>
              <w:t>PRINCIPAL ACCOUNTANT FEES AND SERVICES</w:t>
            </w:r>
          </w:p>
        </w:tc>
        <w:tc>
          <w:tcPr>
            <w:tcW w:w="0" w:type="dxa"/>
            <w:vAlign w:val="bottom"/>
          </w:tcPr>
          <w:p>
            <w:pPr>
              <w:spacing w:after="0"/>
              <w:rPr>
                <w:sz w:val="1"/>
                <w:szCs w:val="1"/>
                <w:color w:val="auto"/>
              </w:rPr>
            </w:pPr>
          </w:p>
        </w:tc>
      </w:tr>
      <w:tr>
        <w:trPr>
          <w:trHeight w:val="490"/>
        </w:trPr>
        <w:tc>
          <w:tcPr>
            <w:tcW w:w="1320" w:type="dxa"/>
            <w:vAlign w:val="bottom"/>
            <w:gridSpan w:val="5"/>
          </w:tcPr>
          <w:p>
            <w:pPr>
              <w:spacing w:after="0"/>
              <w:rPr>
                <w:sz w:val="20"/>
                <w:szCs w:val="20"/>
                <w:color w:val="auto"/>
              </w:rPr>
            </w:pPr>
            <w:r>
              <w:rPr>
                <w:rFonts w:ascii="Arial" w:cs="Arial" w:eastAsia="Arial" w:hAnsi="Arial"/>
                <w:sz w:val="18"/>
                <w:szCs w:val="18"/>
                <w:b w:val="1"/>
                <w:bCs w:val="1"/>
                <w:color w:val="auto"/>
              </w:rPr>
              <w:t>PART IV</w:t>
            </w: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Item 15</w:t>
            </w:r>
          </w:p>
        </w:tc>
        <w:tc>
          <w:tcPr>
            <w:tcW w:w="580" w:type="dxa"/>
            <w:vAlign w:val="bottom"/>
            <w:gridSpan w:val="2"/>
          </w:tcPr>
          <w:p>
            <w:pPr>
              <w:spacing w:after="0"/>
              <w:rPr>
                <w:sz w:val="20"/>
                <w:szCs w:val="20"/>
                <w:color w:val="auto"/>
              </w:rPr>
            </w:pPr>
          </w:p>
        </w:tc>
        <w:tc>
          <w:tcPr>
            <w:tcW w:w="6380" w:type="dxa"/>
            <w:vAlign w:val="bottom"/>
            <w:gridSpan w:val="26"/>
          </w:tcPr>
          <w:p>
            <w:pPr>
              <w:spacing w:after="0"/>
              <w:rPr>
                <w:sz w:val="20"/>
                <w:szCs w:val="20"/>
                <w:color w:val="auto"/>
              </w:rPr>
            </w:pPr>
            <w:r>
              <w:rPr>
                <w:rFonts w:ascii="Arial" w:cs="Arial" w:eastAsia="Arial" w:hAnsi="Arial"/>
                <w:sz w:val="18"/>
                <w:szCs w:val="18"/>
                <w:color w:val="auto"/>
              </w:rPr>
              <w:t>EXHIBITS AND FINANCIAL STATEMENT SCHEDULES</w:t>
            </w:r>
          </w:p>
        </w:tc>
        <w:tc>
          <w:tcPr>
            <w:tcW w:w="0" w:type="dxa"/>
            <w:vAlign w:val="bottom"/>
          </w:tcPr>
          <w:p>
            <w:pPr>
              <w:spacing w:after="0"/>
              <w:rPr>
                <w:sz w:val="1"/>
                <w:szCs w:val="1"/>
                <w:color w:val="auto"/>
              </w:rPr>
            </w:pPr>
          </w:p>
        </w:tc>
      </w:tr>
      <w:tr>
        <w:trPr>
          <w:trHeight w:val="235"/>
        </w:trPr>
        <w:tc>
          <w:tcPr>
            <w:tcW w:w="132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1900" w:type="dxa"/>
            <w:vAlign w:val="bottom"/>
            <w:tcBorders>
              <w:top w:val="single" w:sz="8" w:color="auto"/>
              <w:bottom w:val="single" w:sz="8" w:color="auto"/>
            </w:tcBorders>
            <w:gridSpan w:val="9"/>
          </w:tcPr>
          <w:p>
            <w:pPr>
              <w:spacing w:after="0"/>
              <w:rPr>
                <w:sz w:val="20"/>
                <w:szCs w:val="20"/>
                <w:color w:val="auto"/>
              </w:rPr>
            </w:pPr>
            <w:r>
              <w:rPr>
                <w:rFonts w:ascii="Arial" w:cs="Arial" w:eastAsia="Arial" w:hAnsi="Arial"/>
                <w:sz w:val="18"/>
                <w:szCs w:val="18"/>
                <w:color w:val="auto"/>
                <w:w w:val="97"/>
              </w:rPr>
              <w:t>FORM 10-K SUMMARY</w:t>
            </w:r>
          </w:p>
        </w:tc>
        <w:tc>
          <w:tcPr>
            <w:tcW w:w="2560" w:type="dxa"/>
            <w:vAlign w:val="bottom"/>
            <w:tcBorders>
              <w:top w:val="single" w:sz="8" w:color="auto"/>
            </w:tcBorders>
            <w:gridSpan w:val="7"/>
          </w:tcPr>
          <w:p>
            <w:pPr>
              <w:spacing w:after="0"/>
              <w:rPr>
                <w:sz w:val="20"/>
                <w:szCs w:val="20"/>
                <w:color w:val="auto"/>
              </w:rPr>
            </w:pPr>
          </w:p>
        </w:tc>
        <w:tc>
          <w:tcPr>
            <w:tcW w:w="192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-5428615</wp:posOffset>
                </wp:positionV>
                <wp:extent cx="5848350" cy="16192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0" cy="161925"/>
                        </a:xfrm>
                        <a:prstGeom prst="rect">
                          <a:avLst/>
                        </a:prstGeom>
                        <a:solidFill>
                          <a:srgbClr val="E6E6E6"/>
                        </a:solidFill>
                      </wps:spPr>
                      <wps:bodyPr/>
                    </wps:wsp>
                  </a:graphicData>
                </a:graphic>
              </wp:anchor>
            </w:drawing>
          </mc:Choice>
          <mc:Fallback>
            <w:pict>
              <v:rect id="Shape 52" o:spid="_x0000_s1077" style="position:absolute;margin-left:1.5pt;margin-top:-427.4499pt;width:460.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-5104765</wp:posOffset>
                </wp:positionV>
                <wp:extent cx="5848350" cy="16192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0" cy="161925"/>
                        </a:xfrm>
                        <a:prstGeom prst="rect">
                          <a:avLst/>
                        </a:prstGeom>
                        <a:solidFill>
                          <a:srgbClr val="E6E6E6"/>
                        </a:solidFill>
                      </wps:spPr>
                      <wps:bodyPr/>
                    </wps:wsp>
                  </a:graphicData>
                </a:graphic>
              </wp:anchor>
            </w:drawing>
          </mc:Choice>
          <mc:Fallback>
            <w:pict>
              <v:rect id="Shape 53" o:spid="_x0000_s1078" style="position:absolute;margin-left:1.5pt;margin-top:-401.9499pt;width:460.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-4780915</wp:posOffset>
                </wp:positionV>
                <wp:extent cx="5848350" cy="16192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0" cy="161925"/>
                        </a:xfrm>
                        <a:prstGeom prst="rect">
                          <a:avLst/>
                        </a:prstGeom>
                        <a:solidFill>
                          <a:srgbClr val="E6E6E6"/>
                        </a:solidFill>
                      </wps:spPr>
                      <wps:bodyPr/>
                    </wps:wsp>
                  </a:graphicData>
                </a:graphic>
              </wp:anchor>
            </w:drawing>
          </mc:Choice>
          <mc:Fallback>
            <w:pict>
              <v:rect id="Shape 54" o:spid="_x0000_s1079" style="position:absolute;margin-left:1.5pt;margin-top:-376.4499pt;width:460.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-4457065</wp:posOffset>
                </wp:positionV>
                <wp:extent cx="5848350" cy="16192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0" cy="161925"/>
                        </a:xfrm>
                        <a:prstGeom prst="rect">
                          <a:avLst/>
                        </a:prstGeom>
                        <a:solidFill>
                          <a:srgbClr val="E6E6E6"/>
                        </a:solidFill>
                      </wps:spPr>
                      <wps:bodyPr/>
                    </wps:wsp>
                  </a:graphicData>
                </a:graphic>
              </wp:anchor>
            </w:drawing>
          </mc:Choice>
          <mc:Fallback>
            <w:pict>
              <v:rect id="Shape 55" o:spid="_x0000_s1080" style="position:absolute;margin-left:1.5pt;margin-top:-350.9499pt;width:460.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-4095115</wp:posOffset>
                </wp:positionV>
                <wp:extent cx="5848350" cy="16192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0" cy="161925"/>
                        </a:xfrm>
                        <a:prstGeom prst="rect">
                          <a:avLst/>
                        </a:prstGeom>
                        <a:solidFill>
                          <a:srgbClr val="E6E6E6"/>
                        </a:solidFill>
                      </wps:spPr>
                      <wps:bodyPr/>
                    </wps:wsp>
                  </a:graphicData>
                </a:graphic>
              </wp:anchor>
            </w:drawing>
          </mc:Choice>
          <mc:Fallback>
            <w:pict>
              <v:rect id="Shape 56" o:spid="_x0000_s1081" style="position:absolute;margin-left:1.5pt;margin-top:-322.4499pt;width:460.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-3656965</wp:posOffset>
                </wp:positionV>
                <wp:extent cx="5848350" cy="16192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0" cy="161925"/>
                        </a:xfrm>
                        <a:prstGeom prst="rect">
                          <a:avLst/>
                        </a:prstGeom>
                        <a:solidFill>
                          <a:srgbClr val="E6E6E6"/>
                        </a:solidFill>
                      </wps:spPr>
                      <wps:bodyPr/>
                    </wps:wsp>
                  </a:graphicData>
                </a:graphic>
              </wp:anchor>
            </w:drawing>
          </mc:Choice>
          <mc:Fallback>
            <w:pict>
              <v:rect id="Shape 57" o:spid="_x0000_s1082" style="position:absolute;margin-left:1.5pt;margin-top:-287.9499pt;width:460.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-3218815</wp:posOffset>
                </wp:positionV>
                <wp:extent cx="5848350" cy="16192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0" cy="161925"/>
                        </a:xfrm>
                        <a:prstGeom prst="rect">
                          <a:avLst/>
                        </a:prstGeom>
                        <a:solidFill>
                          <a:srgbClr val="E6E6E6"/>
                        </a:solidFill>
                      </wps:spPr>
                      <wps:bodyPr/>
                    </wps:wsp>
                  </a:graphicData>
                </a:graphic>
              </wp:anchor>
            </w:drawing>
          </mc:Choice>
          <mc:Fallback>
            <w:pict>
              <v:rect id="Shape 58" o:spid="_x0000_s1083" style="position:absolute;margin-left:1.5pt;margin-top:-253.4499pt;width:460.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-2894965</wp:posOffset>
                </wp:positionV>
                <wp:extent cx="5848350" cy="276225"/>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0" cy="276225"/>
                        </a:xfrm>
                        <a:prstGeom prst="rect">
                          <a:avLst/>
                        </a:prstGeom>
                        <a:solidFill>
                          <a:srgbClr val="E6E6E6"/>
                        </a:solidFill>
                      </wps:spPr>
                      <wps:bodyPr/>
                    </wps:wsp>
                  </a:graphicData>
                </a:graphic>
              </wp:anchor>
            </w:drawing>
          </mc:Choice>
          <mc:Fallback>
            <w:pict>
              <v:rect id="Shape 59" o:spid="_x0000_s1084" style="position:absolute;margin-left:1.5pt;margin-top:-227.9499pt;width:460.5pt;height:2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-2456815</wp:posOffset>
                </wp:positionV>
                <wp:extent cx="5848350" cy="161925"/>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0" cy="161925"/>
                        </a:xfrm>
                        <a:prstGeom prst="rect">
                          <a:avLst/>
                        </a:prstGeom>
                        <a:solidFill>
                          <a:srgbClr val="E6E6E6"/>
                        </a:solidFill>
                      </wps:spPr>
                      <wps:bodyPr/>
                    </wps:wsp>
                  </a:graphicData>
                </a:graphic>
              </wp:anchor>
            </w:drawing>
          </mc:Choice>
          <mc:Fallback>
            <w:pict>
              <v:rect id="Shape 60" o:spid="_x0000_s1085" style="position:absolute;margin-left:1.5pt;margin-top:-193.4499pt;width:460.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-2018665</wp:posOffset>
                </wp:positionV>
                <wp:extent cx="5848350" cy="20002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0" cy="200025"/>
                        </a:xfrm>
                        <a:prstGeom prst="rect">
                          <a:avLst/>
                        </a:prstGeom>
                        <a:solidFill>
                          <a:srgbClr val="E6E6E6"/>
                        </a:solidFill>
                      </wps:spPr>
                      <wps:bodyPr/>
                    </wps:wsp>
                  </a:graphicData>
                </a:graphic>
              </wp:anchor>
            </w:drawing>
          </mc:Choice>
          <mc:Fallback>
            <w:pict>
              <v:rect id="Shape 61" o:spid="_x0000_s1086" style="position:absolute;margin-left:1.5pt;margin-top:-158.9499pt;width:460.5pt;height:15.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-1656715</wp:posOffset>
                </wp:positionV>
                <wp:extent cx="5848350" cy="16192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0" cy="161925"/>
                        </a:xfrm>
                        <a:prstGeom prst="rect">
                          <a:avLst/>
                        </a:prstGeom>
                        <a:solidFill>
                          <a:srgbClr val="E6E6E6"/>
                        </a:solidFill>
                      </wps:spPr>
                      <wps:bodyPr/>
                    </wps:wsp>
                  </a:graphicData>
                </a:graphic>
              </wp:anchor>
            </w:drawing>
          </mc:Choice>
          <mc:Fallback>
            <w:pict>
              <v:rect id="Shape 62" o:spid="_x0000_s1087" style="position:absolute;margin-left:1.5pt;margin-top:-130.4499pt;width:460.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-1332865</wp:posOffset>
                </wp:positionV>
                <wp:extent cx="5848350" cy="27622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0" cy="276225"/>
                        </a:xfrm>
                        <a:prstGeom prst="rect">
                          <a:avLst/>
                        </a:prstGeom>
                        <a:solidFill>
                          <a:srgbClr val="E6E6E6"/>
                        </a:solidFill>
                      </wps:spPr>
                      <wps:bodyPr/>
                    </wps:wsp>
                  </a:graphicData>
                </a:graphic>
              </wp:anchor>
            </w:drawing>
          </mc:Choice>
          <mc:Fallback>
            <w:pict>
              <v:rect id="Shape 63" o:spid="_x0000_s1088" style="position:absolute;margin-left:1.5pt;margin-top:-104.9499pt;width:460.5pt;height:2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-780415</wp:posOffset>
                </wp:positionV>
                <wp:extent cx="5848350" cy="16192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0" cy="161925"/>
                        </a:xfrm>
                        <a:prstGeom prst="rect">
                          <a:avLst/>
                        </a:prstGeom>
                        <a:solidFill>
                          <a:srgbClr val="E6E6E6"/>
                        </a:solidFill>
                      </wps:spPr>
                      <wps:bodyPr/>
                    </wps:wsp>
                  </a:graphicData>
                </a:graphic>
              </wp:anchor>
            </w:drawing>
          </mc:Choice>
          <mc:Fallback>
            <w:pict>
              <v:rect id="Shape 64" o:spid="_x0000_s1089" style="position:absolute;margin-left:1.5pt;margin-top:-61.4499pt;width:460.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-456565</wp:posOffset>
                </wp:positionV>
                <wp:extent cx="5848350" cy="16192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0" cy="161925"/>
                        </a:xfrm>
                        <a:prstGeom prst="rect">
                          <a:avLst/>
                        </a:prstGeom>
                        <a:solidFill>
                          <a:srgbClr val="E6E6E6"/>
                        </a:solidFill>
                      </wps:spPr>
                      <wps:bodyPr/>
                    </wps:wsp>
                  </a:graphicData>
                </a:graphic>
              </wp:anchor>
            </w:drawing>
          </mc:Choice>
          <mc:Fallback>
            <w:pict>
              <v:rect id="Shape 65" o:spid="_x0000_s1090" style="position:absolute;margin-left:1.5pt;margin-top:-35.9499pt;width:460.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-132715</wp:posOffset>
                </wp:positionV>
                <wp:extent cx="5848350" cy="16129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8350" cy="161290"/>
                        </a:xfrm>
                        <a:prstGeom prst="rect">
                          <a:avLst/>
                        </a:prstGeom>
                        <a:solidFill>
                          <a:srgbClr val="E6E6E6"/>
                        </a:solidFill>
                      </wps:spPr>
                      <wps:bodyPr/>
                    </wps:wsp>
                  </a:graphicData>
                </a:graphic>
              </wp:anchor>
            </w:drawing>
          </mc:Choice>
          <mc:Fallback>
            <w:pict>
              <v:rect id="Shape 66" o:spid="_x0000_s1091" style="position:absolute;margin-left:1.5pt;margin-top:-10.4499pt;width:460.5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80"/>
        <w:spacing w:after="0"/>
        <w:rPr>
          <w:sz w:val="20"/>
          <w:szCs w:val="20"/>
          <w:color w:val="auto"/>
        </w:rPr>
      </w:pPr>
      <w:r>
        <w:rPr>
          <w:rFonts w:ascii="Arial" w:cs="Arial" w:eastAsia="Arial" w:hAnsi="Arial"/>
          <w:sz w:val="18"/>
          <w:szCs w:val="18"/>
          <w:u w:val="single" w:color="auto"/>
          <w:color w:val="auto"/>
        </w:rPr>
        <w:t>5</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13</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24</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25</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27</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28</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28</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29</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30</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30</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42</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43</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80</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80</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82</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82</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83</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83</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84</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84</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84</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85</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87</w:t>
      </w:r>
    </w:p>
    <w:p>
      <w:pPr>
        <w:spacing w:after="0" w:line="166" w:lineRule="exact"/>
        <w:rPr>
          <w:sz w:val="20"/>
          <w:szCs w:val="20"/>
          <w:color w:val="auto"/>
        </w:rPr>
      </w:pPr>
    </w:p>
    <w:p>
      <w:pPr>
        <w:sectPr>
          <w:pgSz w:w="11880" w:h="15480" w:orient="portrait"/>
          <w:cols w:equalWidth="0" w:num="2">
            <w:col w:w="8295" w:space="720"/>
            <w:col w:w="260"/>
          </w:cols>
          <w:pgMar w:left="1305" w:top="1197" w:right="1300" w:bottom="223" w:gutter="0" w:footer="0" w:header="0"/>
        </w:sectPr>
      </w:pPr>
    </w:p>
    <w:p>
      <w:pPr>
        <w:jc w:val="both"/>
        <w:ind w:left="175" w:hanging="175"/>
        <w:spacing w:after="0" w:line="221" w:lineRule="auto"/>
        <w:tabs>
          <w:tab w:leader="none" w:pos="175" w:val="left"/>
        </w:tabs>
        <w:numPr>
          <w:ilvl w:val="0"/>
          <w:numId w:val="4"/>
        </w:numPr>
        <w:rPr>
          <w:rFonts w:ascii="Arial" w:cs="Arial" w:eastAsia="Arial" w:hAnsi="Arial"/>
          <w:sz w:val="20"/>
          <w:szCs w:val="20"/>
          <w:color w:val="auto"/>
        </w:rPr>
      </w:pPr>
      <w:r>
        <w:rPr>
          <w:rFonts w:ascii="Arial" w:cs="Arial" w:eastAsia="Arial" w:hAnsi="Arial"/>
          <w:sz w:val="18"/>
          <w:szCs w:val="18"/>
          <w:color w:val="auto"/>
        </w:rPr>
        <w:t>All or a portion of the referenced section is incorporated by reference from our Definitive Proxy Statement for our 2026 Annual Meeting of Stockholders (which is expected to be filed with the SEC within 120 days after the end of our 2025 fiscal year).</w:t>
      </w:r>
    </w:p>
    <w:p>
      <w:pPr>
        <w:sectPr>
          <w:pgSz w:w="11880" w:h="15480" w:orient="portrait"/>
          <w:cols w:equalWidth="0" w:num="1">
            <w:col w:w="9275"/>
          </w:cols>
          <w:pgMar w:left="1305" w:top="1197" w:right="1300" w:bottom="22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9275"/>
          </w:cols>
          <w:pgMar w:left="1305" w:top="1197" w:right="1300" w:bottom="223"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20"/>
          <w:szCs w:val="20"/>
          <w:b w:val="1"/>
          <w:bCs w:val="1"/>
          <w:color w:val="auto"/>
        </w:rPr>
        <w:t>PART I</w:t>
      </w:r>
    </w:p>
    <w:p>
      <w:pPr>
        <w:spacing w:after="0" w:line="249" w:lineRule="exact"/>
        <w:rPr>
          <w:sz w:val="20"/>
          <w:szCs w:val="20"/>
          <w:color w:val="auto"/>
        </w:rPr>
      </w:pPr>
    </w:p>
    <w:p>
      <w:pPr>
        <w:ind w:left="60"/>
        <w:spacing w:after="0"/>
        <w:tabs>
          <w:tab w:leader="none" w:pos="142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5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We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Since our founding in 1972, LP has been Building a Better World</w:t>
      </w:r>
      <w:r>
        <w:rPr>
          <w:rFonts w:ascii="Arial" w:cs="Arial" w:eastAsia="Arial" w:hAnsi="Arial"/>
          <w:sz w:val="12"/>
          <w:szCs w:val="12"/>
          <w:color w:val="auto"/>
        </w:rPr>
        <w:t>™</w:t>
      </w:r>
      <w:r>
        <w:rPr>
          <w:rFonts w:ascii="Arial" w:cs="Arial" w:eastAsia="Arial" w:hAnsi="Arial"/>
          <w:sz w:val="19"/>
          <w:szCs w:val="19"/>
          <w:color w:val="auto"/>
        </w:rPr>
        <w:t xml:space="preserve"> by helping customers construct beautiful, durable homes while shareholders build lasting value. We are headquartered in Nashville, Tennessee, and as of December 31, 2025, we operate more than 20 manufacturing facilities across North and South America.</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summarizes net sales in 2025 (dollar amounts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3"/>
              </w:rPr>
              <w:t>Net Sales</w:t>
            </w:r>
          </w:p>
        </w:tc>
        <w:tc>
          <w:tcPr>
            <w:tcW w:w="1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w w:val="91"/>
              </w:rPr>
              <w:t>Percentage of 2025 Net</w:t>
            </w:r>
          </w:p>
        </w:tc>
        <w:tc>
          <w:tcPr>
            <w:tcW w:w="0" w:type="dxa"/>
            <w:vAlign w:val="bottom"/>
          </w:tcPr>
          <w:p>
            <w:pPr>
              <w:spacing w:after="0"/>
              <w:rPr>
                <w:sz w:val="1"/>
                <w:szCs w:val="1"/>
                <w:color w:val="auto"/>
              </w:rPr>
            </w:pPr>
          </w:p>
        </w:tc>
      </w:tr>
      <w:tr>
        <w:trPr>
          <w:trHeight w:val="239"/>
        </w:trPr>
        <w:tc>
          <w:tcPr>
            <w:tcW w:w="6040" w:type="dxa"/>
            <w:vAlign w:val="bottom"/>
            <w:tcBorders>
              <w:bottom w:val="single" w:sz="8" w:color="E6E6E6"/>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E6E6E6"/>
            </w:tcBorders>
          </w:tcPr>
          <w:p>
            <w:pPr>
              <w:spacing w:after="0"/>
              <w:rPr>
                <w:sz w:val="20"/>
                <w:szCs w:val="20"/>
                <w:color w:val="auto"/>
              </w:rPr>
            </w:pPr>
          </w:p>
        </w:tc>
        <w:tc>
          <w:tcPr>
            <w:tcW w:w="19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Sales</w:t>
            </w:r>
          </w:p>
        </w:tc>
        <w:tc>
          <w:tcPr>
            <w:tcW w:w="0" w:type="dxa"/>
            <w:vAlign w:val="bottom"/>
          </w:tcPr>
          <w:p>
            <w:pPr>
              <w:spacing w:after="0"/>
              <w:rPr>
                <w:sz w:val="1"/>
                <w:szCs w:val="1"/>
                <w:color w:val="auto"/>
              </w:rPr>
            </w:pPr>
          </w:p>
        </w:tc>
      </w:tr>
      <w:tr>
        <w:trPr>
          <w:trHeight w:val="290"/>
        </w:trPr>
        <w:tc>
          <w:tcPr>
            <w:tcW w:w="6040" w:type="dxa"/>
            <w:vAlign w:val="bottom"/>
            <w:shd w:val="clear" w:color="auto" w:fill="E6E6E6"/>
          </w:tcPr>
          <w:p>
            <w:pPr>
              <w:ind w:left="60"/>
              <w:spacing w:after="0"/>
              <w:rPr>
                <w:sz w:val="20"/>
                <w:szCs w:val="20"/>
                <w:color w:val="auto"/>
              </w:rPr>
            </w:pPr>
            <w:r>
              <w:rPr>
                <w:rFonts w:ascii="Arial" w:cs="Arial" w:eastAsia="Arial" w:hAnsi="Arial"/>
                <w:sz w:val="18"/>
                <w:szCs w:val="18"/>
                <w:color w:val="auto"/>
              </w:rPr>
              <w:t>Siding</w:t>
            </w: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1,689</w:t>
            </w:r>
          </w:p>
        </w:tc>
        <w:tc>
          <w:tcPr>
            <w:tcW w:w="200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93"/>
        </w:trPr>
        <w:tc>
          <w:tcPr>
            <w:tcW w:w="6040" w:type="dxa"/>
            <w:vAlign w:val="bottom"/>
          </w:tcPr>
          <w:p>
            <w:pPr>
              <w:ind w:left="60"/>
              <w:spacing w:after="0"/>
              <w:rPr>
                <w:sz w:val="20"/>
                <w:szCs w:val="20"/>
                <w:color w:val="auto"/>
              </w:rPr>
            </w:pPr>
            <w:r>
              <w:rPr>
                <w:rFonts w:ascii="Arial" w:cs="Arial" w:eastAsia="Arial" w:hAnsi="Arial"/>
                <w:sz w:val="18"/>
                <w:szCs w:val="18"/>
                <w:color w:val="auto"/>
              </w:rPr>
              <w:t>Oriented Strand Board (OSB)</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97"/>
        </w:trPr>
        <w:tc>
          <w:tcPr>
            <w:tcW w:w="60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187</w:t>
            </w:r>
          </w:p>
        </w:tc>
        <w:tc>
          <w:tcPr>
            <w:tcW w:w="200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60"/>
        </w:trPr>
        <w:tc>
          <w:tcPr>
            <w:tcW w:w="604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w:t>
            </w: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3816350</wp:posOffset>
            </wp:positionH>
            <wp:positionV relativeFrom="paragraph">
              <wp:posOffset>-793115</wp:posOffset>
            </wp:positionV>
            <wp:extent cx="213042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1">
                      <a:extLst>
                        <a:ext uri="{28A0092B-C50C-407E-A947-70E740481C1C}"/>
                      </a:extLst>
                    </a:blip>
                    <a:srcRect/>
                    <a:stretch>
                      <a:fillRect/>
                    </a:stretch>
                  </pic:blipFill>
                  <pic:spPr bwMode="auto">
                    <a:xfrm>
                      <a:off x="0" y="0"/>
                      <a:ext cx="2130425" cy="25400"/>
                    </a:xfrm>
                    <a:prstGeom prst="rect">
                      <a:avLst/>
                    </a:prstGeom>
                    <a:noFill/>
                  </pic:spPr>
                </pic:pic>
              </a:graphicData>
            </a:graphic>
          </wp:anchor>
        </w:drawing>
        <w:drawing>
          <wp:anchor simplePos="0" relativeHeight="251657728" behindDoc="1" locked="0" layoutInCell="0" allowOverlap="1">
            <wp:simplePos x="0" y="0"/>
            <wp:positionH relativeFrom="column">
              <wp:posOffset>3816350</wp:posOffset>
            </wp:positionH>
            <wp:positionV relativeFrom="paragraph">
              <wp:posOffset>-221615</wp:posOffset>
            </wp:positionV>
            <wp:extent cx="85407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2">
                      <a:extLst>
                        <a:ext uri="{28A0092B-C50C-407E-A947-70E740481C1C}"/>
                      </a:extLst>
                    </a:blip>
                    <a:srcRect/>
                    <a:stretch>
                      <a:fillRect/>
                    </a:stretch>
                  </pic:blipFill>
                  <pic:spPr bwMode="auto">
                    <a:xfrm>
                      <a:off x="0" y="0"/>
                      <a:ext cx="854075" cy="2540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5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Company conducts business through three operating segments: Siding, OSB and LPSA. In the fourth quarter of 2025, the Company determined that LPSA did not meet the reportable segment criteria and beginning with the fourth quarter of 2025, the financial information for the LPSA operating segment is included in Other. These changes had no impact on our consolidated results of operations or financial position. Prior period segment information has been recast to conform to our current presentation. Our other operating segments, Siding and OSB remain reportable operating segments. Other now comprises our South American operations and other products that are not individually significant. See “Note 15 - Segment Information” of the Notes to the Consolidated Financial Statements included in Item 8 of this annual report on Form 10-K for further information regarding our reportable segments.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Siding</w:t>
      </w:r>
    </w:p>
    <w:p>
      <w:pPr>
        <w:spacing w:after="0" w:line="13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We believe we are the largest manufacturer of engineered wood siding in North America. Our Siding business serves diverse end markets with a broad product portfolio of engineered wood siding, trim, soffit, and fascia. Our Siding is offered primed (LP</w:t>
      </w:r>
      <w:r>
        <w:rPr>
          <w:rFonts w:ascii="Arial" w:cs="Arial" w:eastAsia="Arial" w:hAnsi="Arial"/>
          <w:sz w:val="12"/>
          <w:szCs w:val="12"/>
          <w:color w:val="auto"/>
        </w:rPr>
        <w:t>®</w:t>
      </w:r>
      <w:r>
        <w:rPr>
          <w:rFonts w:ascii="Arial" w:cs="Arial" w:eastAsia="Arial" w:hAnsi="Arial"/>
          <w:sz w:val="18"/>
          <w:szCs w:val="18"/>
          <w:color w:val="auto"/>
        </w:rPr>
        <w:t xml:space="preserve"> SmartSide</w:t>
      </w:r>
      <w:r>
        <w:rPr>
          <w:rFonts w:ascii="Arial" w:cs="Arial" w:eastAsia="Arial" w:hAnsi="Arial"/>
          <w:sz w:val="12"/>
          <w:szCs w:val="12"/>
          <w:color w:val="auto"/>
        </w:rPr>
        <w:t>®</w:t>
      </w:r>
      <w:r>
        <w:rPr>
          <w:rFonts w:ascii="Arial" w:cs="Arial" w:eastAsia="Arial" w:hAnsi="Arial"/>
          <w:sz w:val="18"/>
          <w:szCs w:val="18"/>
          <w:color w:val="auto"/>
        </w:rPr>
        <w:t xml:space="preserve"> Trim &amp; Siding, LP BuilderSeries</w:t>
      </w:r>
      <w:r>
        <w:rPr>
          <w:rFonts w:ascii="Arial" w:cs="Arial" w:eastAsia="Arial" w:hAnsi="Arial"/>
          <w:sz w:val="12"/>
          <w:szCs w:val="12"/>
          <w:color w:val="auto"/>
        </w:rPr>
        <w:t>®</w:t>
      </w:r>
      <w:r>
        <w:rPr>
          <w:rFonts w:ascii="Arial" w:cs="Arial" w:eastAsia="Arial" w:hAnsi="Arial"/>
          <w:sz w:val="18"/>
          <w:szCs w:val="18"/>
          <w:color w:val="auto"/>
        </w:rPr>
        <w:t xml:space="preserve"> Lap Siding, and LP</w:t>
      </w:r>
      <w:r>
        <w:rPr>
          <w:rFonts w:ascii="Arial" w:cs="Arial" w:eastAsia="Arial" w:hAnsi="Arial"/>
          <w:sz w:val="12"/>
          <w:szCs w:val="12"/>
          <w:color w:val="auto"/>
        </w:rPr>
        <w:t>®</w:t>
      </w:r>
      <w:r>
        <w:rPr>
          <w:rFonts w:ascii="Arial" w:cs="Arial" w:eastAsia="Arial" w:hAnsi="Arial"/>
          <w:sz w:val="18"/>
          <w:szCs w:val="18"/>
          <w:color w:val="auto"/>
        </w:rPr>
        <w:t xml:space="preserve"> Outdoor Building Solutions</w:t>
      </w:r>
      <w:r>
        <w:rPr>
          <w:rFonts w:ascii="Arial" w:cs="Arial" w:eastAsia="Arial" w:hAnsi="Arial"/>
          <w:sz w:val="12"/>
          <w:szCs w:val="12"/>
          <w:color w:val="auto"/>
        </w:rPr>
        <w:t>®</w:t>
      </w:r>
      <w:r>
        <w:rPr>
          <w:rFonts w:ascii="Arial" w:cs="Arial" w:eastAsia="Arial" w:hAnsi="Arial"/>
          <w:sz w:val="18"/>
          <w:szCs w:val="18"/>
          <w:color w:val="auto"/>
        </w:rPr>
        <w:t>) and pre-finished (LP</w:t>
      </w:r>
      <w:r>
        <w:rPr>
          <w:rFonts w:ascii="Arial" w:cs="Arial" w:eastAsia="Arial" w:hAnsi="Arial"/>
          <w:sz w:val="12"/>
          <w:szCs w:val="12"/>
          <w:color w:val="auto"/>
        </w:rPr>
        <w:t>®</w:t>
      </w:r>
      <w:r>
        <w:rPr>
          <w:rFonts w:ascii="Arial" w:cs="Arial" w:eastAsia="Arial" w:hAnsi="Arial"/>
          <w:sz w:val="18"/>
          <w:szCs w:val="18"/>
          <w:color w:val="auto"/>
        </w:rPr>
        <w:t xml:space="preserve"> SmartSide</w:t>
      </w:r>
      <w:r>
        <w:rPr>
          <w:rFonts w:ascii="Arial" w:cs="Arial" w:eastAsia="Arial" w:hAnsi="Arial"/>
          <w:sz w:val="12"/>
          <w:szCs w:val="12"/>
          <w:color w:val="auto"/>
        </w:rPr>
        <w:t>®</w:t>
      </w:r>
      <w:r>
        <w:rPr>
          <w:rFonts w:ascii="Arial" w:cs="Arial" w:eastAsia="Arial" w:hAnsi="Arial"/>
          <w:sz w:val="18"/>
          <w:szCs w:val="18"/>
          <w:color w:val="auto"/>
        </w:rPr>
        <w:t xml:space="preserve"> ExpertFinish</w:t>
      </w:r>
      <w:r>
        <w:rPr>
          <w:rFonts w:ascii="Arial" w:cs="Arial" w:eastAsia="Arial" w:hAnsi="Arial"/>
          <w:sz w:val="12"/>
          <w:szCs w:val="12"/>
          <w:color w:val="auto"/>
        </w:rPr>
        <w:t>®</w:t>
      </w:r>
      <w:r>
        <w:rPr>
          <w:rFonts w:ascii="Arial" w:cs="Arial" w:eastAsia="Arial" w:hAnsi="Arial"/>
          <w:sz w:val="18"/>
          <w:szCs w:val="18"/>
          <w:color w:val="auto"/>
        </w:rPr>
        <w:t xml:space="preserve"> Trim &amp; Siding) to meet the needs of builders and installers in new construction and repair and remodeling applications. As compared to solid wood, these products offer superior protection against hail, wind, moisture, fungal decay, and termites. The LP SmartSide environmental product declarations (EPDs), which detail the cradle-to-grave energy and materials required to produce LP SmartSide lap, panel, and trim in North America, demonstrate that the products store more carbon than is released during their lifecycles, making them carbon-negative exterior siding products. Our Siding products are used in new home construction, repair and remodeling projects, and outdoor structures such as sheds.</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9360"/>
          </w:cols>
          <w:pgMar w:left="1260" w:top="1190" w:right="1260" w:bottom="225" w:gutter="0" w:footer="0" w:header="0"/>
          <w:type w:val="continuous"/>
        </w:sectPr>
      </w:pPr>
    </w:p>
    <w:bookmarkStart w:id="23" w:name="page24"/>
    <w:bookmarkEnd w:id="23"/>
    <w:p>
      <w:pPr>
        <w:jc w:val="both"/>
        <w:spacing w:after="0" w:line="255" w:lineRule="auto"/>
        <w:rPr>
          <w:sz w:val="20"/>
          <w:szCs w:val="20"/>
          <w:color w:val="auto"/>
        </w:rPr>
      </w:pPr>
      <w:r>
        <w:rPr>
          <w:rFonts w:ascii="Arial" w:cs="Arial" w:eastAsia="Arial" w:hAnsi="Arial"/>
          <w:sz w:val="20"/>
          <w:szCs w:val="20"/>
          <w:color w:val="auto"/>
        </w:rPr>
        <w:t>We intend to continue growing sales in our Siding business and to increase the breadth of our Siding product offerings. To do so, we plan to increase the production capacity of these high-margin, value-added products. We have several options for increased capacity, including the addition of new plants, conversion of existing OSB plants to Siding manufacturing plants, expansion of existing Siding facilities, and expansion of our prefinished capacity and offerings. We will also seek to drive continued product innovation by utilizing our technological and engineering expertise in wood composites, overlays, chemical treatments, and durable and beautiful paints to better address the needs of our customers.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Oriented Strand Board (OSB)</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Developed as a less expensive and more sustainable alternative to plywood, OSB is used as roof decking, sidewall sheathing, and floor underlayment. Our OSB business manufactures and distributes OSB structural panel products, including the innovative value-added OSB product portfolio known as LP</w:t>
      </w:r>
      <w:r>
        <w:rPr>
          <w:rFonts w:ascii="Arial" w:cs="Arial" w:eastAsia="Arial" w:hAnsi="Arial"/>
          <w:sz w:val="12"/>
          <w:szCs w:val="12"/>
          <w:color w:val="auto"/>
        </w:rPr>
        <w:t>®</w:t>
      </w:r>
      <w:r>
        <w:rPr>
          <w:rFonts w:ascii="Arial" w:cs="Arial" w:eastAsia="Arial" w:hAnsi="Arial"/>
          <w:sz w:val="19"/>
          <w:szCs w:val="19"/>
          <w:color w:val="auto"/>
        </w:rPr>
        <w:t xml:space="preserve"> Structural Solutions (which includes LP</w:t>
      </w:r>
      <w:r>
        <w:rPr>
          <w:rFonts w:ascii="Arial" w:cs="Arial" w:eastAsia="Arial" w:hAnsi="Arial"/>
          <w:sz w:val="12"/>
          <w:szCs w:val="12"/>
          <w:color w:val="auto"/>
        </w:rPr>
        <w:t>®</w:t>
      </w:r>
      <w:r>
        <w:rPr>
          <w:rFonts w:ascii="Arial" w:cs="Arial" w:eastAsia="Arial" w:hAnsi="Arial"/>
          <w:sz w:val="19"/>
          <w:szCs w:val="19"/>
          <w:color w:val="auto"/>
        </w:rPr>
        <w:t xml:space="preserve"> FlameBlock</w:t>
      </w:r>
      <w:r>
        <w:rPr>
          <w:rFonts w:ascii="Arial" w:cs="Arial" w:eastAsia="Arial" w:hAnsi="Arial"/>
          <w:sz w:val="12"/>
          <w:szCs w:val="12"/>
          <w:color w:val="auto"/>
        </w:rPr>
        <w:t>®</w:t>
      </w:r>
      <w:r>
        <w:rPr>
          <w:rFonts w:ascii="Arial" w:cs="Arial" w:eastAsia="Arial" w:hAnsi="Arial"/>
          <w:sz w:val="19"/>
          <w:szCs w:val="19"/>
          <w:color w:val="auto"/>
        </w:rPr>
        <w:t xml:space="preserve"> Fire-Rated Sheathing, LP WeatherLogic</w:t>
      </w:r>
      <w:r>
        <w:rPr>
          <w:rFonts w:ascii="Arial" w:cs="Arial" w:eastAsia="Arial" w:hAnsi="Arial"/>
          <w:sz w:val="12"/>
          <w:szCs w:val="12"/>
          <w:color w:val="auto"/>
        </w:rPr>
        <w:t>®</w:t>
      </w:r>
      <w:r>
        <w:rPr>
          <w:rFonts w:ascii="Arial" w:cs="Arial" w:eastAsia="Arial" w:hAnsi="Arial"/>
          <w:sz w:val="19"/>
          <w:szCs w:val="19"/>
          <w:color w:val="auto"/>
        </w:rPr>
        <w:t xml:space="preserve"> Air &amp; Water Barrier, LP</w:t>
      </w:r>
      <w:r>
        <w:rPr>
          <w:rFonts w:ascii="Arial" w:cs="Arial" w:eastAsia="Arial" w:hAnsi="Arial"/>
          <w:sz w:val="12"/>
          <w:szCs w:val="12"/>
          <w:color w:val="auto"/>
        </w:rPr>
        <w:t>®</w:t>
      </w:r>
      <w:r>
        <w:rPr>
          <w:rFonts w:ascii="Arial" w:cs="Arial" w:eastAsia="Arial" w:hAnsi="Arial"/>
          <w:sz w:val="19"/>
          <w:szCs w:val="19"/>
          <w:color w:val="auto"/>
        </w:rPr>
        <w:t xml:space="preserve"> TechShield</w:t>
      </w:r>
      <w:r>
        <w:rPr>
          <w:rFonts w:ascii="Arial" w:cs="Arial" w:eastAsia="Arial" w:hAnsi="Arial"/>
          <w:sz w:val="12"/>
          <w:szCs w:val="12"/>
          <w:color w:val="auto"/>
        </w:rPr>
        <w:t>®</w:t>
      </w:r>
      <w:r>
        <w:rPr>
          <w:rFonts w:ascii="Arial" w:cs="Arial" w:eastAsia="Arial" w:hAnsi="Arial"/>
          <w:sz w:val="19"/>
          <w:szCs w:val="19"/>
          <w:color w:val="auto"/>
        </w:rPr>
        <w:t xml:space="preserve"> Radiant Barrier, LP Legacy</w:t>
      </w:r>
      <w:r>
        <w:rPr>
          <w:rFonts w:ascii="Arial" w:cs="Arial" w:eastAsia="Arial" w:hAnsi="Arial"/>
          <w:sz w:val="12"/>
          <w:szCs w:val="12"/>
          <w:color w:val="auto"/>
        </w:rPr>
        <w:t>®</w:t>
      </w:r>
      <w:r>
        <w:rPr>
          <w:rFonts w:ascii="Arial" w:cs="Arial" w:eastAsia="Arial" w:hAnsi="Arial"/>
          <w:sz w:val="19"/>
          <w:szCs w:val="19"/>
          <w:color w:val="auto"/>
        </w:rPr>
        <w:t xml:space="preserve"> Premium Sub-Flooring, and LP</w:t>
      </w:r>
      <w:r>
        <w:rPr>
          <w:rFonts w:ascii="Arial" w:cs="Arial" w:eastAsia="Arial" w:hAnsi="Arial"/>
          <w:sz w:val="12"/>
          <w:szCs w:val="12"/>
          <w:color w:val="auto"/>
        </w:rPr>
        <w:t>®</w:t>
      </w:r>
      <w:r>
        <w:rPr>
          <w:rFonts w:ascii="Arial" w:cs="Arial" w:eastAsia="Arial" w:hAnsi="Arial"/>
          <w:sz w:val="19"/>
          <w:szCs w:val="19"/>
          <w:color w:val="auto"/>
        </w:rPr>
        <w:t xml:space="preserve"> TopNotch</w:t>
      </w:r>
      <w:r>
        <w:rPr>
          <w:rFonts w:ascii="Arial" w:cs="Arial" w:eastAsia="Arial" w:hAnsi="Arial"/>
          <w:sz w:val="12"/>
          <w:szCs w:val="12"/>
          <w:color w:val="auto"/>
        </w:rPr>
        <w:t>®</w:t>
      </w:r>
      <w:r>
        <w:rPr>
          <w:rFonts w:ascii="Arial" w:cs="Arial" w:eastAsia="Arial" w:hAnsi="Arial"/>
          <w:sz w:val="19"/>
          <w:szCs w:val="19"/>
          <w:color w:val="auto"/>
        </w:rPr>
        <w:t xml:space="preserve"> 350 Durable Sub-Flooring). Our LP Structural Solutions products are engineered to provide a variety of features such as fire resistance, enhanced water and moisture protection, energy efficiency, and greater weight-bearing capacity.</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Our focus remains on promoting the benefits of LP Structural Solutions while maintaining strict cost control by (i) the efficiency with which we operate our manufacturing facilities (as measured by a widely used operational metric called Overall Equipment Effectiveness, or OEE), (ii) the efficiency with which we convert sustainably harvested wood fiber into our products, and (iii) our ongoing work to optimize logistics and reduce other costs.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other operations include our South American business (LPSA) that manufactures and distributes OSB structural panels and siding products in South America and certain export markets. Additionally, our other operations includes timber and timberlands as well as other minor products, services, and closed operations, which do not qualify as discontinued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 STRATEGY</w:t>
      </w:r>
    </w:p>
    <w:p>
      <w:pPr>
        <w:spacing w:after="0" w:line="254"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i w:val="1"/>
          <w:iCs w:val="1"/>
          <w:color w:val="auto"/>
        </w:rPr>
        <w:t xml:space="preserve">Grow Our Siding Business. </w:t>
      </w:r>
      <w:r>
        <w:rPr>
          <w:rFonts w:ascii="Arial" w:cs="Arial" w:eastAsia="Arial" w:hAnsi="Arial"/>
          <w:sz w:val="18"/>
          <w:szCs w:val="18"/>
          <w:color w:val="auto"/>
        </w:rPr>
        <w:t>We believe that our leadership position in engineered wood siding allows us to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demand growth, particularly as sustainable engineered wood products continue to displace alternative siding materials such as vinyl, fiber cement, and other materials. We have consistently grown our Siding business above the underlying market growth rates, and this business is less sensitive to new housing market cyclicality as over 50% of the demand for our Siding comes from other markets, including off-site structure production and repair and remodeling. We believe that long-term market trends and demographics suggest continued growth in demand for sustainable engineered wood siding in these markets, which we believe we are well-positioned to meet.</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i w:val="1"/>
          <w:iCs w:val="1"/>
          <w:color w:val="auto"/>
        </w:rPr>
        <w:t xml:space="preserve">Generate Value-Added Sales Growth Through Customer Focus and Innovation. </w:t>
      </w:r>
      <w:r>
        <w:rPr>
          <w:rFonts w:ascii="Arial" w:cs="Arial" w:eastAsia="Arial" w:hAnsi="Arial"/>
          <w:sz w:val="19"/>
          <w:szCs w:val="19"/>
          <w:color w:val="auto"/>
        </w:rPr>
        <w:t>We believe that our products help</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customers and end users to mitigate various challenges associated with building and construction activity, including labor shortages, because they are relatively easy to work with and allow for the consolidation of multiple steps into a single product system. Our marketing programs aim to drive awareness of our products and a greater understanding of our products’ specific features among builders, repair and remodel contractors, industrial manufacturers, and major home improvement retailers. Through our sales efforts, we target customers by distribution channel and focus on providing them with a broad array of traditional and specialty building products coupled with quality service. Our facilities are strategically located in the U.S., Canada, Chile, and Brazil to allow us to maintain geographic proximity to our customers and to remain responsive to their changing needs. We prioritize high-quality service and continue to build on our reputation for on-time shipments. In addition, we continually seek to identify new specialty building solutions and markets where we can utilize our core competencies in the design, manufacturing, and marketing of building products.</w:t>
      </w:r>
    </w:p>
    <w:p>
      <w:pPr>
        <w:spacing w:after="0" w:line="72" w:lineRule="exact"/>
        <w:rPr>
          <w:sz w:val="20"/>
          <w:szCs w:val="20"/>
          <w:color w:val="auto"/>
        </w:rPr>
      </w:pPr>
    </w:p>
    <w:p>
      <w:pPr>
        <w:jc w:val="both"/>
        <w:spacing w:after="0" w:line="300" w:lineRule="auto"/>
        <w:rPr>
          <w:sz w:val="20"/>
          <w:szCs w:val="20"/>
          <w:color w:val="auto"/>
        </w:rPr>
      </w:pPr>
      <w:r>
        <w:rPr>
          <w:rFonts w:ascii="Arial" w:cs="Arial" w:eastAsia="Arial" w:hAnsi="Arial"/>
          <w:sz w:val="18"/>
          <w:szCs w:val="18"/>
          <w:b w:val="1"/>
          <w:bCs w:val="1"/>
          <w:i w:val="1"/>
          <w:iCs w:val="1"/>
          <w:color w:val="auto"/>
        </w:rPr>
        <w:t xml:space="preserve">Focus on Operating Efficiency, Cost Reduction, and Portfolio Optimization. </w:t>
      </w:r>
      <w:r>
        <w:rPr>
          <w:rFonts w:ascii="Arial" w:cs="Arial" w:eastAsia="Arial" w:hAnsi="Arial"/>
          <w:sz w:val="18"/>
          <w:szCs w:val="18"/>
          <w:color w:val="auto"/>
        </w:rPr>
        <w:t>We continue to improve the OEE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facilities. We believe our OEE programs have produced excellent returns and generated many best practices that have been applied across our manufacturing system. Given these initiatives and the strategic locations of many of our facilities, we believe that we are very competitive regarding average delivered cost.</w:t>
      </w:r>
    </w:p>
    <w:p>
      <w:pPr>
        <w:sectPr>
          <w:pgSz w:w="11880" w:h="15480" w:orient="portrait"/>
          <w:cols w:equalWidth="0" w:num="1">
            <w:col w:w="9360"/>
          </w:cols>
          <w:pgMar w:left="1260" w:top="1197" w:right="1260" w:bottom="225"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9360"/>
          </w:cols>
          <w:pgMar w:left="1260" w:top="1197" w:right="1260" w:bottom="225" w:gutter="0" w:footer="0" w:header="0"/>
          <w:type w:val="continuous"/>
        </w:sectPr>
      </w:pPr>
    </w:p>
    <w:bookmarkStart w:id="24" w:name="page25"/>
    <w:bookmarkEnd w:id="24"/>
    <w:p>
      <w:pPr>
        <w:jc w:val="both"/>
        <w:spacing w:after="0" w:line="309" w:lineRule="auto"/>
        <w:rPr>
          <w:sz w:val="20"/>
          <w:szCs w:val="20"/>
          <w:color w:val="auto"/>
        </w:rPr>
      </w:pPr>
      <w:r>
        <w:rPr>
          <w:rFonts w:ascii="Arial" w:cs="Arial" w:eastAsia="Arial" w:hAnsi="Arial"/>
          <w:sz w:val="18"/>
          <w:szCs w:val="18"/>
          <w:color w:val="auto"/>
        </w:rPr>
        <w:t>As market conditions change, we will continue to adapt our product mix, selectively invest in new technologies that modernize our manufacturing facilities, and manage our capacity to best match customer demand. We believe that these strategies improve our portfolio and margins and enhance the quality and consistency of our earnings.</w:t>
      </w:r>
    </w:p>
    <w:p>
      <w:pPr>
        <w:spacing w:after="0" w:line="38" w:lineRule="exact"/>
        <w:rPr>
          <w:sz w:val="20"/>
          <w:szCs w:val="20"/>
          <w:color w:val="auto"/>
        </w:rPr>
      </w:pPr>
    </w:p>
    <w:p>
      <w:pPr>
        <w:jc w:val="both"/>
        <w:spacing w:after="0" w:line="336" w:lineRule="auto"/>
        <w:rPr>
          <w:sz w:val="20"/>
          <w:szCs w:val="20"/>
          <w:color w:val="auto"/>
        </w:rPr>
      </w:pPr>
      <w:r>
        <w:rPr>
          <w:rFonts w:ascii="Arial" w:cs="Arial" w:eastAsia="Arial" w:hAnsi="Arial"/>
          <w:sz w:val="17"/>
          <w:szCs w:val="17"/>
          <w:b w:val="1"/>
          <w:bCs w:val="1"/>
          <w:i w:val="1"/>
          <w:iCs w:val="1"/>
          <w:color w:val="auto"/>
        </w:rPr>
        <w:t xml:space="preserve">Pursue Selected Strategic Transactions. </w:t>
      </w:r>
      <w:r>
        <w:rPr>
          <w:rFonts w:ascii="Arial" w:cs="Arial" w:eastAsia="Arial" w:hAnsi="Arial"/>
          <w:sz w:val="17"/>
          <w:szCs w:val="17"/>
          <w:color w:val="auto"/>
        </w:rPr>
        <w:t>We continuously evaluate strategic investments in assets, businesses,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as well as investments that improve the performance of our businesses. We believe that our pursuit of these opportunities, if successful, could enable us to increase the size and scope of our businesses or joint ventures.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i w:val="1"/>
          <w:iCs w:val="1"/>
          <w:color w:val="auto"/>
        </w:rPr>
        <w:t xml:space="preserve">Expand Internationally. </w:t>
      </w:r>
      <w:r>
        <w:rPr>
          <w:rFonts w:ascii="Arial" w:cs="Arial" w:eastAsia="Arial" w:hAnsi="Arial"/>
          <w:sz w:val="20"/>
          <w:szCs w:val="20"/>
          <w:color w:val="auto"/>
        </w:rPr>
        <w:t>We believe that our investments in South America will help us continue to satisfy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growing demand for wood-based residential construction in this region. We believe that investments in this region can continue to be funded by cash generated by our operations in this region. Investments as a market leader in this region should enable us to leverage demand while diversifying both our revenue streams and exposure to market cycles.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MARKETS</w:t>
      </w:r>
    </w:p>
    <w:p>
      <w:pPr>
        <w:spacing w:after="0" w:line="257"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Our sales and marketing efforts are primarily focused on traditional distribution, professional building products dealers, home centers, third-party wholesale buying groups, and end users, particularly home builders, industrial manufacturers, and repair and remodel contractors. The wholesale distribution channel includes a variety of specialized and broad-line wholesale distributors and dealers focused primarily on the supply of products for use by professional builders and contractors. The retail distribution channel includes large retail chains catering to the do-it-yourself (DIY) and repair and remodeling markets, as well as smaller independent retailers.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CUSTOMERS</w:t>
      </w:r>
    </w:p>
    <w:p>
      <w:pPr>
        <w:spacing w:after="0" w:line="25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seek to maintain a broad customer base and a balanced approach to national distribution through both wholesale and retail channels. In 2025, our top ten customers accounted for approximately 47% of our net sales. Our principal customers include the following:</w:t>
      </w:r>
    </w:p>
    <w:p>
      <w:pPr>
        <w:spacing w:after="0" w:line="111" w:lineRule="exact"/>
        <w:rPr>
          <w:sz w:val="20"/>
          <w:szCs w:val="20"/>
          <w:color w:val="auto"/>
        </w:rPr>
      </w:pPr>
    </w:p>
    <w:p>
      <w:pPr>
        <w:ind w:left="720" w:hanging="360"/>
        <w:spacing w:after="0" w:line="237" w:lineRule="auto"/>
        <w:tabs>
          <w:tab w:leader="none" w:pos="720" w:val="left"/>
        </w:tabs>
        <w:numPr>
          <w:ilvl w:val="0"/>
          <w:numId w:val="5"/>
        </w:numPr>
        <w:rPr>
          <w:rFonts w:ascii="Arial" w:cs="Arial" w:eastAsia="Arial" w:hAnsi="Arial"/>
          <w:sz w:val="24"/>
          <w:szCs w:val="24"/>
          <w:b w:val="1"/>
          <w:bCs w:val="1"/>
          <w:color w:val="auto"/>
        </w:rPr>
      </w:pPr>
      <w:r>
        <w:rPr>
          <w:rFonts w:ascii="Arial" w:cs="Arial" w:eastAsia="Arial" w:hAnsi="Arial"/>
          <w:sz w:val="20"/>
          <w:szCs w:val="20"/>
          <w:color w:val="auto"/>
        </w:rPr>
        <w:t>Wholesale distribution companies, which supply building materials to retailers on a regional, state, or local basis;</w:t>
      </w:r>
    </w:p>
    <w:p>
      <w:pPr>
        <w:ind w:left="720" w:hanging="360"/>
        <w:spacing w:after="0" w:line="226" w:lineRule="auto"/>
        <w:tabs>
          <w:tab w:leader="none" w:pos="720" w:val="left"/>
        </w:tabs>
        <w:numPr>
          <w:ilvl w:val="0"/>
          <w:numId w:val="5"/>
        </w:numPr>
        <w:rPr>
          <w:rFonts w:ascii="Arial" w:cs="Arial" w:eastAsia="Arial" w:hAnsi="Arial"/>
          <w:sz w:val="24"/>
          <w:szCs w:val="24"/>
          <w:b w:val="1"/>
          <w:bCs w:val="1"/>
          <w:color w:val="auto"/>
        </w:rPr>
      </w:pPr>
      <w:r>
        <w:rPr>
          <w:rFonts w:ascii="Arial" w:cs="Arial" w:eastAsia="Arial" w:hAnsi="Arial"/>
          <w:sz w:val="20"/>
          <w:szCs w:val="20"/>
          <w:color w:val="auto"/>
        </w:rPr>
        <w:t>Distributors, who provide building materials to smaller retailers, contractors, and others;</w:t>
      </w:r>
    </w:p>
    <w:p>
      <w:pPr>
        <w:ind w:left="720" w:hanging="360"/>
        <w:spacing w:after="0" w:line="260" w:lineRule="auto"/>
        <w:tabs>
          <w:tab w:leader="none" w:pos="72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Building materials professional dealers that specialize in sales to professional builders, remodeling firms, and trade contractors that are involved in residential home construction and light commercial building; and</w:t>
      </w:r>
    </w:p>
    <w:p>
      <w:pPr>
        <w:spacing w:after="0" w:line="1" w:lineRule="exact"/>
        <w:rPr>
          <w:rFonts w:ascii="Arial" w:cs="Arial" w:eastAsia="Arial" w:hAnsi="Arial"/>
          <w:sz w:val="22"/>
          <w:szCs w:val="22"/>
          <w:b w:val="1"/>
          <w:bCs w:val="1"/>
          <w:color w:val="auto"/>
        </w:rPr>
      </w:pPr>
    </w:p>
    <w:p>
      <w:pPr>
        <w:ind w:left="720" w:hanging="360"/>
        <w:spacing w:after="0" w:line="237" w:lineRule="auto"/>
        <w:tabs>
          <w:tab w:leader="none" w:pos="720" w:val="left"/>
        </w:tabs>
        <w:numPr>
          <w:ilvl w:val="0"/>
          <w:numId w:val="5"/>
        </w:numPr>
        <w:rPr>
          <w:rFonts w:ascii="Arial" w:cs="Arial" w:eastAsia="Arial" w:hAnsi="Arial"/>
          <w:sz w:val="24"/>
          <w:szCs w:val="24"/>
          <w:b w:val="1"/>
          <w:bCs w:val="1"/>
          <w:color w:val="auto"/>
        </w:rPr>
      </w:pPr>
      <w:r>
        <w:rPr>
          <w:rFonts w:ascii="Arial" w:cs="Arial" w:eastAsia="Arial" w:hAnsi="Arial"/>
          <w:sz w:val="20"/>
          <w:szCs w:val="20"/>
          <w:color w:val="auto"/>
        </w:rPr>
        <w:t>Retail home centers that provide fully manufactured, modular, and panelized structures, for consumer and professional markets.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COMPETITORS / COMPETITION</w:t>
      </w:r>
    </w:p>
    <w:p>
      <w:pPr>
        <w:spacing w:after="0" w:line="2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building products industry is highly competitive. We primarily compete with other building products firms that offer alternative architectural and structural solutions. Our competitors include both large, diversified producers, and smaller regional manufacturers offering a wide variety of materials and product types. Our specialty products, including our Siding portfolio and LP</w:t>
      </w:r>
      <w:r>
        <w:rPr>
          <w:rFonts w:ascii="Arial" w:cs="Arial" w:eastAsia="Arial" w:hAnsi="Arial"/>
          <w:sz w:val="13"/>
          <w:szCs w:val="13"/>
          <w:color w:val="auto"/>
        </w:rPr>
        <w:t>®</w:t>
      </w:r>
      <w:r>
        <w:rPr>
          <w:rFonts w:ascii="Arial" w:cs="Arial" w:eastAsia="Arial" w:hAnsi="Arial"/>
          <w:sz w:val="20"/>
          <w:szCs w:val="20"/>
          <w:color w:val="auto"/>
        </w:rPr>
        <w:t xml:space="preserve"> Structural Solutions, generally compete based on product features, benefits, quality, sustainability, and availability. Our commodity OSB products generally compete based on price, quality, and availability of products.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MANUFACTURING</w:t>
      </w:r>
    </w:p>
    <w:p>
      <w:pPr>
        <w:spacing w:after="0" w:line="25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operate manufacturing facilities throughout North America and South America. Our facilities utilize the best available manufacturing techniques based on the needs of our business segments, and we work continuously to improve our operating efficiency and productivity, as measured by OEE. LP operates more than 20 manufacturing facilities across North and South America.</w:t>
      </w:r>
    </w:p>
    <w:p>
      <w:pPr>
        <w:sectPr>
          <w:pgSz w:w="11880" w:h="15480" w:orient="portrait"/>
          <w:cols w:equalWidth="0" w:num="1">
            <w:col w:w="9360"/>
          </w:cols>
          <w:pgMar w:left="1260" w:top="1197"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9360"/>
          </w:cols>
          <w:pgMar w:left="1260" w:top="1197" w:right="1260" w:bottom="225" w:gutter="0" w:footer="0" w:header="0"/>
          <w:type w:val="continuous"/>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STRATEGIC SOURCING</w:t>
      </w:r>
    </w:p>
    <w:p>
      <w:pPr>
        <w:spacing w:after="0" w:line="25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We rely on various suppliers to furnish the raw materials and inputs used in the manufacturing of our products. To maximize our effectiveness in the marketplace, we have a centralized strategic sourcing group that consolidates purchases of certain materials and indirect items across business segments. The goal of the strategic sourcing group is to develop global strategies for a given component group, identify vendors and suppliers that meet our business requirements, promote a competitive pricing environment among our vendors and suppliers, and develop long-term relationships with those vendors and suppliers. By developing these strategies and relationships, we seek to leverage our material needs to implement leading practices, reduce costs, improve process efficiency, improve operating performance, and ensure continuity of supply.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RAW MATERIALS</w:t>
      </w:r>
    </w:p>
    <w:p>
      <w:pPr>
        <w:spacing w:after="0" w:line="257"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Wood fiber is the primary raw material used in most of our operations, and the primary source of wood fiber is timber. The primary end-markets for timber harvested in the United States and Canada are manufacturers who supply: (1) the housing market, where timber is used in the construction of new housing and the repair and remodeling of existing housing; (2) the pulp and paper market; (3) commercial and industrial markets; (4) export markets; and (5) emerging biomass energy production markets. The supply of timber can be limited by particular factors that influence the accessibility of timberlands. These factors include policies governing forest management, Indigenous rights-based interests, alternate uses of land, and loss to urban or suburban real estate development. Because wood fiber is subject to commodity pricing, the cost of various types of timber that we purchase in the market has, at times, fluctuated greatly due to weather, government policies and regulations, or economic and other industry conditions. However, our mills are generally located near large and diverse supplies of timber. We source all our wood fiber sustainably, as certified according to the standards of the Sustainable Forestry Initiative</w:t>
      </w:r>
      <w:r>
        <w:rPr>
          <w:rFonts w:ascii="Arial" w:cs="Arial" w:eastAsia="Arial" w:hAnsi="Arial"/>
          <w:sz w:val="11"/>
          <w:szCs w:val="11"/>
          <w:color w:val="auto"/>
        </w:rPr>
        <w:t>®</w:t>
      </w:r>
      <w:r>
        <w:rPr>
          <w:rFonts w:ascii="Arial" w:cs="Arial" w:eastAsia="Arial" w:hAnsi="Arial"/>
          <w:sz w:val="18"/>
          <w:szCs w:val="18"/>
          <w:color w:val="auto"/>
        </w:rPr>
        <w:t xml:space="preserve"> (SFI</w:t>
      </w:r>
      <w:r>
        <w:rPr>
          <w:rFonts w:ascii="Arial" w:cs="Arial" w:eastAsia="Arial" w:hAnsi="Arial"/>
          <w:sz w:val="11"/>
          <w:szCs w:val="11"/>
          <w:color w:val="auto"/>
        </w:rPr>
        <w:t>®</w:t>
      </w:r>
      <w:r>
        <w:rPr>
          <w:rFonts w:ascii="Arial" w:cs="Arial" w:eastAsia="Arial" w:hAnsi="Arial"/>
          <w:sz w:val="18"/>
          <w:szCs w:val="18"/>
          <w:color w:val="auto"/>
        </w:rPr>
        <w:t>) and the Programme for the Endorsement of Forest Certification (PEFC</w:t>
      </w:r>
      <w:r>
        <w:rPr>
          <w:rFonts w:ascii="Arial" w:cs="Arial" w:eastAsia="Arial" w:hAnsi="Arial"/>
          <w:sz w:val="12"/>
          <w:szCs w:val="12"/>
          <w:color w:val="auto"/>
        </w:rPr>
        <w:t>®</w:t>
      </w:r>
      <w:r>
        <w:rPr>
          <w:rFonts w:ascii="Arial" w:cs="Arial" w:eastAsia="Arial" w:hAnsi="Arial"/>
          <w:sz w:val="18"/>
          <w:szCs w:val="18"/>
          <w:color w:val="auto"/>
        </w:rPr>
        <w:t>).</w:t>
      </w:r>
    </w:p>
    <w:p>
      <w:pPr>
        <w:spacing w:after="0" w:line="6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In addition to wood fiber, we use significant quantities of various resins in our manufacturing processes. Resin product costs are influenced by changes in the prices of raw materials used to produce resin, primarily petroleum products and energy, as well as competing demand for resin products. Currently, we purchase most of our resin from five major suppliers. However, there can be no assurance that pricing or availability of resins will not be impacted by competing demand or supply chain disruptions due to significant weather or other uncontrollable events.</w:t>
      </w:r>
    </w:p>
    <w:p>
      <w:pPr>
        <w:spacing w:after="0" w:line="5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While a significant portion of the energy requirements of our plants are met by the energy produced from the conversion of wood waste, we also purchase electricity and natural gas. Energy prices have experienced significant volatility in recent years, particularly in deregulated markets. We attempt to mitigate our exposure to energy price changes through the selective use of long-term supply agreements.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5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Our business is subject to seasonal variances, with demand for many of our products tending to be higher during the building season, which generally occurs in the second and third calendar quarters in North America and the first and fourth calendar quarters in South America.</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5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Our operations are subject to the laws and regulations of the United States and multiple foreign jurisdictions. These laws and regulations, which differ among jurisdictions and are subject to change, include those related to financial and other disclosures, accounting standards, corporate governance, environmental policy, intellectual property, tax, trade, antitrust, labor and employment, immigration and travel, privacy, and anti-corruption, among others. Additional information concerning legal and regulatory matters is set forth under “Risk Factors </w:t>
      </w:r>
      <w:r>
        <w:rPr>
          <w:rFonts w:ascii="Arial" w:cs="Arial" w:eastAsia="Arial" w:hAnsi="Arial"/>
          <w:sz w:val="19"/>
          <w:szCs w:val="19"/>
          <w:b w:val="1"/>
          <w:bCs w:val="1"/>
          <w:color w:val="auto"/>
        </w:rPr>
        <w:t>–</w:t>
      </w:r>
      <w:r>
        <w:rPr>
          <w:rFonts w:ascii="Arial" w:cs="Arial" w:eastAsia="Arial" w:hAnsi="Arial"/>
          <w:sz w:val="19"/>
          <w:szCs w:val="19"/>
          <w:color w:val="auto"/>
        </w:rPr>
        <w:t xml:space="preserve"> Legal and Regulatory Risk Factors” in Item 1A of this annual report on Form 10-K.</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9360"/>
          </w:cols>
          <w:pgMar w:left="1260" w:top="1190" w:right="1260" w:bottom="225" w:gutter="0" w:footer="0" w:header="0"/>
          <w:type w:val="continuous"/>
        </w:sectPr>
      </w:pPr>
    </w:p>
    <w:bookmarkStart w:id="26" w:name="page27"/>
    <w:bookmarkEnd w:id="26"/>
    <w:p>
      <w:pPr>
        <w:jc w:val="both"/>
        <w:spacing w:after="0" w:line="269" w:lineRule="auto"/>
        <w:rPr>
          <w:sz w:val="20"/>
          <w:szCs w:val="20"/>
          <w:color w:val="auto"/>
        </w:rPr>
      </w:pPr>
      <w:r>
        <w:rPr>
          <w:rFonts w:ascii="Arial" w:cs="Arial" w:eastAsia="Arial" w:hAnsi="Arial"/>
          <w:sz w:val="19"/>
          <w:szCs w:val="19"/>
          <w:color w:val="auto"/>
        </w:rPr>
        <w:t xml:space="preserve">We are subject to income taxes and other corporate taxes in the United States and multiple foreign jurisdictions. Our provision for income taxes and our effective tax rate could be affected by numerous factors, including changes in applicable tax laws, interpretations of applicable tax laws, the amount and composition of pre-tax income in jurisdictions with differing tax rates, and the valuation of deferred tax assets. Additional information concerning tax matters is set forth under “Risk Factors </w:t>
      </w:r>
      <w:r>
        <w:rPr>
          <w:rFonts w:ascii="Arial" w:cs="Arial" w:eastAsia="Arial" w:hAnsi="Arial"/>
          <w:sz w:val="19"/>
          <w:szCs w:val="19"/>
          <w:b w:val="1"/>
          <w:bCs w:val="1"/>
          <w:color w:val="auto"/>
        </w:rPr>
        <w:t>–</w:t>
      </w:r>
      <w:r>
        <w:rPr>
          <w:rFonts w:ascii="Arial" w:cs="Arial" w:eastAsia="Arial" w:hAnsi="Arial"/>
          <w:sz w:val="19"/>
          <w:szCs w:val="19"/>
          <w:color w:val="auto"/>
        </w:rPr>
        <w:t xml:space="preserve"> Legal and Regulatory Risk Factors </w:t>
      </w:r>
      <w:r>
        <w:rPr>
          <w:rFonts w:ascii="Arial" w:cs="Arial" w:eastAsia="Arial" w:hAnsi="Arial"/>
          <w:sz w:val="19"/>
          <w:szCs w:val="19"/>
          <w:b w:val="1"/>
          <w:bCs w:val="1"/>
          <w:color w:val="auto"/>
        </w:rPr>
        <w: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Regulatory and statutory changes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applicable to us or our customers, including changes in effective tax rates or tax law, could adversely affect our financial condition and results of operations</w:t>
      </w:r>
      <w:r>
        <w:rPr>
          <w:rFonts w:ascii="Arial" w:cs="Arial" w:eastAsia="Arial" w:hAnsi="Arial"/>
          <w:sz w:val="19"/>
          <w:szCs w:val="19"/>
          <w:color w:val="auto"/>
        </w:rPr>
        <w:t>” in Item 1A of this annual report on Form 10-K, and in “Note 6 -</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Income Taxes” of the Notes to the Consolidated Financial Statements included in Item 8 of this annual report on Form 10-K.</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Our operations are also subject to many environmental laws and regulations governing, among other things, the discharge of pollutants and other emissions on or into the land, water, and air, the disposal of hazardous substances or other contaminants, the remediation of contamination, and the restoration and reforestation of timberlands. In addition, certain environmental laws and regulations impose liability and responsibility on present and former owners, operators, or users of facilities and sites for contamination at such facilities and sites without regard to causation or knowledge of contamination. Compliance with environmental laws and regulations may significantly increase the costs of our operations. In some cases, plant closures could invoke more rigorous compliance requirements. Violations of environmental laws and regulations could subject us to additional costs and expenses, including defense costs and expenses and civil and criminal penalties. We cannot guarantee that the environmental laws and regulations to which we are subject will not become more stringent or be more stringently implemented or enforced in the future.</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Changes in global or regional climate conditions and current or future governmental responses to such changes at the international level and U.S. federal and state levels, such as regulating and/or taxing the production of carbon dioxide and other greenhouse gases to facilitate the reduction of emissions into the atmosphere, requiring certain entities to disclose details about the emissions of greenhouse gases and/or the imposition of taxes or other incentives to produce and use “cleaner” energy, may increase energy costs, limit timber harvest levels, increase costs associated with disclosure related to greenhouse gases and impact our operations or our planned or future growth. Because our manufacturing operations depend on significant amounts of energy and raw materials, these initiatives could have an adverse impact on our operations and profitability. Future legislation or regulatory activity in this area remains uncertain, as does the potential impact on our business and operations.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are committed to complying with all applicable environmental laws and regulations and intend to continue devoting significant management attention to such matters. In addition, we occasionally undertake construction projects for environmental control equipment or incur other environmental costs that extend an asset’s useful life, improve its efficiency, and/or improve the property’s marketability.</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Additional information concerning environmental matters is set forth under Item 3 “Legal Proceedings”, and in “Note 12 - Commitments and Contingencies” of the Notes to the Consolidated Financial Statements included in Item 8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WORKFORCE AND EMPLOYEE RELATIONS</w:t>
      </w:r>
    </w:p>
    <w:p>
      <w:pPr>
        <w:spacing w:after="0" w:line="25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Our employees are our most important asset, and they are integral to our ability to achieve our strategic objectives. The continued success and growth of our business depends, in large part, on our ability to attract, retain, and develop a diverse population of talented and high-performing employees at all levels. We have developed key recruitment and retention strategies, objectives, and measures that we focus on as part of the overall management of LP, which will continue to support our efforts to succeed in a competitive labor market. These strategies, objectives, and measures are the basis of our workforce management framework and are advanced through the following programs, policies, and initiatives: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i w:val="1"/>
          <w:iCs w:val="1"/>
          <w:color w:val="auto"/>
        </w:rPr>
        <w:t xml:space="preserve">Workforce &amp; Labor Relations. </w:t>
      </w:r>
      <w:r>
        <w:rPr>
          <w:rFonts w:ascii="Arial" w:cs="Arial" w:eastAsia="Arial" w:hAnsi="Arial"/>
          <w:sz w:val="20"/>
          <w:szCs w:val="20"/>
          <w:color w:val="auto"/>
        </w:rPr>
        <w:t>As of December 31, 2025, we employed approximately 4,300 employees, comprising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approximately 2,800 in the United States, 800 in Canada, and 800 in South America. Approximately 3,500 employees were employed at manufacturing facilities, and approximately 1,200 employees were subject to collective bargaining agreements and/or national trade union agreements. We are committed to working collaboratively with the unions that represent some of our employees.</w:t>
      </w:r>
    </w:p>
    <w:p>
      <w:pPr>
        <w:sectPr>
          <w:pgSz w:w="11880" w:h="15480" w:orient="portrait"/>
          <w:cols w:equalWidth="0" w:num="1">
            <w:col w:w="9360"/>
          </w:cols>
          <w:pgMar w:left="1260" w:top="1197" w:right="1260" w:bottom="227"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9360"/>
          </w:cols>
          <w:pgMar w:left="1260" w:top="1197" w:right="1260" w:bottom="227" w:gutter="0" w:footer="0" w:header="0"/>
          <w:type w:val="continuous"/>
        </w:sectPr>
      </w:pPr>
    </w:p>
    <w:bookmarkStart w:id="27" w:name="page28"/>
    <w:bookmarkEnd w:id="27"/>
    <w:p>
      <w:pPr>
        <w:jc w:val="both"/>
        <w:spacing w:after="0" w:line="272" w:lineRule="auto"/>
        <w:rPr>
          <w:sz w:val="20"/>
          <w:szCs w:val="20"/>
          <w:color w:val="auto"/>
        </w:rPr>
      </w:pPr>
      <w:r>
        <w:rPr>
          <w:rFonts w:ascii="Arial" w:cs="Arial" w:eastAsia="Arial" w:hAnsi="Arial"/>
          <w:sz w:val="19"/>
          <w:szCs w:val="19"/>
          <w:b w:val="1"/>
          <w:bCs w:val="1"/>
          <w:i w:val="1"/>
          <w:iCs w:val="1"/>
          <w:color w:val="auto"/>
        </w:rPr>
        <w:t xml:space="preserve">Health, Safety, and Wellness. </w:t>
      </w:r>
      <w:r>
        <w:rPr>
          <w:rFonts w:ascii="Arial" w:cs="Arial" w:eastAsia="Arial" w:hAnsi="Arial"/>
          <w:sz w:val="19"/>
          <w:szCs w:val="19"/>
          <w:color w:val="auto"/>
        </w:rPr>
        <w:t>We are committed to the health, safety, and wellness of our employees. Safety is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core value at LP. We safeguard our people, projects, and reputation by maintaining a safety culture that strives to reduce risks to our employees. Our innovative safety and health processes are at the forefront of everything we do. We provide our employees, contractors, and guests with ongoing safety training to ensure that safety policies and procedures are effectively communicated, implemented, and followed. We also aim to start every meeting, every mill tour, and every morning at our manufacturing facilities with a message about safety. The success of our business is fundamentally connected to the safety and well-being of our people.</w:t>
      </w:r>
    </w:p>
    <w:p>
      <w:pPr>
        <w:spacing w:after="0" w:line="70"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LP is committed to continual improvement of our health and safety performance. We establish internal annual targets and seek continual safety performance improvements every year. One of the metrics that we carefully track is Total Incident Rate (TIR), a common industry measure of recordable incidents per 100 employees. We have established a targeted TIR of &lt;1.0 per year, which we believe represents industry-leading performance, and for the year ended December 31, 2025, actual TIR of 0.62 was better than our target. To further enhance our commitment to safety, we have also implemented a Serious Injury and Fatality (SIF) Prevention program and the tracking of Weighted Incident Rate (WIR). The SIF Prevention program is a proactive approach to address the most significant exposures our employees face on the job. The WIR metric reflects the severity of incidents to monitor our safety performance. The SIF Prevention program and the tracking of WIR enhance hazard recognition and employee engagement and drive our teams to evaluate controls to ensure we are incorporating improved levels of protection whenever possible. We use this data to prioritize, manage, and carefully track safety performance at all our facilities and integrate sound safety practices to make a meaningful difference in every facet of our operations.</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8"/>
          <w:szCs w:val="18"/>
          <w:b w:val="1"/>
          <w:bCs w:val="1"/>
          <w:i w:val="1"/>
          <w:iCs w:val="1"/>
          <w:color w:val="auto"/>
        </w:rPr>
        <w:t xml:space="preserve">Inclusion and Belonging. </w:t>
      </w:r>
      <w:r>
        <w:rPr>
          <w:rFonts w:ascii="Arial" w:cs="Arial" w:eastAsia="Arial" w:hAnsi="Arial"/>
          <w:sz w:val="18"/>
          <w:szCs w:val="18"/>
          <w:color w:val="auto"/>
        </w:rPr>
        <w:t>We value the diverse backgrounds, experiences, and perspectives of our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stakeholders, and are committed to fostering an environment where everyone feels a strong sense of belonging. This sense of belonging strengthens our ability to attract, develop, and retain top talent at all levels.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i w:val="1"/>
          <w:iCs w:val="1"/>
          <w:color w:val="auto"/>
        </w:rPr>
        <w:t xml:space="preserve">Talent and Development. </w:t>
      </w:r>
      <w:r>
        <w:rPr>
          <w:rFonts w:ascii="Arial" w:cs="Arial" w:eastAsia="Arial" w:hAnsi="Arial"/>
          <w:sz w:val="19"/>
          <w:szCs w:val="19"/>
          <w:color w:val="auto"/>
        </w:rPr>
        <w:t>We are committed to hiring exceptional talent and providing resources that support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continuous career growth. We begin with talented individuals who join for a role and stay for long, rewarding careers because we invest in their development, listen to their feedback, and respond to their concerns.</w:t>
      </w:r>
    </w:p>
    <w:p>
      <w:pPr>
        <w:spacing w:after="0" w:line="5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Our talent development programs provide employees with the resources they need to help achieve their career goals, build management skills, and lead the Company.</w:t>
      </w:r>
    </w:p>
    <w:p>
      <w:pPr>
        <w:spacing w:after="0" w:line="55" w:lineRule="exact"/>
        <w:rPr>
          <w:sz w:val="20"/>
          <w:szCs w:val="20"/>
          <w:color w:val="auto"/>
        </w:rPr>
      </w:pPr>
    </w:p>
    <w:p>
      <w:pPr>
        <w:jc w:val="both"/>
        <w:spacing w:after="0" w:line="344" w:lineRule="auto"/>
        <w:rPr>
          <w:sz w:val="20"/>
          <w:szCs w:val="20"/>
          <w:color w:val="auto"/>
        </w:rPr>
      </w:pPr>
      <w:r>
        <w:rPr>
          <w:rFonts w:ascii="Arial" w:cs="Arial" w:eastAsia="Arial" w:hAnsi="Arial"/>
          <w:sz w:val="18"/>
          <w:szCs w:val="18"/>
          <w:b w:val="1"/>
          <w:bCs w:val="1"/>
          <w:i w:val="1"/>
          <w:iCs w:val="1"/>
          <w:color w:val="auto"/>
        </w:rPr>
        <w:t xml:space="preserve">Compensation and Benefits. </w:t>
      </w:r>
      <w:r>
        <w:rPr>
          <w:rFonts w:ascii="Arial" w:cs="Arial" w:eastAsia="Arial" w:hAnsi="Arial"/>
          <w:sz w:val="18"/>
          <w:szCs w:val="18"/>
          <w:color w:val="auto"/>
        </w:rPr>
        <w:t>We strive to provide competitive compensation and benefits programs to help meet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needs of our employees and offer the flexibility, inclusivity, choice and protection necessary to retain top talent.</w:t>
      </w:r>
    </w:p>
    <w:p>
      <w:pPr>
        <w:spacing w:after="0" w:line="1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While subject to change, our current benefit programs may include, depending on country/region and employment position, stock-based awards granted pursuant to our stock award plans, awards granted under our annual cash incentive award plan, an employee stock purchase plan, a 401(k) and profit-sharing plan or defined contribution plan, healthcare and insurance benefits, health savings and flexible spending accounts, paid time off, family medical leave, paid parental leave (maternity, bonding, adoption, and surrogacy), fertility benefits, an employee emergency support fund, tuition assistance, and scholarship programs.</w:t>
      </w:r>
    </w:p>
    <w:p>
      <w:pPr>
        <w:spacing w:after="0" w:line="69"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We also provide our employees and their families with access to a variety of innovative, flexible, and convenient health and wellness programs. These benefits provide protection and security so employees can have peace of mind concerning events that may impact their financial well-being. In addition, we offer employees the ability to customize benefits options to meet their individual needs and the needs of their families.</w:t>
      </w:r>
    </w:p>
    <w:p>
      <w:pPr>
        <w:spacing w:after="0" w:line="4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executive management team provides oversight of our programs, policies, and initiatives focusing on workforce inclusion and belonging, talent and development, and compensation and benefits. It is our policy to fully comply with all laws (domestic and foreign) applicable to equal employment opportunity and discrimination in the workplace.</w:t>
      </w:r>
    </w:p>
    <w:p>
      <w:pPr>
        <w:sectPr>
          <w:pgSz w:w="11880" w:h="15480" w:orient="portrait"/>
          <w:cols w:equalWidth="0" w:num="1">
            <w:col w:w="9360"/>
          </w:cols>
          <w:pgMar w:left="1260" w:top="1194"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9360"/>
          </w:cols>
          <w:pgMar w:left="1260" w:top="1194" w:right="1260" w:bottom="225" w:gutter="0" w:footer="0" w:header="0"/>
          <w:type w:val="continuous"/>
        </w:sectPr>
      </w:pPr>
    </w:p>
    <w:bookmarkStart w:id="28" w:name="page29"/>
    <w:bookmarkEnd w:id="28"/>
    <w:p>
      <w:pPr>
        <w:spacing w:after="0"/>
        <w:rPr>
          <w:sz w:val="20"/>
          <w:szCs w:val="20"/>
          <w:color w:val="auto"/>
        </w:rPr>
      </w:pPr>
      <w:r>
        <w:rPr>
          <w:rFonts w:ascii="Arial" w:cs="Arial" w:eastAsia="Arial" w:hAnsi="Arial"/>
          <w:sz w:val="20"/>
          <w:szCs w:val="20"/>
          <w:b w:val="1"/>
          <w:bCs w:val="1"/>
          <w:color w:val="auto"/>
        </w:rPr>
        <w:t>SEGMENT AND PRICE TREND DATA</w:t>
      </w:r>
    </w:p>
    <w:p>
      <w:pPr>
        <w:spacing w:after="0" w:line="257"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The following tables present summary data for each of the last three years relating to: (i) housing starts within the United States, (ii) our sales volumes, and (iii) our OEE performance. We consider the following items to be key performance indicators for our business because LP’s management uses these metrics to evaluate our business and trends in our industry, measure our performance, and make strategic decisions. We believe that the key performance indicators presented may provide additional perspective and insights when analyzing our core operating performance. These key performance indicators should not be considered superior to, as a substitute for, or as an alternative to, and should be considered in conjunction with the financial measures that were prepared in accordance with accounting principles generally accepted in the United States of America (U.S. GAAP). These measures may not be comparable to similarly titled performance indicators used by other companies.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addition, information concerning our: (i) profit by segment; (ii) capital expenditures by segment; (iii) identifiable assets by segment; (iv) goodwill by segment; and (v) geographic area information, is included in “Note 15 - Segment Information” of the Notes to the Consolidated Financial Statements included in Item 8 of this annual report on Form 10-K.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Housing Starts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monitor housing starts, which is an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 titled indicators reported by other companies.</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following table sets forth U.S. housing starts data reported by the U.S. Census Bureau for the quarter and year ended December 31, 2025, 2024, and 2023 (amounts based upon information published through January 9, 2026,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20" w:type="dxa"/>
            <w:vAlign w:val="bottom"/>
          </w:tcPr>
          <w:p>
            <w:pPr>
              <w:spacing w:after="0"/>
              <w:rPr>
                <w:sz w:val="20"/>
                <w:szCs w:val="20"/>
                <w:color w:val="auto"/>
              </w:rPr>
            </w:pPr>
          </w:p>
        </w:tc>
        <w:tc>
          <w:tcPr>
            <w:tcW w:w="3120" w:type="dxa"/>
            <w:vAlign w:val="bottom"/>
            <w:gridSpan w:val="5"/>
          </w:tcPr>
          <w:p>
            <w:pPr>
              <w:ind w:left="1000"/>
              <w:spacing w:after="0"/>
              <w:rPr>
                <w:sz w:val="20"/>
                <w:szCs w:val="20"/>
                <w:color w:val="auto"/>
              </w:rPr>
            </w:pPr>
            <w:r>
              <w:rPr>
                <w:rFonts w:ascii="Arial" w:cs="Arial" w:eastAsia="Arial" w:hAnsi="Arial"/>
                <w:sz w:val="18"/>
                <w:szCs w:val="18"/>
                <w:b w:val="1"/>
                <w:bCs w:val="1"/>
                <w:color w:val="auto"/>
                <w:w w:val="94"/>
              </w:rPr>
              <w:t>Year Ended December 31,</w:t>
            </w:r>
          </w:p>
        </w:tc>
        <w:tc>
          <w:tcPr>
            <w:tcW w:w="920" w:type="dxa"/>
            <w:vAlign w:val="bottom"/>
          </w:tcPr>
          <w:p>
            <w:pPr>
              <w:spacing w:after="0"/>
              <w:rPr>
                <w:sz w:val="20"/>
                <w:szCs w:val="20"/>
                <w:color w:val="auto"/>
              </w:rPr>
            </w:pPr>
          </w:p>
        </w:tc>
      </w:tr>
      <w:tr>
        <w:trPr>
          <w:trHeight w:val="33"/>
        </w:trPr>
        <w:tc>
          <w:tcPr>
            <w:tcW w:w="53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7"/>
        </w:trPr>
        <w:tc>
          <w:tcPr>
            <w:tcW w:w="5320" w:type="dxa"/>
            <w:vAlign w:val="bottom"/>
          </w:tcPr>
          <w:p>
            <w:pPr>
              <w:spacing w:after="0"/>
              <w:rPr>
                <w:sz w:val="21"/>
                <w:szCs w:val="21"/>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2025</w:t>
            </w:r>
            <w:r>
              <w:rPr>
                <w:rFonts w:ascii="Arial" w:cs="Arial" w:eastAsia="Arial" w:hAnsi="Arial"/>
                <w:sz w:val="11"/>
                <w:szCs w:val="11"/>
                <w:b w:val="1"/>
                <w:bCs w:val="1"/>
                <w:color w:val="auto"/>
              </w:rPr>
              <w:t>1</w:t>
            </w:r>
          </w:p>
        </w:tc>
        <w:tc>
          <w:tcPr>
            <w:tcW w:w="136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33"/>
        </w:trPr>
        <w:tc>
          <w:tcPr>
            <w:tcW w:w="5320" w:type="dxa"/>
            <w:vAlign w:val="bottom"/>
            <w:tcBorders>
              <w:bottom w:val="single" w:sz="8" w:color="E6E6E6"/>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Housing starts:</w:t>
            </w:r>
          </w:p>
        </w:tc>
        <w:tc>
          <w:tcPr>
            <w:tcW w:w="130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130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E6E6E6"/>
            </w:tcBorders>
            <w:shd w:val="clear" w:color="auto" w:fill="E6E6E6"/>
          </w:tcPr>
          <w:p>
            <w:pPr>
              <w:spacing w:after="0"/>
              <w:rPr>
                <w:sz w:val="23"/>
                <w:szCs w:val="23"/>
                <w:color w:val="auto"/>
              </w:rPr>
            </w:pPr>
          </w:p>
        </w:tc>
      </w:tr>
      <w:tr>
        <w:trPr>
          <w:trHeight w:val="258"/>
        </w:trPr>
        <w:tc>
          <w:tcPr>
            <w:tcW w:w="5320" w:type="dxa"/>
            <w:vAlign w:val="bottom"/>
          </w:tcPr>
          <w:p>
            <w:pPr>
              <w:ind w:left="60"/>
              <w:spacing w:after="0"/>
              <w:rPr>
                <w:sz w:val="20"/>
                <w:szCs w:val="20"/>
                <w:color w:val="auto"/>
              </w:rPr>
            </w:pPr>
            <w:r>
              <w:rPr>
                <w:rFonts w:ascii="Arial" w:cs="Arial" w:eastAsia="Arial" w:hAnsi="Arial"/>
                <w:sz w:val="18"/>
                <w:szCs w:val="18"/>
                <w:color w:val="auto"/>
              </w:rPr>
              <w:t>Single-Family</w:t>
            </w:r>
          </w:p>
        </w:tc>
        <w:tc>
          <w:tcPr>
            <w:tcW w:w="1300" w:type="dxa"/>
            <w:vAlign w:val="bottom"/>
          </w:tcPr>
          <w:p>
            <w:pPr>
              <w:jc w:val="right"/>
              <w:spacing w:after="0"/>
              <w:rPr>
                <w:sz w:val="20"/>
                <w:szCs w:val="20"/>
                <w:color w:val="auto"/>
              </w:rPr>
            </w:pPr>
            <w:r>
              <w:rPr>
                <w:rFonts w:ascii="Arial" w:cs="Arial" w:eastAsia="Arial" w:hAnsi="Arial"/>
                <w:sz w:val="18"/>
                <w:szCs w:val="18"/>
                <w:color w:val="auto"/>
              </w:rPr>
              <w:t>949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w:t>
            </w:r>
          </w:p>
        </w:tc>
      </w:tr>
      <w:tr>
        <w:trPr>
          <w:trHeight w:val="42"/>
        </w:trPr>
        <w:tc>
          <w:tcPr>
            <w:tcW w:w="5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5"/>
        </w:trPr>
        <w:tc>
          <w:tcPr>
            <w:tcW w:w="5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Multi-Family</w:t>
            </w:r>
          </w:p>
        </w:tc>
        <w:tc>
          <w:tcPr>
            <w:tcW w:w="1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416</w:t>
            </w:r>
          </w:p>
        </w:tc>
        <w:tc>
          <w:tcPr>
            <w:tcW w:w="136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rPr>
              <w:t>354</w:t>
            </w:r>
          </w:p>
        </w:tc>
        <w:tc>
          <w:tcPr>
            <w:tcW w:w="6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472</w:t>
            </w:r>
          </w:p>
        </w:tc>
      </w:tr>
      <w:tr>
        <w:trPr>
          <w:trHeight w:val="260"/>
        </w:trPr>
        <w:tc>
          <w:tcPr>
            <w:tcW w:w="5320" w:type="dxa"/>
            <w:vAlign w:val="bottom"/>
            <w:tcBorders>
              <w:top w:val="single" w:sz="8" w:color="E6E6E6"/>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1,364</w:t>
            </w:r>
          </w:p>
        </w:tc>
        <w:tc>
          <w:tcPr>
            <w:tcW w:w="60" w:type="dxa"/>
            <w:vAlign w:val="bottom"/>
            <w:tcBorders>
              <w:top w:val="single" w:sz="8" w:color="E6E6E6"/>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1,367</w:t>
            </w:r>
          </w:p>
        </w:tc>
        <w:tc>
          <w:tcPr>
            <w:tcW w:w="60" w:type="dxa"/>
            <w:vAlign w:val="bottom"/>
            <w:tcBorders>
              <w:top w:val="single" w:sz="8" w:color="E6E6E6"/>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1,420</w:t>
            </w:r>
          </w:p>
        </w:tc>
      </w:tr>
      <w:tr>
        <w:trPr>
          <w:trHeight w:val="20"/>
        </w:trPr>
        <w:tc>
          <w:tcPr>
            <w:tcW w:w="5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-793115</wp:posOffset>
            </wp:positionV>
            <wp:extent cx="258762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3">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-221615</wp:posOffset>
            </wp:positionV>
            <wp:extent cx="258762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4">
                      <a:extLst>
                        <a:ext uri="{28A0092B-C50C-407E-A947-70E740481C1C}"/>
                      </a:extLst>
                    </a:blip>
                    <a:srcRect/>
                    <a:stretch>
                      <a:fillRect/>
                    </a:stretch>
                  </pic:blipFill>
                  <pic:spPr bwMode="auto">
                    <a:xfrm>
                      <a:off x="0" y="0"/>
                      <a:ext cx="2587625" cy="25400"/>
                    </a:xfrm>
                    <a:prstGeom prst="rect">
                      <a:avLst/>
                    </a:prstGeom>
                    <a:noFill/>
                  </pic:spPr>
                </pic:pic>
              </a:graphicData>
            </a:graphic>
          </wp:anchor>
        </w:drawing>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0"/>
          <w:szCs w:val="10"/>
          <w:color w:val="auto"/>
        </w:rPr>
        <w:t>1</w:t>
      </w:r>
      <w:r>
        <w:rPr>
          <w:rFonts w:ascii="Arial" w:cs="Arial" w:eastAsia="Arial" w:hAnsi="Arial"/>
          <w:sz w:val="16"/>
          <w:szCs w:val="16"/>
          <w:color w:val="auto"/>
        </w:rPr>
        <w:t>November and December 2025 housing starts have not yet been published by the U.S. Census Bureau, and therefore, we have used October 2025</w:t>
      </w:r>
      <w:r>
        <w:rPr>
          <w:rFonts w:ascii="Arial" w:cs="Arial" w:eastAsia="Arial" w:hAnsi="Arial"/>
          <w:sz w:val="10"/>
          <w:szCs w:val="10"/>
          <w:color w:val="auto"/>
        </w:rPr>
        <w:t xml:space="preserve"> </w:t>
      </w:r>
      <w:r>
        <w:rPr>
          <w:rFonts w:ascii="Arial" w:cs="Arial" w:eastAsia="Arial" w:hAnsi="Arial"/>
          <w:sz w:val="16"/>
          <w:szCs w:val="16"/>
          <w:color w:val="auto"/>
        </w:rPr>
        <w:t>housing starts as the November and December 2025 actual housing starts.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Sales Volume Information Summary</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monitor sales volumes for our products in our Siding and OSB segments, which we define as the amount of our products sold within the applicable period measured in million square feet (MMSF) on a standard 3/8" thickness basis. Evaluating sales volume by product type helps us identify and address changes in product demand, broad market factors that may affect our performance, and opportunities for future growth. It should be noted that other companies may present sales volume data differently, and therefore, as presented by us, sales volume data may not be comparable to similarly titled measures reported by other companies. We believe that sales volumes can be a useful measure for evaluating and understanding our business.</w:t>
      </w:r>
    </w:p>
    <w:p>
      <w:pPr>
        <w:sectPr>
          <w:pgSz w:w="11880" w:h="15480" w:orient="portrait"/>
          <w:cols w:equalWidth="0" w:num="1">
            <w:col w:w="9360"/>
          </w:cols>
          <w:pgMar w:left="1260" w:top="1190" w:right="12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9360"/>
          </w:cols>
          <w:pgMar w:left="1260" w:top="1190" w:right="1260" w:bottom="223" w:gutter="0" w:footer="0" w:header="0"/>
          <w:type w:val="continuous"/>
        </w:sectPr>
      </w:pPr>
    </w:p>
    <w:bookmarkStart w:id="29" w:name="page30"/>
    <w:bookmarkEnd w:id="29"/>
    <w:p>
      <w:pPr>
        <w:spacing w:after="0"/>
        <w:rPr>
          <w:sz w:val="20"/>
          <w:szCs w:val="20"/>
          <w:color w:val="auto"/>
        </w:rPr>
      </w:pPr>
      <w:r>
        <w:rPr>
          <w:rFonts w:ascii="Arial" w:cs="Arial" w:eastAsia="Arial" w:hAnsi="Arial"/>
          <w:sz w:val="20"/>
          <w:szCs w:val="20"/>
          <w:color w:val="auto"/>
        </w:rPr>
        <w:t>The following table sets forth sales volumes for the year ended December 31, 2025 and 2024 (in MMSF):</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20" w:type="dxa"/>
            <w:vAlign w:val="bottom"/>
          </w:tcPr>
          <w:p>
            <w:pPr>
              <w:spacing w:after="0"/>
              <w:rPr>
                <w:sz w:val="20"/>
                <w:szCs w:val="20"/>
                <w:color w:val="auto"/>
              </w:rPr>
            </w:pPr>
          </w:p>
        </w:tc>
        <w:tc>
          <w:tcPr>
            <w:tcW w:w="3120" w:type="dxa"/>
            <w:vAlign w:val="bottom"/>
            <w:gridSpan w:val="7"/>
          </w:tcPr>
          <w:p>
            <w:pPr>
              <w:ind w:left="1020"/>
              <w:spacing w:after="0"/>
              <w:rPr>
                <w:sz w:val="20"/>
                <w:szCs w:val="20"/>
                <w:color w:val="auto"/>
              </w:rPr>
            </w:pPr>
            <w:r>
              <w:rPr>
                <w:rFonts w:ascii="Arial" w:cs="Arial" w:eastAsia="Arial" w:hAnsi="Arial"/>
                <w:sz w:val="18"/>
                <w:szCs w:val="18"/>
                <w:b w:val="1"/>
                <w:bCs w:val="1"/>
                <w:color w:val="auto"/>
                <w:w w:val="94"/>
              </w:rPr>
              <w:t>Year Ended December 31,</w:t>
            </w:r>
          </w:p>
        </w:tc>
        <w:tc>
          <w:tcPr>
            <w:tcW w:w="920" w:type="dxa"/>
            <w:vAlign w:val="bottom"/>
          </w:tcPr>
          <w:p>
            <w:pPr>
              <w:spacing w:after="0"/>
              <w:rPr>
                <w:sz w:val="20"/>
                <w:szCs w:val="20"/>
                <w:color w:val="auto"/>
              </w:rPr>
            </w:pPr>
          </w:p>
        </w:tc>
      </w:tr>
      <w:tr>
        <w:trPr>
          <w:trHeight w:val="41"/>
        </w:trPr>
        <w:tc>
          <w:tcPr>
            <w:tcW w:w="532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54"/>
        </w:trPr>
        <w:tc>
          <w:tcPr>
            <w:tcW w:w="5320" w:type="dxa"/>
            <w:vAlign w:val="bottom"/>
          </w:tcPr>
          <w:p>
            <w:pPr>
              <w:spacing w:after="0"/>
              <w:rPr>
                <w:sz w:val="22"/>
                <w:szCs w:val="22"/>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20" w:type="dxa"/>
            <w:vAlign w:val="bottom"/>
          </w:tcPr>
          <w:p>
            <w:pPr>
              <w:spacing w:after="0"/>
              <w:rPr>
                <w:sz w:val="22"/>
                <w:szCs w:val="22"/>
                <w:color w:val="auto"/>
              </w:rPr>
            </w:pPr>
          </w:p>
        </w:tc>
        <w:tc>
          <w:tcPr>
            <w:tcW w:w="13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41"/>
        </w:trPr>
        <w:tc>
          <w:tcPr>
            <w:tcW w:w="5320" w:type="dxa"/>
            <w:vAlign w:val="bottom"/>
            <w:tcBorders>
              <w:bottom w:val="single" w:sz="8" w:color="E6E6E6"/>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E6E6E6"/>
            </w:tcBorders>
          </w:tcPr>
          <w:p>
            <w:pPr>
              <w:spacing w:after="0"/>
              <w:rPr>
                <w:sz w:val="3"/>
                <w:szCs w:val="3"/>
                <w:color w:val="auto"/>
              </w:rPr>
            </w:pPr>
          </w:p>
        </w:tc>
        <w:tc>
          <w:tcPr>
            <w:tcW w:w="20" w:type="dxa"/>
            <w:vAlign w:val="bottom"/>
            <w:tcBorders>
              <w:bottom w:val="single" w:sz="8" w:color="E6E6E6"/>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0" w:type="dxa"/>
            <w:vAlign w:val="bottom"/>
            <w:tcBorders>
              <w:bottom w:val="single" w:sz="8" w:color="E6E6E6"/>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85"/>
        </w:trPr>
        <w:tc>
          <w:tcPr>
            <w:tcW w:w="5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Siding</w:t>
            </w:r>
          </w:p>
        </w:tc>
        <w:tc>
          <w:tcPr>
            <w:tcW w:w="1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1,786</w:t>
            </w:r>
          </w:p>
        </w:tc>
        <w:tc>
          <w:tcPr>
            <w:tcW w:w="2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E6E6E6"/>
            </w:tcBorders>
            <w:gridSpan w:val="3"/>
            <w:shd w:val="clear" w:color="auto" w:fill="E6E6E6"/>
          </w:tcPr>
          <w:p>
            <w:pPr>
              <w:jc w:val="right"/>
              <w:spacing w:after="0"/>
              <w:rPr>
                <w:sz w:val="20"/>
                <w:szCs w:val="20"/>
                <w:color w:val="auto"/>
              </w:rPr>
            </w:pPr>
            <w:r>
              <w:rPr>
                <w:rFonts w:ascii="Arial" w:cs="Arial" w:eastAsia="Arial" w:hAnsi="Arial"/>
                <w:sz w:val="18"/>
                <w:szCs w:val="18"/>
                <w:color w:val="auto"/>
              </w:rPr>
              <w:t>1,719</w:t>
            </w:r>
          </w:p>
        </w:tc>
        <w:tc>
          <w:tcPr>
            <w:tcW w:w="6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1,547</w:t>
            </w:r>
          </w:p>
        </w:tc>
      </w:tr>
      <w:tr>
        <w:trPr>
          <w:trHeight w:val="247"/>
        </w:trPr>
        <w:tc>
          <w:tcPr>
            <w:tcW w:w="5320" w:type="dxa"/>
            <w:vAlign w:val="bottom"/>
            <w:tcBorders>
              <w:top w:val="single" w:sz="8" w:color="E6E6E6"/>
            </w:tcBorders>
          </w:tcPr>
          <w:p>
            <w:pPr>
              <w:ind w:left="180"/>
              <w:spacing w:after="0"/>
              <w:rPr>
                <w:sz w:val="20"/>
                <w:szCs w:val="20"/>
                <w:color w:val="auto"/>
              </w:rPr>
            </w:pPr>
            <w:r>
              <w:rPr>
                <w:rFonts w:ascii="Arial" w:cs="Arial" w:eastAsia="Arial" w:hAnsi="Arial"/>
                <w:sz w:val="18"/>
                <w:szCs w:val="18"/>
                <w:b w:val="1"/>
                <w:bCs w:val="1"/>
                <w:color w:val="auto"/>
              </w:rPr>
              <w:t>Total Siding sales volume</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1,786</w:t>
            </w: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E6E6E6"/>
            </w:tcBorders>
            <w:gridSpan w:val="2"/>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1,719</w:t>
            </w:r>
          </w:p>
        </w:tc>
        <w:tc>
          <w:tcPr>
            <w:tcW w:w="60" w:type="dxa"/>
            <w:vAlign w:val="bottom"/>
            <w:tcBorders>
              <w:top w:val="single" w:sz="8" w:color="E6E6E6"/>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1,547</w:t>
            </w:r>
          </w:p>
        </w:tc>
      </w:tr>
      <w:tr>
        <w:trPr>
          <w:trHeight w:val="43"/>
        </w:trPr>
        <w:tc>
          <w:tcPr>
            <w:tcW w:w="5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300"/>
        </w:trPr>
        <w:tc>
          <w:tcPr>
            <w:tcW w:w="5320" w:type="dxa"/>
            <w:vAlign w:val="bottom"/>
            <w:shd w:val="clear" w:color="auto" w:fill="E6E6E6"/>
          </w:tcPr>
          <w:p>
            <w:pPr>
              <w:spacing w:after="0"/>
              <w:rPr>
                <w:sz w:val="24"/>
                <w:szCs w:val="24"/>
                <w:color w:val="auto"/>
              </w:rPr>
            </w:pPr>
          </w:p>
        </w:tc>
        <w:tc>
          <w:tcPr>
            <w:tcW w:w="13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3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58"/>
        </w:trPr>
        <w:tc>
          <w:tcPr>
            <w:tcW w:w="5320" w:type="dxa"/>
            <w:vAlign w:val="bottom"/>
          </w:tcPr>
          <w:p>
            <w:pPr>
              <w:ind w:left="60"/>
              <w:spacing w:after="0"/>
              <w:rPr>
                <w:sz w:val="20"/>
                <w:szCs w:val="20"/>
                <w:color w:val="auto"/>
              </w:rPr>
            </w:pPr>
            <w:r>
              <w:rPr>
                <w:rFonts w:ascii="Arial" w:cs="Arial" w:eastAsia="Arial" w:hAnsi="Arial"/>
                <w:sz w:val="18"/>
                <w:szCs w:val="18"/>
                <w:color w:val="auto"/>
              </w:rPr>
              <w:t>OSB - Structural Solutions</w:t>
            </w:r>
          </w:p>
        </w:tc>
        <w:tc>
          <w:tcPr>
            <w:tcW w:w="1300" w:type="dxa"/>
            <w:vAlign w:val="bottom"/>
          </w:tcPr>
          <w:p>
            <w:pPr>
              <w:jc w:val="right"/>
              <w:spacing w:after="0"/>
              <w:rPr>
                <w:sz w:val="20"/>
                <w:szCs w:val="20"/>
                <w:color w:val="auto"/>
              </w:rPr>
            </w:pPr>
            <w:r>
              <w:rPr>
                <w:rFonts w:ascii="Arial" w:cs="Arial" w:eastAsia="Arial" w:hAnsi="Arial"/>
                <w:sz w:val="18"/>
                <w:szCs w:val="18"/>
                <w:color w:val="auto"/>
              </w:rPr>
              <w:t>1,535</w:t>
            </w:r>
          </w:p>
        </w:tc>
        <w:tc>
          <w:tcPr>
            <w:tcW w:w="20" w:type="dxa"/>
            <w:vAlign w:val="bottom"/>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1,705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1,559</w:t>
            </w:r>
          </w:p>
        </w:tc>
      </w:tr>
      <w:tr>
        <w:trPr>
          <w:trHeight w:val="42"/>
        </w:trPr>
        <w:tc>
          <w:tcPr>
            <w:tcW w:w="5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5"/>
        </w:trPr>
        <w:tc>
          <w:tcPr>
            <w:tcW w:w="5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OSB - Commodity</w:t>
            </w:r>
          </w:p>
        </w:tc>
        <w:tc>
          <w:tcPr>
            <w:tcW w:w="1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1,540</w:t>
            </w:r>
          </w:p>
        </w:tc>
        <w:tc>
          <w:tcPr>
            <w:tcW w:w="20" w:type="dxa"/>
            <w:vAlign w:val="bottom"/>
            <w:tcBorders>
              <w:bottom w:val="single" w:sz="8" w:color="E6E6E6"/>
            </w:tcBorders>
            <w:shd w:val="clear" w:color="auto" w:fill="E6E6E6"/>
          </w:tcPr>
          <w:p>
            <w:pPr>
              <w:spacing w:after="0"/>
              <w:rPr>
                <w:sz w:val="24"/>
                <w:szCs w:val="24"/>
                <w:color w:val="auto"/>
              </w:rPr>
            </w:pPr>
          </w:p>
        </w:tc>
        <w:tc>
          <w:tcPr>
            <w:tcW w:w="1360" w:type="dxa"/>
            <w:vAlign w:val="bottom"/>
            <w:tcBorders>
              <w:bottom w:val="single" w:sz="8" w:color="E6E6E6"/>
            </w:tcBorders>
            <w:gridSpan w:val="3"/>
            <w:shd w:val="clear" w:color="auto" w:fill="E6E6E6"/>
          </w:tcPr>
          <w:p>
            <w:pPr>
              <w:jc w:val="right"/>
              <w:spacing w:after="0"/>
              <w:rPr>
                <w:sz w:val="20"/>
                <w:szCs w:val="20"/>
                <w:color w:val="auto"/>
              </w:rPr>
            </w:pPr>
            <w:r>
              <w:rPr>
                <w:rFonts w:ascii="Arial" w:cs="Arial" w:eastAsia="Arial" w:hAnsi="Arial"/>
                <w:sz w:val="18"/>
                <w:szCs w:val="18"/>
                <w:color w:val="auto"/>
              </w:rPr>
              <w:t>1,680</w:t>
            </w:r>
          </w:p>
        </w:tc>
        <w:tc>
          <w:tcPr>
            <w:tcW w:w="6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1,512</w:t>
            </w:r>
          </w:p>
        </w:tc>
      </w:tr>
      <w:tr>
        <w:trPr>
          <w:trHeight w:val="247"/>
        </w:trPr>
        <w:tc>
          <w:tcPr>
            <w:tcW w:w="5320" w:type="dxa"/>
            <w:vAlign w:val="bottom"/>
            <w:tcBorders>
              <w:top w:val="single" w:sz="8" w:color="E6E6E6"/>
            </w:tcBorders>
          </w:tcPr>
          <w:p>
            <w:pPr>
              <w:ind w:left="180"/>
              <w:spacing w:after="0"/>
              <w:rPr>
                <w:sz w:val="20"/>
                <w:szCs w:val="20"/>
                <w:color w:val="auto"/>
              </w:rPr>
            </w:pPr>
            <w:r>
              <w:rPr>
                <w:rFonts w:ascii="Arial" w:cs="Arial" w:eastAsia="Arial" w:hAnsi="Arial"/>
                <w:sz w:val="18"/>
                <w:szCs w:val="18"/>
                <w:b w:val="1"/>
                <w:bCs w:val="1"/>
                <w:color w:val="auto"/>
              </w:rPr>
              <w:t>Total OSB sales volume</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3,075</w:t>
            </w:r>
          </w:p>
        </w:tc>
        <w:tc>
          <w:tcPr>
            <w:tcW w:w="20" w:type="dxa"/>
            <w:vAlign w:val="bottom"/>
            <w:tcBorders>
              <w:top w:val="single" w:sz="8" w:color="E6E6E6"/>
            </w:tcBorders>
          </w:tcPr>
          <w:p>
            <w:pPr>
              <w:spacing w:after="0"/>
              <w:rPr>
                <w:sz w:val="21"/>
                <w:szCs w:val="21"/>
                <w:color w:val="auto"/>
              </w:rPr>
            </w:pPr>
          </w:p>
        </w:tc>
        <w:tc>
          <w:tcPr>
            <w:tcW w:w="40" w:type="dxa"/>
            <w:vAlign w:val="bottom"/>
            <w:tcBorders>
              <w:top w:val="single" w:sz="8" w:color="E6E6E6"/>
            </w:tcBorders>
          </w:tcPr>
          <w:p>
            <w:pPr>
              <w:spacing w:after="0"/>
              <w:rPr>
                <w:sz w:val="21"/>
                <w:szCs w:val="21"/>
                <w:color w:val="auto"/>
              </w:rPr>
            </w:pP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3,384</w:t>
            </w:r>
          </w:p>
        </w:tc>
        <w:tc>
          <w:tcPr>
            <w:tcW w:w="60" w:type="dxa"/>
            <w:vAlign w:val="bottom"/>
            <w:tcBorders>
              <w:top w:val="single" w:sz="8" w:color="E6E6E6"/>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3368675</wp:posOffset>
            </wp:positionH>
            <wp:positionV relativeFrom="paragraph">
              <wp:posOffset>-1127760</wp:posOffset>
            </wp:positionV>
            <wp:extent cx="258762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5">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-937260</wp:posOffset>
            </wp:positionV>
            <wp:extent cx="258762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6">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-175260</wp:posOffset>
            </wp:positionV>
            <wp:extent cx="258762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7">
                      <a:extLst>
                        <a:ext uri="{28A0092B-C50C-407E-A947-70E740481C1C}"/>
                      </a:extLst>
                    </a:blip>
                    <a:srcRect/>
                    <a:stretch>
                      <a:fillRect/>
                    </a:stretch>
                  </pic:blipFill>
                  <pic:spPr bwMode="auto">
                    <a:xfrm>
                      <a:off x="0" y="0"/>
                      <a:ext cx="2587625" cy="2540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Overall Equipment Effectiveness Summary</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measure OEE of each of our mills to track improvements in the utilization and productivity of our manufacturing assets. OEE is a composite metric that considers asset uptime (adjusted for capital project downtime and similar events), production rates, and finished product quality. We believe that when used in conjunction with other metrics, OEE can be a useful measure for evaluating our ability to generate profits, and that providing this measure should allow interested persons to monitor operational improvements. We use a best-in-class target across all LP sites that allows us to optimize capital investments, focus maintenance and reliability improvements, and improve overall equipment efficiency. It should be noted that other companies may present OEE data differently, and therefore, as presented by us, OEE data may not be comparable to similarly titled measures reported by other companies.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color w:val="auto"/>
        </w:rPr>
        <w:t>OEE for the year ended December 31, 2025 and 2024 for each of our businesses is listed below:</w:t>
      </w:r>
    </w:p>
    <w:p>
      <w:pPr>
        <w:spacing w:after="0" w:line="331"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Year Ended December 31,</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5260" w:type="dxa"/>
            <w:vAlign w:val="bottom"/>
          </w:tcPr>
          <w:p>
            <w:pPr>
              <w:spacing w:after="0"/>
              <w:rPr>
                <w:sz w:val="23"/>
                <w:szCs w:val="2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13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2024</w:t>
            </w:r>
          </w:p>
        </w:tc>
        <w:tc>
          <w:tcPr>
            <w:tcW w:w="44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2023</w:t>
            </w:r>
          </w:p>
        </w:tc>
      </w:tr>
      <w:tr>
        <w:trPr>
          <w:trHeight w:val="33"/>
        </w:trPr>
        <w:tc>
          <w:tcPr>
            <w:tcW w:w="5260" w:type="dxa"/>
            <w:vAlign w:val="bottom"/>
            <w:tcBorders>
              <w:bottom w:val="single" w:sz="8" w:color="E6E6E6"/>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0"/>
        </w:trPr>
        <w:tc>
          <w:tcPr>
            <w:tcW w:w="612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18"/>
                <w:szCs w:val="18"/>
                <w:color w:val="auto"/>
              </w:rPr>
              <w:t>Siding</w:t>
            </w: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77 %</w:t>
            </w:r>
          </w:p>
        </w:tc>
        <w:tc>
          <w:tcPr>
            <w:tcW w:w="80" w:type="dxa"/>
            <w:vAlign w:val="bottom"/>
            <w:tcBorders>
              <w:bottom w:val="single" w:sz="8" w:color="E6E6E6"/>
            </w:tcBorders>
            <w:shd w:val="clear" w:color="auto" w:fill="E6E6E6"/>
          </w:tcPr>
          <w:p>
            <w:pPr>
              <w:spacing w:after="0"/>
              <w:rPr>
                <w:sz w:val="23"/>
                <w:szCs w:val="23"/>
                <w:color w:val="auto"/>
              </w:rPr>
            </w:pPr>
          </w:p>
        </w:tc>
        <w:tc>
          <w:tcPr>
            <w:tcW w:w="860" w:type="dxa"/>
            <w:vAlign w:val="bottom"/>
            <w:tcBorders>
              <w:bottom w:val="single" w:sz="8" w:color="E6E6E6"/>
            </w:tcBorders>
            <w:shd w:val="clear" w:color="auto" w:fill="E6E6E6"/>
          </w:tcPr>
          <w:p>
            <w:pPr>
              <w:spacing w:after="0"/>
              <w:rPr>
                <w:sz w:val="23"/>
                <w:szCs w:val="23"/>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77 %</w:t>
            </w:r>
          </w:p>
        </w:tc>
        <w:tc>
          <w:tcPr>
            <w:tcW w:w="138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rPr>
              <w:t>77 %</w:t>
            </w:r>
          </w:p>
        </w:tc>
      </w:tr>
      <w:tr>
        <w:trPr>
          <w:trHeight w:val="258"/>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OSB</w:t>
            </w:r>
          </w:p>
        </w:tc>
        <w:tc>
          <w:tcPr>
            <w:tcW w:w="440" w:type="dxa"/>
            <w:vAlign w:val="bottom"/>
          </w:tcPr>
          <w:p>
            <w:pPr>
              <w:jc w:val="right"/>
              <w:spacing w:after="0"/>
              <w:rPr>
                <w:sz w:val="20"/>
                <w:szCs w:val="20"/>
                <w:color w:val="auto"/>
              </w:rPr>
            </w:pPr>
            <w:r>
              <w:rPr>
                <w:rFonts w:ascii="Arial" w:cs="Arial" w:eastAsia="Arial" w:hAnsi="Arial"/>
                <w:sz w:val="18"/>
                <w:szCs w:val="18"/>
                <w:color w:val="auto"/>
              </w:rPr>
              <w:t>79 %</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-366395</wp:posOffset>
            </wp:positionV>
            <wp:extent cx="260667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8">
                      <a:extLst>
                        <a:ext uri="{28A0092B-C50C-407E-A947-70E740481C1C}"/>
                      </a:extLst>
                    </a:blip>
                    <a:srcRect/>
                    <a:stretch>
                      <a:fillRect/>
                    </a:stretch>
                  </pic:blipFill>
                  <pic:spPr bwMode="auto">
                    <a:xfrm>
                      <a:off x="0" y="0"/>
                      <a:ext cx="2606675" cy="2540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5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file annual reports on Form 10-K, quarterly reports on Form 10-Q, current reports on Form 8-K, proxy statements, and from time to time, other documents with the SEC. Our SEC filings are available to the public over the Internet at the SEC’s website at http://www.sec.gov.</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addition, we will make available our annual reports on Form 10-K, quarterly reports on Form 10-Q, current reports on Form 8-K, and amendments to those reports filed or furnished pursuant to Section 13(a) or 15(d) of the Exchange Act through our Internet website at http://investor.lpcorp.com under the “SEC Filings” heading of the “Financial Information” tab as soon as reasonably practicable after we electronically file such material with, or furnish it to, the SEC. Information contained on, or accessible through, our website is not a part of, and is not incorporated by reference into, this annual report on Form 10-K.</w:t>
      </w:r>
    </w:p>
    <w:p>
      <w:pPr>
        <w:sectPr>
          <w:pgSz w:w="11880" w:h="15480" w:orient="portrait"/>
          <w:cols w:equalWidth="0" w:num="1">
            <w:col w:w="9360"/>
          </w:cols>
          <w:pgMar w:left="1260" w:top="1197" w:right="12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9360"/>
          </w:cols>
          <w:pgMar w:left="1260" w:top="1197" w:right="1260" w:bottom="223" w:gutter="0" w:footer="0" w:header="0"/>
          <w:type w:val="continuous"/>
        </w:sectPr>
      </w:pPr>
    </w:p>
    <w:bookmarkStart w:id="30" w:name="page31"/>
    <w:bookmarkEnd w:id="30"/>
    <w:p>
      <w:pPr>
        <w:spacing w:after="0"/>
        <w:tabs>
          <w:tab w:leader="none" w:pos="142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7"/>
          <w:szCs w:val="17"/>
          <w:b w:val="1"/>
          <w:bCs w:val="1"/>
          <w:i w:val="1"/>
          <w:iCs w:val="1"/>
          <w:color w:val="auto"/>
        </w:rPr>
        <w:t>Risk Factors</w:t>
      </w:r>
    </w:p>
    <w:p>
      <w:pPr>
        <w:spacing w:after="0" w:line="25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You should be aware that the occurrence of any of the events described in this Risk Factors section and elsewhere in this annual report on Form 10-K or in any other of our filings with the SEC could have a material adverse effect on our business, financial position, results of operations and cash flows. In evaluating us, you should consider carefully, among other things, the risks described below and the matters described in “Cautionary Statement Regarding Forward-Looking Statements.”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AND OPERATIONAL RISK FACTORS</w:t>
      </w:r>
    </w:p>
    <w:p>
      <w:pPr>
        <w:spacing w:after="0" w:line="2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u w:val="single" w:color="auto"/>
          <w:color w:val="auto"/>
        </w:rPr>
        <w:t>Unplanned events may interrupt our manufacturing operations, which may adversely affect our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of our products is subject to unplanned events such as explosions, fires, inclement weather, natural disasters, accidents, equipment failures, or labor disruptions that may be caused by, among other factors, changes in immigration policy, transportation interruptions, supply interruptions, public health issues (including pandemics and quarantines), riots, civil insurrection or social unrest, looting, protests, strikes, and street demonstrations. During the year ended December 31, 2025, fire interruptions reduced production by less than 1%, but future fire or other operational interruptions could significantly curtail the production capacity of a facility for a period of time. We have redundant capacity and capability to produce many of our products within our manufacturing platform to mitigate our business risk from such interruptions, but major or prolonged interruptions could compromise our ability to meet our customers’ needs. Delayed delivery of our products to customers who require on-time delivery from us may cause customers to purchase alternative products at a higher cost, reschedule their own production, or incur other incremental costs. Customers may be able to pursue financial claims against us for their incremental costs, and we may incur costs to correct such problems in addition to any liability resulting from such claims. Interruptions may also harm our reputation among actual and potential customers, potentially resulting in a loss of business. To the extent these losses are not covered by insurance, our financial position, results of operations, and cash flows could be adversely affected by such events.</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u w:val="single" w:color="auto"/>
          <w:color w:val="auto"/>
        </w:rPr>
        <w:t>We mostly depend on third parties for transportation services and increases in costs or changes in the availability of transportation could materially and adversely affect our business and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business depends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transportation of many products, both domestically and internationally. We rely primarily on third parties for transportation of the products we manufacture and/or distribute as well as for delivery of our raw materials. In particular, a significant portion of the goods we manufacture and raw materials we use are transported by railroad or trucks, which are highly regulated. There may be labor unrest or disputes, including strikes and work stoppages, among workers at various transportation providers and in industries affecting the transportation industry, including those that are unionized, like the railroad industry. If any of our third-party transportation providers were to fail to deliver the goods we manufacture or distribute in a timely manner, or fail to deliver raw materials to us in a timely manner, it could impact our ability to manufacture and deliver our products, or to sell those products at full value or at all. In addition, if any of these third parties were to cease operations or cease doing business with us, we may be unable to replace them at a reasonable cost. Any failure of a third-party transportation provider to deliver raw materials or finished products in a timely manner could harm our reputation, impact our ability to manufacture and deliver our products, negatively affect our customer relationships and have a material adverse effect on our financial condition and results of operations. Further, an increase in transportation rates and oil and/or fuel surcharges could materially and adversely affect financial results, including profitability.</w:t>
      </w:r>
    </w:p>
    <w:p>
      <w:pPr>
        <w:sectPr>
          <w:pgSz w:w="11880" w:h="15480" w:orient="portrait"/>
          <w:cols w:equalWidth="0" w:num="1">
            <w:col w:w="9360"/>
          </w:cols>
          <w:pgMar w:left="1260" w:top="1189" w:right="1260" w:bottom="2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9360"/>
          </w:cols>
          <w:pgMar w:left="1260" w:top="1189" w:right="1260" w:bottom="224" w:gutter="0" w:footer="0" w:header="0"/>
          <w:type w:val="continuous"/>
        </w:sectPr>
      </w:pPr>
    </w:p>
    <w:bookmarkStart w:id="31" w:name="page32"/>
    <w:bookmarkEnd w:id="31"/>
    <w:p>
      <w:pPr>
        <w:jc w:val="both"/>
        <w:spacing w:after="0" w:line="283" w:lineRule="auto"/>
        <w:rPr>
          <w:sz w:val="20"/>
          <w:szCs w:val="20"/>
          <w:color w:val="auto"/>
        </w:rPr>
      </w:pPr>
      <w:r>
        <w:rPr>
          <w:rFonts w:ascii="Arial" w:cs="Arial" w:eastAsia="Arial" w:hAnsi="Arial"/>
          <w:sz w:val="18"/>
          <w:szCs w:val="18"/>
          <w:b w:val="1"/>
          <w:bCs w:val="1"/>
          <w:i w:val="1"/>
          <w:iCs w:val="1"/>
          <w:u w:val="single" w:color="auto"/>
          <w:color w:val="auto"/>
        </w:rPr>
        <w:t>Our reliance on third-party wholesale distribution channels could impact our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our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directly and through a variety of third-party wholesale distributors and dealers. Adverse changes in the financial or business condition of these wholesale distributors and dealers or our customers, including as a result of the impacts arising from tariffs, geopolitical conflicts, supply chain disruptions, or inflation, could subject us to losses and affect our ability to bring our products to market. One or more of our customers may experience financial difficulty, file for bankruptcy protection, or go out of business as a result of general market conditions or various other events, which could result in an increase in customer financial difficulties that affect us. The direct impact on us could include reduced revenues and write-offs of accounts receivable and could negatively impact our cash flow. While we currently cannot estimate what those effects will be, if they are severe, the indirect impact could include impairments of intangible assets and reduced liquidity, among others. Any such adverse changes could have a material adverse effect on our business, financial position, liquidity, results of operations, and cash flows. Further, our ability to effectively manage inventory levels at wholesale distributor locations may be impaired as a result of adverse changes in the financial or business condition of such wholesale distributors, which could increase expenses associated with excess and obsolete inventory and negatively impact our cash flows.</w:t>
      </w:r>
    </w:p>
    <w:p>
      <w:pPr>
        <w:spacing w:after="0" w:line="63" w:lineRule="exact"/>
        <w:rPr>
          <w:sz w:val="20"/>
          <w:szCs w:val="20"/>
          <w:color w:val="auto"/>
        </w:rPr>
      </w:pPr>
    </w:p>
    <w:p>
      <w:pPr>
        <w:jc w:val="both"/>
        <w:spacing w:after="0" w:line="325" w:lineRule="auto"/>
        <w:rPr>
          <w:sz w:val="20"/>
          <w:szCs w:val="20"/>
          <w:color w:val="auto"/>
        </w:rPr>
      </w:pPr>
      <w:r>
        <w:rPr>
          <w:rFonts w:ascii="Arial" w:cs="Arial" w:eastAsia="Arial" w:hAnsi="Arial"/>
          <w:sz w:val="17"/>
          <w:szCs w:val="17"/>
          <w:b w:val="1"/>
          <w:bCs w:val="1"/>
          <w:i w:val="1"/>
          <w:iCs w:val="1"/>
          <w:u w:val="single" w:color="auto"/>
          <w:color w:val="auto"/>
        </w:rPr>
        <w:t>We may experience difficulties in the development, launch or production ramp-up of new products, which could adversely affect our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continued success depends in part on our ability to develop new products that will</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meet the demands of our customers. We may not be successful in developing new products on an effective and financially profitable basis. Additionally, as we ramp up manufacturing processes for newly introduced products, we may experience difficulties, including manufacturing disruptions, delays, or other complications, which could adversely impact our ability to serve our customers, our reputation, our costs of production, and, ultimately, our financial position, results of operations and cash flows.</w:t>
      </w:r>
    </w:p>
    <w:p>
      <w:pPr>
        <w:spacing w:after="0" w:line="8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i w:val="1"/>
          <w:iCs w:val="1"/>
          <w:u w:val="single" w:color="auto"/>
          <w:color w:val="auto"/>
        </w:rPr>
        <w:t>We may be unable to attract and retain qualified executives, management and other key employees.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success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depends in part on our ability to attract and retain employees with the skills necessary to operate and maintain our facilities, produce our products, and serve our customers. Our key executives and management employees are important to our business and could be difficult to replace because they have extensive experience and skills relevant to our industry and business operations. In addition, the competition for skilled manufacturing, engineering, sales and other personnel, both hourly and salaried, may be intense in the regions where we operate. Our failure to hire and retain employees capable of performing at a high level, to successfully implement succession plans for executives and management employees, or to implement effective training plans for new personnel could jeopardize our ability to grow our business and could adversely impact our financial position, results of operations and cash flows.</w:t>
      </w:r>
    </w:p>
    <w:p>
      <w:pPr>
        <w:spacing w:after="0" w:line="7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i w:val="1"/>
          <w:iCs w:val="1"/>
          <w:u w:val="single" w:color="auto"/>
          <w:color w:val="auto"/>
        </w:rPr>
        <w:t>Cybersecurity risks related to the technology used in our operations and other business processes, as well as security breaches of Company, customer, consumer, employee, or vendor information, could adversely affect our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rely on various information technology systems to capture, process, store, and report data and interact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customers, consumers, employees, and vendors. Despite careful security and controls design, implementation, updating, and internal and independent third-party assessments, our information technology systems, and those of our third-party providers, could become subject to security breaches, cyber-attacks, ransomware attacks, employee misconduct, computer viruses, unauthorized access attempts, phishing, social engineering, misplaced or lost data, programming and/or human errors or other similar events. Network, system, and data breaches could result in misappropriation of trade secrets or sensitive data or operational disruptions, including interruption to systems availability and denial of access to, and misuse of, applications required by our customers and vendors to conduct business with us. In addition, hardware and operating system software and applications that we procure from third parties may contain defects in design or manufacture, including “bugs” and other problems that could unexpectedly interfere with the operation of the systems. Misuse of internal applications, theft of intellectual property, trade secrets, or other corporate assets, and inappropriate disclosure of confidential information could stem from such incidents. A cybersecurity breach could result in manipulation and destruction of sensitive data, cause critical systems to malfunction, be damaged or shut down, and lead to disruption to our operations and production downtimes, potentially for lengthy periods. Theft of personal or other confidential data and sensitive proprietary information could also occur as a result of a cybersecurity breach, exposing us to costs and liabilities associated with privacy and data security laws in the jurisdictions in which we operate.</w:t>
      </w:r>
    </w:p>
    <w:p>
      <w:pPr>
        <w:sectPr>
          <w:pgSz w:w="11880" w:h="15480" w:orient="portrait"/>
          <w:cols w:equalWidth="0" w:num="1">
            <w:col w:w="9360"/>
          </w:cols>
          <w:pgMar w:left="1260" w:top="1194" w:right="12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360"/>
          </w:cols>
          <w:pgMar w:left="1260" w:top="1194" w:right="1260" w:bottom="223" w:gutter="0" w:footer="0" w:header="0"/>
          <w:type w:val="continuous"/>
        </w:sectPr>
      </w:pPr>
    </w:p>
    <w:bookmarkStart w:id="32" w:name="page33"/>
    <w:bookmarkEnd w:id="32"/>
    <w:p>
      <w:pPr>
        <w:jc w:val="both"/>
        <w:spacing w:after="0" w:line="279" w:lineRule="auto"/>
        <w:rPr>
          <w:sz w:val="20"/>
          <w:szCs w:val="20"/>
          <w:color w:val="auto"/>
        </w:rPr>
      </w:pPr>
      <w:r>
        <w:rPr>
          <w:rFonts w:ascii="Arial" w:cs="Arial" w:eastAsia="Arial" w:hAnsi="Arial"/>
          <w:sz w:val="18"/>
          <w:szCs w:val="18"/>
          <w:color w:val="auto"/>
        </w:rPr>
        <w:t>While we have security measures in place that are designed to protect customer and other sensitive information and the integrity of our information technology systems and prevent data loss and other security breaches, our security measures or those of our third-party service providers may not be sufficiently broad in scope to protect all relevant information, may not function as planned, or may be breached as a result of third-party action, employee or vendor error, malfeasance, or otherwise. While we maintain cybersecurity insurance, the costs related to cybersecurity threats or disruptions may not be fully insured. Because the techniques used to obtain unauthorized access, disable or degrade service, or sabotage systems change frequently or may be designed to remain dormant until a predetermined triggering event and often are not recognized until launched against a target, we may be unable to anticipate these techniques or implement sufficient control measures to defend against these techniques. The rapid evolution and increased adoption of generative artificial intelligence (AI) is further increasing risks in this area, including by making cyberattacks more difficult to detect, contain or mitigate and making fraud detection more difficult, particularly with detection devices that use voice recognition or authentication. Once a security incident is identified, we may be unable to fully remediate or otherwise respond to such an incident in a timely manner, which may cause us to incur remediation or other costs or subject us to demands to pay a ransom fee. Additionally, a breach could expose us and our customers, consumers, vendors, and employees to risks of misuse of such information. Such negative consequences of cyberattacks, cybersecurity failures or other security breaches could impact our ability to operate our businesses effectively, adversely affect our reputation, competitive position,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business or financial results, and expose us to potential liability, litigation, governmental inquiries, investigations or regulatory enforcement actions. In addition, the lost profits and increased costs related to cybersecurity or other security threats or disruptions may not be fully insured against or indemnified by other means. As a result, cybersecurity and the continued development and enhancement of our controls, processes, and practices remain a priority for us. We may be required to expend additional resources to continue to enhance our security measures necessary to investigate and remediate any security vulnerabilities. We cannot predict the degree of any impact that increased monitoring, assessing, or reporting of cybersecurity matters would have on operations, financial conditions and results.</w:t>
      </w:r>
    </w:p>
    <w:p>
      <w:pPr>
        <w:spacing w:after="0" w:line="8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From time to time, we may implement new technology systems or replace and/or upgrade our current information technology systems. These upgrades or replacements may not improve our productivity to the levels anticipated and may subject us to inherent costs and risks associated with implementing, replacing, and updating these systems, including potential disruption of our internal control structure, substantial capital expenditures, demands on management time and other risks of delays or difficulties in transitioning to new systems or of integrating new systems into other existing systems. Our development, integration and use of AI technology in our operations remains in the early phases. Although we aim to implement AI technology according to responsible procedures and adequate safeguards, our current or future use of AI or machine learning tools in our business operations could expose us to new or additional costs and risks, including the potential introduction of new vulnerabilities or cybersecurity risks within our information technology systems; the potential inadvertent or unauthorized release of our confidential or proprietary information resulting from the use (whether or not authorized) of AI or machine learning tools by our employees, contractors, agents, representatives, vendors or customers; the potential loss of our intellectual property or our potential infringement of the intellectual property rights of third parties resulting from the use (whether or not authorized) of AI or machine learning tools in our operations; and potential legal or reputational harms due to insufficient or flawed data, inaccurate or misleading outputs, insufficient quality control, or unlawful bias or discrimination associated with the use of AI or machine learning tools. In addition, the AI tools we may incorporate into certain aspects of our operations may not generate the intended efficiencies and may impact our business results. Our inability to prevent information technology system disruptions or to mitigate the impact of such disruptions could have an adverse effect on our business.</w:t>
      </w:r>
    </w:p>
    <w:p>
      <w:pPr>
        <w:sectPr>
          <w:pgSz w:w="11880" w:h="15480" w:orient="portrait"/>
          <w:cols w:equalWidth="0" w:num="1">
            <w:col w:w="9360"/>
          </w:cols>
          <w:pgMar w:left="1260" w:top="1197"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360"/>
          </w:cols>
          <w:pgMar w:left="1260" w:top="1197" w:right="1260" w:bottom="225" w:gutter="0" w:footer="0" w:header="0"/>
          <w:type w:val="continuous"/>
        </w:sectPr>
      </w:pPr>
    </w:p>
    <w:bookmarkStart w:id="33" w:name="page34"/>
    <w:bookmarkEnd w:id="33"/>
    <w:p>
      <w:pPr>
        <w:jc w:val="both"/>
        <w:spacing w:after="0" w:line="325" w:lineRule="auto"/>
        <w:rPr>
          <w:sz w:val="20"/>
          <w:szCs w:val="20"/>
          <w:color w:val="auto"/>
        </w:rPr>
      </w:pPr>
      <w:r>
        <w:rPr>
          <w:rFonts w:ascii="Arial" w:cs="Arial" w:eastAsia="Arial" w:hAnsi="Arial"/>
          <w:sz w:val="17"/>
          <w:szCs w:val="17"/>
          <w:b w:val="1"/>
          <w:bCs w:val="1"/>
          <w:i w:val="1"/>
          <w:iCs w:val="1"/>
          <w:u w:val="single" w:color="auto"/>
          <w:color w:val="auto"/>
        </w:rPr>
        <w:t>Because our intellectual property and other proprietary information may become compromised, we are subject to the risk that competitors could copy our products or processes.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success depends, in part, on the proprietary</w:t>
      </w:r>
    </w:p>
    <w:p>
      <w:pPr>
        <w:spacing w:after="0" w:line="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nature of our technology, including non-patentable intellectual property, such as our process technology. To the extent that a competitor can reproduce or otherwise capitalize on our technology, it may be difficult, expensive, or impossible for us to obtain adequate legal remedies or other recourse. Also, the laws of some foreign countries may not protect our intellectual property to the same extent as do the laws of the United States. In addition to patent protection of intellectual property rights, we consider elements of our product designs and processes to be proprietary and confidential, and/or trade secrets. To safeguard our confidential information, we rely on employee, consultant, and vendor nondisclosure agreements and contractual provisions and a system of internal and technical safeguards. However, any of our registered or unregistered intellectual property rights may be subject to challenge or possibly exploited by our competitors or other third parties, which could materially adversely affect our financial position, results of operations, cash flows, and competitive position.</w:t>
      </w:r>
    </w:p>
    <w:p>
      <w:pPr>
        <w:spacing w:after="0" w:line="5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i w:val="1"/>
          <w:iCs w:val="1"/>
          <w:u w:val="single" w:color="auto"/>
          <w:color w:val="auto"/>
        </w:rPr>
        <w:t>We manufacture and distribute our products in jurisdictions outside the United States and are exposed to risks associated with international business operations, including risks related to potential supply chain disruptions, such as delays, cost fluctuations, and challenges in sourcing materials or components due to geopolitical events, government trade policies, or logistical constraints.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manufacture our products in the United States, Canada,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Chile, and Brazil and sell our products primarily in North America and South America. We operate a supply chain that involves the shipment of goods from certain international markets to the jurisdictions where we manufacture our products. Accordingly, we are subject to risks associated with potential disruption caused by changes in political, monetary, economic, and social environments, including civil and political unrest, terrorism, possible expropriation, local labor conditions (including labor disruptions or shortages), changes in laws, regulations, and policies of foreign governments and trade disputes with the United States (including tariffs), and compliance with U.S. laws affecting activities of U.S. companies abroad, including tax laws, economic sanctions and enforcement of contract and intellectual property rights. Steps taken by the U.S. government to apply new, or increase existing, tariffs on certain products and materials imported into the U.S. could potentially disrupt our existing supply chains and have imposed, and could continue to impose, additional costs on our business, including costs with respect to raw materials upon which our business depends. Additionally, potential tariffs imposed by other countries in response to U.S. trade policies could adversely affect our ability to export products from the United States to key international markets, leading to decreased sales and profitability. Such retaliatory tariffs could also increase the cost of certain components and materials that we import into the U.S., further straining our supply chain and impacting our overall financial performance.</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Our international operations and sourcing of materials could be harmed by a variety of factors, including:</w:t>
      </w:r>
    </w:p>
    <w:p>
      <w:pPr>
        <w:spacing w:after="0" w:line="130" w:lineRule="exact"/>
        <w:rPr>
          <w:sz w:val="20"/>
          <w:szCs w:val="20"/>
          <w:color w:val="auto"/>
        </w:rPr>
      </w:pPr>
    </w:p>
    <w:p>
      <w:pPr>
        <w:ind w:left="720" w:hanging="360"/>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recessionary trends in international markets;</w:t>
      </w:r>
    </w:p>
    <w:p>
      <w:pPr>
        <w:spacing w:after="0" w:line="10" w:lineRule="exact"/>
        <w:rPr>
          <w:rFonts w:ascii="Arial" w:cs="Arial" w:eastAsia="Arial" w:hAnsi="Arial"/>
          <w:sz w:val="20"/>
          <w:szCs w:val="20"/>
          <w:color w:val="auto"/>
        </w:rPr>
      </w:pPr>
    </w:p>
    <w:p>
      <w:pPr>
        <w:jc w:val="both"/>
        <w:ind w:left="720" w:hanging="360"/>
        <w:spacing w:after="0" w:line="250"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legal and regulatory changes and the burdens and costs of our compliance with a variety of laws, including but not limited to export controls, import and customs trade restrictions, tariffs, and regulations related to public health matters;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increases in transportation costs or transportation delays;</w:t>
      </w:r>
    </w:p>
    <w:p>
      <w:pPr>
        <w:spacing w:after="0" w:line="10" w:lineRule="exact"/>
        <w:rPr>
          <w:rFonts w:ascii="Arial" w:cs="Arial" w:eastAsia="Arial" w:hAnsi="Arial"/>
          <w:sz w:val="20"/>
          <w:szCs w:val="20"/>
          <w:color w:val="auto"/>
        </w:rPr>
      </w:pPr>
    </w:p>
    <w:p>
      <w:pPr>
        <w:ind w:left="720" w:hanging="360"/>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work stoppages, unionization efforts and labor strikes;</w:t>
      </w:r>
    </w:p>
    <w:p>
      <w:pPr>
        <w:spacing w:after="0" w:line="10" w:lineRule="exact"/>
        <w:rPr>
          <w:rFonts w:ascii="Arial" w:cs="Arial" w:eastAsia="Arial" w:hAnsi="Arial"/>
          <w:sz w:val="20"/>
          <w:szCs w:val="20"/>
          <w:color w:val="auto"/>
        </w:rPr>
      </w:pPr>
    </w:p>
    <w:p>
      <w:pPr>
        <w:ind w:left="720" w:hanging="360"/>
        <w:spacing w:after="0" w:line="250"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fluctuations in currency exchange rates, particularly the value of the U.S. dollar relative to other currencies; and</w:t>
      </w:r>
    </w:p>
    <w:p>
      <w:pPr>
        <w:ind w:left="720" w:hanging="360"/>
        <w:spacing w:after="0" w:line="283"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social and political unrest, geopolitical and military conflicts or tensions, terrorism and economic instability.</w:t>
      </w:r>
    </w:p>
    <w:p>
      <w:pPr>
        <w:spacing w:after="0" w:line="58" w:lineRule="exact"/>
        <w:rPr>
          <w:sz w:val="20"/>
          <w:szCs w:val="20"/>
          <w:color w:val="auto"/>
        </w:rPr>
      </w:pPr>
    </w:p>
    <w:p>
      <w:pPr>
        <w:spacing w:after="0" w:line="310" w:lineRule="auto"/>
        <w:rPr>
          <w:sz w:val="20"/>
          <w:szCs w:val="20"/>
          <w:color w:val="auto"/>
        </w:rPr>
      </w:pPr>
      <w:r>
        <w:rPr>
          <w:rFonts w:ascii="Arial" w:cs="Arial" w:eastAsia="Arial" w:hAnsi="Arial"/>
          <w:sz w:val="19"/>
          <w:szCs w:val="19"/>
          <w:color w:val="auto"/>
        </w:rPr>
        <w:t>If any of these or other factors were to render the conduct of our business in a particular country undesirable or impractical, our business, financial condition, or results of operations could be materially adversely affected.</w:t>
      </w:r>
    </w:p>
    <w:p>
      <w:pPr>
        <w:sectPr>
          <w:pgSz w:w="11880" w:h="15480" w:orient="portrait"/>
          <w:cols w:equalWidth="0" w:num="1">
            <w:col w:w="9360"/>
          </w:cols>
          <w:pgMar w:left="1260" w:top="1194"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9360"/>
          </w:cols>
          <w:pgMar w:left="1260" w:top="1194" w:right="1260" w:bottom="225" w:gutter="0" w:footer="0" w:header="0"/>
          <w:type w:val="continuous"/>
        </w:sectPr>
      </w:pPr>
    </w:p>
    <w:bookmarkStart w:id="34" w:name="page35"/>
    <w:bookmarkEnd w:id="34"/>
    <w:p>
      <w:pPr>
        <w:jc w:val="both"/>
        <w:spacing w:after="0" w:line="281" w:lineRule="auto"/>
        <w:rPr>
          <w:sz w:val="20"/>
          <w:szCs w:val="20"/>
          <w:color w:val="auto"/>
        </w:rPr>
      </w:pPr>
      <w:r>
        <w:rPr>
          <w:rFonts w:ascii="Arial" w:cs="Arial" w:eastAsia="Arial" w:hAnsi="Arial"/>
          <w:sz w:val="18"/>
          <w:szCs w:val="18"/>
          <w:color w:val="auto"/>
        </w:rPr>
        <w:t>In 2025, the U.S. government announced significant changes to U.S. trade policy, including the implementation or planned imposition of new or increased tariffs and trade barriers on a broad range of goods imported from international markets, as well as the potential modification or termination of existing trade agreements between the U.S. and certain other countries. In response, certain countries have imposed, or are considering, retaliatory tariffs on U.S. exports. Changing trade policy in the U.S. and other countries could continue to increase the cost of certain raw materials or components that are critical to our manufacturing process, which could have a material negative impact on our manufacturing costs and our overall financial performance. For the year ended December 31, 2025, we incurred $8 million in expenses related to new or increased tariffs. While we do not consider the impact on our 2025 financial results to be material, and impact from increased tariffs are not currently expected to be material in 2026, given the rapid changes and growing uncertainty relating to the global tariff landscape, the potential impact of these factors on our future operational and financial performance is uncertain and our sales and our competitive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position within the U.S. market and in markets outside the U.S. could be negatively impacted.</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i w:val="1"/>
          <w:iCs w:val="1"/>
          <w:u w:val="single" w:color="auto"/>
          <w:color w:val="auto"/>
        </w:rPr>
        <w:t>We may pursue acquisitions, divestitures, joint ventures, capital investments and other corporate strategic transactions from time to time. These transactions may involve risks or may not be successful.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business strategy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may depend, in part, on our ability to accomplish successful acquisitions, divestitures, joint ventures, capital investments and other corporate strategic transactions that we may pursue. The benefits we typically expect to achieve from such corporate strategic transactions may include, among other things, synergies, cost savings, growth opportunities and access to new markets, and in the case of divestitures, the disposition of businesses or assets that do not align with our long-term strategy and the realization of proceeds from the sale of businesses and assets to unrelated purchasers. We are subject to the risk that we may not achieve the expected benefits associated with such transactions. Failure to achieve such benefits could have a material adverse impact on our financial position, operating results and cash flows.</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Additionally, corporate strategic transactions that we may pursue may involve a number of special risks, including, among other things, the diversion of management attention and business resources in connection with the pursuit of such transactions and the integration of acquired assets or businesses into our operations, the demands on our financial, operational and information technology systems resulting from the acquisition of assets or businesses, and the possibility that we may become responsible for unexpected liabilities resulting from an acquisition for which we may not be adequately indemnified. These and other risks associated with corporate strategic transactions we may pursue may be unpredictable and beyond our control and could have a material adverse impact on our financial position, reputation, operating results and cash flows.</w:t>
      </w:r>
    </w:p>
    <w:p>
      <w:pPr>
        <w:spacing w:after="0" w:line="71" w:lineRule="exact"/>
        <w:rPr>
          <w:sz w:val="20"/>
          <w:szCs w:val="20"/>
          <w:color w:val="auto"/>
        </w:rPr>
      </w:pPr>
    </w:p>
    <w:p>
      <w:pPr>
        <w:jc w:val="both"/>
        <w:spacing w:after="0" w:line="286" w:lineRule="auto"/>
        <w:rPr>
          <w:sz w:val="20"/>
          <w:szCs w:val="20"/>
          <w:color w:val="auto"/>
        </w:rPr>
      </w:pPr>
      <w:r>
        <w:rPr>
          <w:rFonts w:ascii="Arial" w:cs="Arial" w:eastAsia="Arial" w:hAnsi="Arial"/>
          <w:sz w:val="18"/>
          <w:szCs w:val="18"/>
          <w:b w:val="1"/>
          <w:bCs w:val="1"/>
          <w:i w:val="1"/>
          <w:iCs w:val="1"/>
          <w:u w:val="single" w:color="auto"/>
          <w:color w:val="auto"/>
        </w:rPr>
        <w:t>The impact of new ongoing or escalated military and geopolitical conflicts and tensions on the global economy, energy supplies and raw materials may prove to negatively impact our business and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business could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negatively affected by the impact of new or ongoing military or geopolitical conflicts on international markets and the global economy. The impact of ongoing conflicts and/or escalation thereof could include increased volatility in financial and commodity markets, increased energy prices, increased maritime shipping costs, supply chain disruptions, a higher level of general market and macroeconomic instability, increased cyber attacks and violent protests or political or social unrest in areas outside the immediate conflict area, among other things. These conflicts and tensions and other military or geopolitical conflicts or tensions that may arise in the future could materially adversely affect our operations, financial position, and results.</w:t>
      </w:r>
    </w:p>
    <w:p>
      <w:pPr>
        <w:spacing w:after="0" w:line="6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i w:val="1"/>
          <w:iCs w:val="1"/>
          <w:u w:val="single" w:color="auto"/>
          <w:color w:val="auto"/>
        </w:rPr>
        <w:t>We are subject to physical, operational, transitional, and financial risks associated with climate change and global, regional, and local weather conditions, and with legal, regulatory, and market responses to climate change.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has been an evolving focus, including from investors, the general public, and U.S. and foreign governmental and nongovernmental authorities, regarding sustainability matters, including with respect to climate change, greenhouse gas emissions, packaging and waste, sustainable supply chain practices, deforestation, and land, energy, and water use. We cannot predict whether our disclosures or performance will be considered satisfactory or the extent to which a change in monitoring, assessing, or reporting of sustainability may impact our operations, financing condition, and results.</w:t>
      </w:r>
    </w:p>
    <w:p>
      <w:pPr>
        <w:sectPr>
          <w:pgSz w:w="11880" w:h="15480" w:orient="portrait"/>
          <w:cols w:equalWidth="0" w:num="1">
            <w:col w:w="9360"/>
          </w:cols>
          <w:pgMar w:left="1260" w:top="1197"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9360"/>
          </w:cols>
          <w:pgMar w:left="1260" w:top="1197" w:right="1260" w:bottom="225" w:gutter="0" w:footer="0" w:header="0"/>
          <w:type w:val="continuous"/>
        </w:sectPr>
      </w:pPr>
    </w:p>
    <w:bookmarkStart w:id="35" w:name="page36"/>
    <w:bookmarkEnd w:id="35"/>
    <w:p>
      <w:pPr>
        <w:jc w:val="both"/>
        <w:spacing w:after="0" w:line="258" w:lineRule="auto"/>
        <w:rPr>
          <w:sz w:val="20"/>
          <w:szCs w:val="20"/>
          <w:color w:val="auto"/>
        </w:rPr>
      </w:pPr>
      <w:r>
        <w:rPr>
          <w:rFonts w:ascii="Arial" w:cs="Arial" w:eastAsia="Arial" w:hAnsi="Arial"/>
          <w:sz w:val="20"/>
          <w:szCs w:val="20"/>
          <w:color w:val="auto"/>
        </w:rPr>
        <w:t>The unpredictability and frequency of natural disasters such as hurricanes, earthquakes, hailstorms, wildfires, snow, ice storms, the spread of disease, and insect infestations could affect the supply of raw materials or cause variations in their costs, or variations in transportation-related costs. In addition, global climate change may increase the frequency or intensity of extreme weather events, such as storms, floods, heat waves, and other events that could affect our facilities and demand for our products.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suppliers and the third parties we rely on for transportation may also be impacted by evolving sustainability reporting requirements or risks associated with the transition to a lower carbon economy, which may adversely impact their ability to provide us with goods and services and we may be unable to meet consumer demands at the same cost or in a timely fashion.</w:t>
      </w:r>
    </w:p>
    <w:p>
      <w:pPr>
        <w:spacing w:after="0" w:line="77"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i w:val="1"/>
          <w:iCs w:val="1"/>
          <w:u w:val="single" w:color="auto"/>
          <w:color w:val="auto"/>
        </w:rPr>
        <w:t>Our reputation may be adversely affected if we are not able to achieve our sustainability and corporate responsibility priorities or otherwise meet the expectations of our stakeholders with respect to these matters.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strive to deliver shared value through our business. From time to time, we announce certain aspirations and priorities relevant to these matters and publish information about our sustainability and corporate responsibility priorities, strategies, and progress on our corporate website, our sustainability report and in public filings (none of which are incorporated by reference into and do not form any part of this annual report on Form 10-K or our other filings with the SEC unless expressly incorporated by reference). Achievement of these priorities and strategies is subject to risks and uncertainties, many of which are outside of our control, and it is possible that we may not achieve all our priorities or certain of our stakeholders might not be satisfied with our efforts regarding these matters. Perceived failures or delays in meeting our sustainability and corporate responsibility priorities could adversely affect public perception of our business, employee morale or customer or stakeholder support, and may negatively impact our financial condition and results of operations.</w:t>
      </w:r>
    </w:p>
    <w:p>
      <w:pPr>
        <w:spacing w:after="0" w:line="64"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Stakeholder expectations regarding sustainability practices are diverse, rapidly changing, and may impact reporting requirements, voluntary disclosures, and the setting of goals and commitments. Developing, sharing and acting on sustainability initiatives, and collecting, measuring, and reporting related data, can be costly, difficult, and time-consuming. Any failure or perceived failure by us in this regard could adversely impact our business and reputation.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RISK FACTORS</w:t>
      </w:r>
    </w:p>
    <w:p>
      <w:pPr>
        <w:spacing w:after="0" w:line="25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i w:val="1"/>
          <w:iCs w:val="1"/>
          <w:u w:val="single" w:color="auto"/>
          <w:color w:val="auto"/>
        </w:rPr>
        <w:t>Our business primarily relies on North American new home construction and repair and remodeling, which are impacted by risks associated with fluctuations in the housing market. Downward changes in the general economy, the housing market, or other business conditions could adversely affect our results of operations, cash flows, and financial condition.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housing market is sensitive to changes in economic conditions and other factors, such as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level of employment, access to labor, consumer confidence, consumer income, availability of financing, prevailing interest rates and the cost of home mortgage financing, inflation levels, and growth of the gross domestic products in the countries in which we operate.</w:t>
      </w:r>
    </w:p>
    <w:p>
      <w:pPr>
        <w:spacing w:after="0" w:line="70"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Adverse changes in any of these conditions generally, or in any of the markets where we operate, could decrease demand for our products and could adversely impact our businesses by: causing consumers to delay or decrease homeownership or relocation; making consumers more price-conscious, resulting in a shift in demand to smaller or less expensive homes; making consumers more reluctant to make investments in their existing homes; or making it more challenging to secure loans for major renovations or new home construction. Unfavorable changes in demographics, credit markets, consumer confidence, household incomes, inflation, housing affordability, or housing inventory levels and occupancy rates, or a weakening of the U.S. economy or of any regional or local economy in which we operate, could adversely affect consumer spending, result in decreased demand for our products, and adversely affect our business. If conditions in the overall housing market or in a specific market or submarket worsen in the future beyond our current expectations, such changes could continue to have a material adverse effect on our financial position, results of operations, and cash flows. Additionally, higher interest rates, higher levels of unemployment, restrictive lending practices, heightened regulation, and increased foreclosures could have a material adverse effect on our financial position, results of operations, and cash flows.</w:t>
      </w:r>
    </w:p>
    <w:p>
      <w:pPr>
        <w:sectPr>
          <w:pgSz w:w="11880" w:h="15480" w:orient="portrait"/>
          <w:cols w:equalWidth="0" w:num="1">
            <w:col w:w="9360"/>
          </w:cols>
          <w:pgMar w:left="1260" w:top="1197"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9360"/>
          </w:cols>
          <w:pgMar w:left="1260" w:top="1197" w:right="1260" w:bottom="225" w:gutter="0" w:footer="0" w:header="0"/>
          <w:type w:val="continuous"/>
        </w:sectPr>
      </w:pPr>
    </w:p>
    <w:bookmarkStart w:id="36" w:name="page37"/>
    <w:bookmarkEnd w:id="36"/>
    <w:p>
      <w:pPr>
        <w:jc w:val="both"/>
        <w:spacing w:after="0" w:line="282" w:lineRule="auto"/>
        <w:rPr>
          <w:sz w:val="20"/>
          <w:szCs w:val="20"/>
          <w:color w:val="auto"/>
        </w:rPr>
      </w:pPr>
      <w:r>
        <w:rPr>
          <w:rFonts w:ascii="Arial" w:cs="Arial" w:eastAsia="Arial" w:hAnsi="Arial"/>
          <w:sz w:val="18"/>
          <w:szCs w:val="18"/>
          <w:b w:val="1"/>
          <w:bCs w:val="1"/>
          <w:i w:val="1"/>
          <w:iCs w:val="1"/>
          <w:u w:val="single" w:color="auto"/>
          <w:color w:val="auto"/>
        </w:rPr>
        <w:t>We have a high degree of product concentration in OSB, which is subject to commodity pricing and associated price volatility.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OSB accounted for about 33% of our North American net sales in 2025 and 43% in each of 2024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We expect OSB sales to continue to account for a substantial portion of our revenues and profits in the future. The concentration of our business in the OSB market increases our sensitivity to commodity pricing and price volatility. Historical prices for our commodity products have been volatile, and we, like other participants in the building products industry, have limited influence over the timing and extent of price changes for our commodity products. Commodity product pricing is significantly affected by the relationship between supply and demand in the building products industry. Product supply is influenced primarily by fluctuations in available manufacturing capacity. Demand is affected by the state of the economy in general and a variety of other factors, including the level of new residential construction activity, home repair and remodeling activity, and changes in the availability and cost of mortgage financing. In this competitive environment, with many variables beyond our control, we cannot guarantee that pricing for our OSB products will not decline from current levels. Decreases in pricing for OSB products may have a material adverse effect on our financial position, liquidity, results of operations, and cash flows. The continued development of builder and consumer preference for our OSB products (commodity and LP</w:t>
      </w:r>
      <w:r>
        <w:rPr>
          <w:rFonts w:ascii="Arial" w:cs="Arial" w:eastAsia="Arial" w:hAnsi="Arial"/>
          <w:sz w:val="12"/>
          <w:szCs w:val="12"/>
          <w:color w:val="auto"/>
        </w:rPr>
        <w:t>®</w:t>
      </w:r>
      <w:r>
        <w:rPr>
          <w:rFonts w:ascii="Arial" w:cs="Arial" w:eastAsia="Arial" w:hAnsi="Arial"/>
          <w:sz w:val="18"/>
          <w:szCs w:val="18"/>
          <w:color w:val="auto"/>
        </w:rPr>
        <w:t xml:space="preserve"> Structural Solutions) over competitive products is critical to sustaining and expanding demand for our products. Therefore, a failure to maintain and increase builder and consumer acceptance of our OSB products could also have a material adverse effect on our financial position, liquidity, results of operations, and cash flows.</w:t>
      </w:r>
    </w:p>
    <w:p>
      <w:pPr>
        <w:spacing w:after="0" w:line="6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i w:val="1"/>
          <w:iCs w:val="1"/>
          <w:u w:val="single" w:color="auto"/>
          <w:color w:val="auto"/>
        </w:rPr>
        <w:t>Intense competition in the building products industry could prevent us from increasing or sustaining our net sales and profitability.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markets for our products are highly competitive. Our competitors range from very large, fully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integrated forest and building products firms to smaller firms that may manufacture only one or a few types of products. Many of our competitors may have greater financial and other resources, greater product diversity, and better access to raw materials than we do, and certain of the mills operated by our competitors may be lower-cost producers than the mills we operate. Increased competition in any of the markets in which we operate would likely cause heightened pricing pressures in those markets. Any of these factors could have a material adverse effect on our financial position, results of operations, and cash flows.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u w:val="single" w:color="auto"/>
          <w:color w:val="auto"/>
        </w:rPr>
        <w:t>Our results of operations may be adversely affected by potential shortages of raw materials and increases in raw material costs</w:t>
      </w:r>
      <w:r>
        <w:rPr>
          <w:rFonts w:ascii="Arial" w:cs="Arial" w:eastAsia="Arial" w:hAnsi="Arial"/>
          <w:sz w:val="18"/>
          <w:szCs w:val="18"/>
          <w:u w:val="single" w:color="auto"/>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purchase various raw materials, including, among others, wood, wood-based, and resin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subject to price fluctuations that could materially increase our manufacturing costs. Further, some of our suppliers have consolidated and other suppliers may do so in the future. Combined with increased demand, such consolidation could increase the price of our supplies and raw materials. The most significant raw material used in our operations is wood fiber. Wood fiber is subject to commodity pricing, which fluctuates based on market factors over which we have no control. In addition, the cost of various types of wood fiber that we purchase in the market has at times fluctuated greatly because of governmental, economic, or industry conditions and may be affected by increased demand resulting from initiatives to increase the use of biomass materials in the production of heat, power, bio-based products, and biofuels. Wood fiber supply could also be influenced by natural events, such as forest fires, ice storms, wind storms, hurricanes, and other severe weather conditions, insect epidemics, plant and tree disease, changing temperature and precipitation patterns, and other natural disasters and man-made causes, which may increase wood fiber costs, restrict access to wood fiber, or force production curtailments. In addition to wood fiber, we also use a significant quantity of various resins in our manufacturing processes. Resin product costs are influenced by changes in the prices or availability of raw materials used to produce resins, primarily petroleum products, as well as demand for and availability of resin products and their chemical precursors. OSB product prices are largely driven by the ratio of overall OSB demand to industry capacity. We are unable to determine to what extent, if any, we will be able to pass any future OSB raw material cost increases through to our customers through product price increases. Furthermore, supply disruptions in resin or wood fiber may impact our ability to produce our products or may cause production costs to increase. Our inability or unwillingness to pass increased costs through to our customers could have a material adverse effect on our financial condition, results of operations, and cash flows.</w:t>
      </w:r>
    </w:p>
    <w:p>
      <w:pPr>
        <w:spacing w:after="0" w:line="30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Development of Canadian provincial forest lands, from which we obtain wood fiber, can be subject to constitutionally protected Indigenous treaty, Aboriginal title, or Aboriginal rights of recognized Indigenous groups in Canada. Provincial governments are required by law to consult with Indigenous nations regarding land use development projects, including forest management plans and operations permits.</w:t>
      </w:r>
    </w:p>
    <w:p>
      <w:pPr>
        <w:sectPr>
          <w:pgSz w:w="11880" w:h="15480" w:orient="portrait"/>
          <w:cols w:equalWidth="0" w:num="1">
            <w:col w:w="9360"/>
          </w:cols>
          <w:pgMar w:left="1260" w:top="1194" w:right="1260" w:bottom="2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9360"/>
          </w:cols>
          <w:pgMar w:left="1260" w:top="1194" w:right="1260" w:bottom="227" w:gutter="0" w:footer="0" w:header="0"/>
          <w:type w:val="continuous"/>
        </w:sectPr>
      </w:pPr>
    </w:p>
    <w:bookmarkStart w:id="37" w:name="page38"/>
    <w:bookmarkEnd w:id="37"/>
    <w:p>
      <w:pPr>
        <w:jc w:val="both"/>
        <w:spacing w:after="0" w:line="268" w:lineRule="auto"/>
        <w:rPr>
          <w:sz w:val="20"/>
          <w:szCs w:val="20"/>
          <w:color w:val="auto"/>
        </w:rPr>
      </w:pPr>
      <w:r>
        <w:rPr>
          <w:rFonts w:ascii="Arial" w:cs="Arial" w:eastAsia="Arial" w:hAnsi="Arial"/>
          <w:sz w:val="19"/>
          <w:szCs w:val="19"/>
          <w:color w:val="auto"/>
        </w:rPr>
        <w:t>Canadian provincial governments are actively engaged in consultations or negotiations with Indigenous groups. Negotiations sometimes progress slowly and may be subject to litigation if rights-based interests are not fully addressed. In addition, it can take time for Canadian provincial governments to consult with Indigenous groups, and this too can be subject to litigation. To offset this risk, we proactively engage in efforts to share information and develop positive relationships with Indigenous communities that have cultural, spiritual, and economic interests in the areas where we operate. This focused engagement enables us to further understand and observe the rights of Indigenous groups relating to forestry activities while also minimizing risks to our business operations. Nonetheless, final or interim resolution of claims brought forward by Canadian provincial governments and Indigenous nations may result in additional restrictions on wood supply, potentially affecting our operational costs and/or timber prices over the long term.</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AND REGULATORY RISK FACTORS</w:t>
      </w:r>
    </w:p>
    <w:p>
      <w:pPr>
        <w:spacing w:after="0" w:line="25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b w:val="1"/>
          <w:bCs w:val="1"/>
          <w:i w:val="1"/>
          <w:iCs w:val="1"/>
          <w:u w:val="single" w:color="auto"/>
          <w:color w:val="auto"/>
        </w:rPr>
        <w:t xml:space="preserve">We are subject to significant environmental regulation and environmental compliance expenditures and liabilities. </w:t>
      </w:r>
      <w:r>
        <w:rPr>
          <w:rFonts w:ascii="Arial" w:cs="Arial" w:eastAsia="Arial" w:hAnsi="Arial"/>
          <w:sz w:val="19"/>
          <w:szCs w:val="19"/>
          <w:color w:val="auto"/>
        </w:rPr>
        <w:t>Our business is subject to many environmental laws and regulations, particularly with respect to discharges of pollutants and other emissions on or into the land, water, and air, the disposal and remediation of hazardous substances or other contaminants, and the restoration and reforestation of timberlands. Compliance with these laws and regulations is a significant factor in our business. We have incurred and expect to continue to incur significant expenditures to comply with applicable environmental laws and regulations. Moreover, changes to the environmental laws and regulations to which we are subject and the enactment of new environmental laws, regulations, or other requirements, including with respect to greenhouse gas emissions or climate change, may cause us to incur increased and unexpected compliance costs or impose restrictions on our ability to manufacture our products or operate our business. In addition, there has historically been, and there continues to be, a lack of consistent climate legislation, which has created and continues to create economic and regulatory uncertainty. Our failure to comply with applicable environmental laws and regulations and permit requirements could result in civil or criminal fines or penalties or enforcement actions, including regulatory or judicial orders enjoining or curtailing operations or requiring corrective measures, installation of pollution control equipment, or remedial actions, as well as reputational harm.</w:t>
      </w:r>
    </w:p>
    <w:p>
      <w:pPr>
        <w:spacing w:after="0" w:line="7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Some environmental laws and regulations impose liability and responsibility on present and former owners, operators, or users of facilities and sites for contamination at such facilities and sites, without regard to causation or knowledge of contamination. In addition, we occasionally evaluate various alternatives with respect to our facilities, including possible dispositions or closures. Investigations undertaken in connection with these activities may lead to discoveries of contamination that must be remediated, and closures of facilities may trigger compliance requirements that are not applicable to operating facilities. Consequently, we cannot guarantee that existing or future circumstances or developments with respect to contamination will not require significant expenditures by us or have significant adverse impact on our operations.</w:t>
      </w:r>
    </w:p>
    <w:p>
      <w:pPr>
        <w:sectPr>
          <w:pgSz w:w="11880" w:h="15480" w:orient="portrait"/>
          <w:cols w:equalWidth="0" w:num="1">
            <w:col w:w="9360"/>
          </w:cols>
          <w:pgMar w:left="1260" w:top="1197"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9360"/>
          </w:cols>
          <w:pgMar w:left="1260" w:top="1197" w:right="1260" w:bottom="225" w:gutter="0" w:footer="0" w:header="0"/>
          <w:type w:val="continuous"/>
        </w:sectPr>
      </w:pPr>
    </w:p>
    <w:bookmarkStart w:id="38" w:name="page39"/>
    <w:bookmarkEnd w:id="38"/>
    <w:p>
      <w:pPr>
        <w:jc w:val="both"/>
        <w:spacing w:after="0" w:line="298" w:lineRule="auto"/>
        <w:rPr>
          <w:sz w:val="20"/>
          <w:szCs w:val="20"/>
          <w:color w:val="auto"/>
        </w:rPr>
      </w:pPr>
      <w:r>
        <w:rPr>
          <w:rFonts w:ascii="Arial" w:cs="Arial" w:eastAsia="Arial" w:hAnsi="Arial"/>
          <w:sz w:val="17"/>
          <w:szCs w:val="17"/>
          <w:b w:val="1"/>
          <w:bCs w:val="1"/>
          <w:i w:val="1"/>
          <w:iCs w:val="1"/>
          <w:u w:val="single" w:color="auto"/>
          <w:color w:val="auto"/>
        </w:rPr>
        <w:t>We are subject to various environmental, product liability, and other legal proceedings, matters, and claims. The outcome of these proceedings, matters, and claims, and the magnitude of related costs and liabilities, are subject to uncertainties.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currently are, or from time to time in the future may be, involved in a number of environmental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matters and legal proceedings, including legal proceedings involving antitrust, warranty or non-warranty product liability claims, negligence, and other claims, including claims for wrongful death, personal injury and property damage alleged to have arisen out of use by others of our or our predecessors’ products or the release by us or our predecessors of hazardous substances. The conduct of our business involves the use of hazardous substances and the generation of contaminants and pollutants. In addition, the end-users of many of our products are members of the general public. Environmental matters and other legal matters and proceedings, including class action settlements relating to certain of our products, have in the past caused and, in the future may cause, us to incur substantial costs. The actual or alleged existence of defects in any of our products could also subject us to significant product liability claims. We have established contingency reserves in our Consolidated Financial Statements with respect to the estimated costs of existing environmental matters and legal proceedings to the extent that our management has determined that such costs are both probable and reasonably estimable as to amount. However, such reserves are based upon various estimates and assumptions relating to future events and circumstances, all of which are subject to inherent uncertainties. We regularly monitor our estimated exposure to environmental and litigation loss contingencies and, as additional information becomes known, may change our estimates significantly. However, no estimate of the range of any such change can be made at this time. We may incur costs in respect of existing and future environmental matters and legal proceedings as to which no contingency reserves have been established. There is no assurance that we will have sufficient resources available to satisfy the related costs and expenses associated with these matters or proceedings. The incurring of costs in excess of our contingency reserves could have a material adverse effect on our business, financial condition, and results of operations.</w:t>
      </w:r>
    </w:p>
    <w:p>
      <w:pPr>
        <w:spacing w:after="0" w:line="303" w:lineRule="exact"/>
        <w:rPr>
          <w:sz w:val="20"/>
          <w:szCs w:val="20"/>
          <w:color w:val="auto"/>
        </w:rPr>
      </w:pPr>
    </w:p>
    <w:p>
      <w:pPr>
        <w:jc w:val="both"/>
        <w:spacing w:after="0" w:line="283" w:lineRule="auto"/>
        <w:rPr>
          <w:sz w:val="20"/>
          <w:szCs w:val="20"/>
          <w:color w:val="auto"/>
        </w:rPr>
      </w:pPr>
      <w:r>
        <w:rPr>
          <w:rFonts w:ascii="Arial" w:cs="Arial" w:eastAsia="Arial" w:hAnsi="Arial"/>
          <w:sz w:val="18"/>
          <w:szCs w:val="18"/>
          <w:b w:val="1"/>
          <w:bCs w:val="1"/>
          <w:i w:val="1"/>
          <w:iCs w:val="1"/>
          <w:u w:val="single" w:color="auto"/>
          <w:color w:val="auto"/>
        </w:rPr>
        <w:t>We are subject to the U.S. Foreign Corrupt Practices Act and other anti-corruption laws, as well as other international trade and regulatory laws governing our operations. If we fail to comply with these laws, we could be subject to civil or criminal penalties, other remedial measures, and legal expenses, which could adversely affect our business, financial condition, and results of operations</w:t>
      </w:r>
      <w:r>
        <w:rPr>
          <w:rFonts w:ascii="Arial" w:cs="Arial" w:eastAsia="Arial" w:hAnsi="Arial"/>
          <w:sz w:val="18"/>
          <w:szCs w:val="18"/>
          <w:u w:val="single" w:color="auto"/>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operations are subject to anti-corruption laws,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U.S. Foreign Corrupt Practices Act (FCPA) and other anti-corruption laws that apply in countries where we do business. The FCPA and these other laws generally prohibit us and our employees and intermediaries from bribing, being bribed or making, promising, offering or authorizing payments or gifts, with corrupt intent, to government officials or other persons to obtain or retain business or gain some other business advantage. We conduct business in a number of jurisdictions that are geographically high-risk for violations of anti-corruption laws, we participate in relationships with third parties whose actions could potentially subject us to liability under the FCPA or other anti-corruption laws, and the nature of our business involves interaction with government officials. In addition, we cannot predict the nature, scope, or effect of future regulatory requirements to which our operations might be subject or the manner in which existing laws might be administered or interpreted.</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U.S. Department of Commerce’s Bureau of Industry and Security, the U.S. Department of Treasury’s Office of Foreign Assets Control, and various non-U.S. government entities, including applicable export control regulations, economic sanctions on countries, entities and other persons, customs requirements, anti-boycott regulations, currency exchange regulations and transfer pricing regulations (collectively, Trade Control Laws).</w:t>
      </w:r>
    </w:p>
    <w:p>
      <w:pPr>
        <w:spacing w:after="0" w:line="5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have and maintain a compliance program with policies, procedures, and employee training to help ensure compliance with the FCPA, other applicable anti-corruption laws, and Trade Control Laws. However, despite our compliance program, there is no assurance that we or our intermediaries will be completely effective in complying with all applicable anti-corruption laws, including the FCPA or other legal requirements or Trade Control Laws. If we or our intermediaries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Likewise, any investigation of any potential violations of the FCPA, other anti-corruption laws, or Trade Control Laws by the U.S. or foreign authorities could also have an adverse impact on our reputation, business, financial condition, and results of operations.</w:t>
      </w:r>
    </w:p>
    <w:p>
      <w:pPr>
        <w:sectPr>
          <w:pgSz w:w="11880" w:h="15480" w:orient="portrait"/>
          <w:cols w:equalWidth="0" w:num="1">
            <w:col w:w="9360"/>
          </w:cols>
          <w:pgMar w:left="1260" w:top="1194" w:right="1260" w:bottom="223"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9360"/>
          </w:cols>
          <w:pgMar w:left="1260" w:top="1194" w:right="1260" w:bottom="223" w:gutter="0" w:footer="0" w:header="0"/>
          <w:type w:val="continuous"/>
        </w:sectPr>
      </w:pPr>
    </w:p>
    <w:bookmarkStart w:id="39" w:name="page40"/>
    <w:bookmarkEnd w:id="39"/>
    <w:p>
      <w:pPr>
        <w:jc w:val="both"/>
        <w:spacing w:after="0" w:line="294" w:lineRule="auto"/>
        <w:rPr>
          <w:sz w:val="20"/>
          <w:szCs w:val="20"/>
          <w:color w:val="auto"/>
        </w:rPr>
      </w:pPr>
      <w:r>
        <w:rPr>
          <w:rFonts w:ascii="Arial" w:cs="Arial" w:eastAsia="Arial" w:hAnsi="Arial"/>
          <w:sz w:val="18"/>
          <w:szCs w:val="18"/>
          <w:b w:val="1"/>
          <w:bCs w:val="1"/>
          <w:i w:val="1"/>
          <w:iCs w:val="1"/>
          <w:u w:val="single" w:color="auto"/>
          <w:color w:val="auto"/>
        </w:rPr>
        <w:t>Regulatory and statutory changes applicable to us or our customers, including changes in tax law or effective tax rates, could adversely affect our financial condition and results of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and many of our customers,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various national, state and local laws, rules, and regulations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Changes in any of these laws, rules, or regulations could result in additional compliance costs, seizures, confiscations, recalls or monetary fines, any of which could prevent or inhibit the manufacture, distribution and sale of our products.</w:t>
      </w:r>
    </w:p>
    <w:p>
      <w:pPr>
        <w:spacing w:after="0" w:line="5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are also subject to periodic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examinations will not have a material adverse effect on our business, financial condition, and results of operations, or that our provision for income taxes will be sufficient.</w:t>
      </w:r>
    </w:p>
    <w:p>
      <w:pPr>
        <w:spacing w:after="0" w:line="84"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are also exposed to changes in tax laws, as well as any future regulations issued and changes in interpretations of tax laws, which can impact our current and future years' tax provisions. We monitor tax legislation changes on a global basis, including changes arising as a result of the Organization for Economic Cooperation and Development’s multi-jurisdictional plan of action to address base erosion and profit shifting, commonly referred to as the Pillar Two Inclusive Framework and the 2025 One Big Beautiful Bill Act (“The Tax Act”) with effective dates of enacted provisions ranging from 2025 through 2027. Both Pillar Two and The Tax Act are discussed further in "Note 6, Income Taxes" of the Notes to the Consolidated Financial Statements included in Item 8 of this annual report on Form 10-K. The effect of any other tax law changes or regulations and interpretations, as well as any additional tax legislation in the U.S. or other jurisdictions in which we operate, could have a material adverse effect on our business, financial condition, and results of operations.</w:t>
      </w:r>
    </w:p>
    <w:p>
      <w:pPr>
        <w:spacing w:after="0" w:line="80"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In addition, our products and markets are subject to extensive and complex federal, local, state, and foreign statutes, ordinances, rules, and regulations. These mandates, including building design and safety and construction standards and zoning requirements, affect the cost, selection, and quality requirements of building components, such as the structural panel and siding products that we manufacture and sell, and often provide broad discretion to governmental authorities as to the types and quality specifications of products used in new home construction and repair and remodeling projects. Compliance with these standards and changes in such statutes, ordinances, rules, and regulations may increase the costs of manufacturing our products or may reduce the demand for certain of our products in the affected geographical areas or product markets. Conversely, a decrease in product safety standards could reduce demand for our more modern products if less expensive alternatives that do not meet higher standards were to become available for use in the affected geographical areas or product markets. All or any of these changes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RISK FACTORS</w:t>
      </w:r>
    </w:p>
    <w:p>
      <w:pPr>
        <w:spacing w:after="0" w:line="25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u w:val="single" w:color="auto"/>
          <w:color w:val="auto"/>
        </w:rPr>
        <w:t>Inflation may adversely affect us by increasing costs of raw materials, labor, and other costs beyond what we can recover through price increases.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Inflation can adversely affect us by increasing the costs of raw materials and labor,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goods or services required to operate and grow our business. Many of the markets in which we sell our products have experienced high levels of inflation in recent periods and may continue to experience high levels of inflation in the future, which may depress consumer demand for our products and reduce our profitability if we are unable to raise prices enough to keep up with increases in our costs. Inflationary pressures have resulted in increases in the cost of certain raw materials, and other supplies necessary for the production of our products, and such increases may continue to impact us in the future and expose us to risks associated with significant levels of cost inflation. If we are unable to increase our prices to offset the effects of inflation, our business, operating results, and financial condition could continue to be materially and adversely affected.</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i w:val="1"/>
          <w:iCs w:val="1"/>
          <w:u w:val="single" w:color="auto"/>
          <w:color w:val="auto"/>
        </w:rPr>
        <w:t>Warranty claims relating to our products and exceeding our warranty reserves could have a material adverse effect on our business.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 have offered, and continue to offer, various warranties on our products. Although we maintain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reserves for warranty-related claims and we have established and recorded product-related warranty reserves on our Consolidated Financial Statements, we cannot guarantee that warranty expense levels or the results of any warranty-related legal proceedings will not exceed our reserves. If our warranty reserves are significantly exceeded, the costs associated with such warranties could have a material adverse effect on our financial position, results of operations, and cash flows.</w:t>
      </w:r>
    </w:p>
    <w:p>
      <w:pPr>
        <w:sectPr>
          <w:pgSz w:w="11880" w:h="15480" w:orient="portrait"/>
          <w:cols w:equalWidth="0" w:num="1">
            <w:col w:w="9360"/>
          </w:cols>
          <w:pgMar w:left="1260" w:top="1194" w:right="1260" w:bottom="204"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9360"/>
          </w:cols>
          <w:pgMar w:left="1260" w:top="1194" w:right="1260" w:bottom="204" w:gutter="0" w:footer="0" w:header="0"/>
          <w:type w:val="continuous"/>
        </w:sectPr>
      </w:pPr>
    </w:p>
    <w:bookmarkStart w:id="40" w:name="page41"/>
    <w:bookmarkEnd w:id="40"/>
    <w:p>
      <w:pPr>
        <w:jc w:val="both"/>
        <w:spacing w:after="0" w:line="284" w:lineRule="auto"/>
        <w:rPr>
          <w:sz w:val="20"/>
          <w:szCs w:val="20"/>
          <w:color w:val="auto"/>
        </w:rPr>
      </w:pPr>
      <w:r>
        <w:rPr>
          <w:rFonts w:ascii="Arial" w:cs="Arial" w:eastAsia="Arial" w:hAnsi="Arial"/>
          <w:sz w:val="18"/>
          <w:szCs w:val="18"/>
          <w:b w:val="1"/>
          <w:bCs w:val="1"/>
          <w:i w:val="1"/>
          <w:iCs w:val="1"/>
          <w:u w:val="single" w:color="auto"/>
          <w:color w:val="auto"/>
        </w:rPr>
        <w:t>We have not independently verified the results of third-party research or confirmed assumptions or judgments upon which it may be based, and the forecasted and other forward-looking information contained therein is subject to inherent uncertainties.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referred to, and may in the future refer to, in our annual reports on Form 10-K,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quarterly reports on Form 10-Q, and other documents that we file with, or furnish to, the SEC, historical, forecasted, and other forward-looking information published by sources such as the U.S. Census Bureau that we believe to be reliable. However, we have not independently verified this information and, with respect to the forecasted and forward-looking information, have not independently confirmed the assumptions and judgments upon which it is based. Forecasted and other forward-looking information is necessarily based on assumptions regarding future occurrences, events, conditions, and circumstances and subjective judgments relating to various matters and is subject to inherent uncertainties. Actual results may differ materially from the results expressed or implied by, or based upon, such forecasted and forward-looking information.</w:t>
      </w:r>
    </w:p>
    <w:p>
      <w:pPr>
        <w:spacing w:after="0" w:line="66"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u w:val="single" w:color="auto"/>
          <w:color w:val="auto"/>
        </w:rPr>
        <w:t>Because we have operations outside the United States and report our earnings in U.S. dollars, unfavorable fluctuations in currency values and exchange rates could have a material adverse effect on our results of operations.</w:t>
      </w:r>
    </w:p>
    <w:p>
      <w:pPr>
        <w:jc w:val="both"/>
        <w:spacing w:after="0" w:line="286" w:lineRule="auto"/>
        <w:rPr>
          <w:sz w:val="20"/>
          <w:szCs w:val="20"/>
          <w:color w:val="auto"/>
        </w:rPr>
      </w:pPr>
      <w:r>
        <w:rPr>
          <w:rFonts w:ascii="Arial" w:cs="Arial" w:eastAsia="Arial" w:hAnsi="Arial"/>
          <w:sz w:val="18"/>
          <w:szCs w:val="18"/>
          <w:color w:val="auto"/>
        </w:rPr>
        <w:t>Because our reporting currency is the U.S. dollar, our non-U.S. operations face the additional risk of fluctuating currency values and exchange rates. Such operations may also face hard currency shortages and controls on currency exchange. Changes in the value of foreign currencies (principally Canadian dollars, Brazilian reals, Chilean pesos, and Argentine pesos) could have an adverse effect on our results of operations.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although we may do so in the future. There can be no assurance that fluctuation in foreign currencies and other foreign exchange risks will not have a material adverse effect on our financial position, results of operations, or cash flows.</w:t>
      </w:r>
    </w:p>
    <w:p>
      <w:pPr>
        <w:spacing w:after="0" w:line="5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i w:val="1"/>
          <w:iCs w:val="1"/>
          <w:u w:val="single" w:color="auto"/>
          <w:color w:val="auto"/>
        </w:rPr>
        <w:t>Covenants and events of default in our debt instruments could limit our ability to undertake certain types of transactions and adversely affect our liquidity.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Our Amended Credit Agreement (as defined below) and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indenture governing the 2029 Senior Notes (as defined below) contain a number of restrictive covenants that impose operating and financial restrictions on us and may limit our ability to engage in acts that may be in our long-term best interests, including, among others, restrictions on our ability to incur indebtedness, grant liens to secure indebtedness, engage in sale and leaseback transactions, and merge or consolidate or sell all or substantially all of our assets.</w:t>
      </w:r>
    </w:p>
    <w:p>
      <w:pPr>
        <w:spacing w:after="0" w:line="86"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In addition, restrictive covenants in our Amended Credit Agreement require us to maintain specified financial ratios and satisfy other financial condition tests. Our ability to meet those financial ratios and tests can be affected by events beyond our control, and we may be unable to meet them.</w:t>
      </w:r>
    </w:p>
    <w:p>
      <w:pPr>
        <w:spacing w:after="0" w:line="75"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A breach of the covenants or restrictions under our Amended Credit Agreement or under the indenture governing the 2029 Senior Notes could result in an event of default under the applicable indebtedness. Such a default may allow our creditors to accelerate the related debt. A payment default or an acceleration following an event of default under our Amended Credit Agreement or our indenture governing the 2029 Senior Notes could trigger an event of default under the other indebtedness obligation, as well as any other debt to which a cross-acceleration or cross-default provision applies, which could result in the principal of and the accrued and unpaid interest on all such debt becoming due and payable ahead of schedule. In addition, an event of default under our Amended Credit Agreement could permit the lenders under our Amended Credit Facility (as defined below) to terminate all commitments to extend further credit under that facility. Furthermore, if we were unable to repay any amounts due and payable under our Amended Credit Facility, those lenders could proceed against the collateral granted to them to secure that indebtedness, to the extent any such collateral is granted thereunder. In the event our lenders or noteholders accelerate the repayment of our borrowings, we and our subsidiaries may not have sufficient assets to repay that indebtedness.</w:t>
      </w:r>
    </w:p>
    <w:p>
      <w:pPr>
        <w:sectPr>
          <w:pgSz w:w="11880" w:h="15480" w:orient="portrait"/>
          <w:cols w:equalWidth="0" w:num="1">
            <w:col w:w="9360"/>
          </w:cols>
          <w:pgMar w:left="1260" w:top="1194" w:right="1260" w:bottom="2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9360"/>
          </w:cols>
          <w:pgMar w:left="1260" w:top="1194" w:right="1260" w:bottom="224"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color w:val="auto"/>
        </w:rPr>
        <w:t>As a result of these restrictions, we may be:</w:t>
      </w:r>
    </w:p>
    <w:p>
      <w:pPr>
        <w:spacing w:after="0" w:line="120" w:lineRule="exact"/>
        <w:rPr>
          <w:sz w:val="20"/>
          <w:szCs w:val="20"/>
          <w:color w:val="auto"/>
        </w:rPr>
      </w:pPr>
    </w:p>
    <w:p>
      <w:pPr>
        <w:ind w:left="720" w:hanging="360"/>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limited in how we conduct our business and grow in accordance with our strategy;</w:t>
      </w:r>
    </w:p>
    <w:p>
      <w:pPr>
        <w:ind w:left="720" w:hanging="360"/>
        <w:spacing w:after="0" w:line="219"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unable to raise additional debt or equity financing to operate during general economic or business downturns; or</w:t>
      </w:r>
    </w:p>
    <w:p>
      <w:pPr>
        <w:ind w:left="720" w:hanging="360"/>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unable to compete effectively or to take advantage of new business opportunities.</w:t>
      </w:r>
    </w:p>
    <w:p>
      <w:pPr>
        <w:spacing w:after="0" w:line="90"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In addition, our financial results, our level of indebtedness, and our credit ratings could adversely affect the availability and terms of any additional or replacement financing.</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More detailed descriptions of our Amended Credit Agreement and the indenture governing the 2029 Senior Notes are included in filings made by us with the SEC, along with the documents themselves, copies of which are filed as exhibits to this annual report on Form 10-K and which provide the full text of these covenants.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i w:val="1"/>
          <w:iCs w:val="1"/>
          <w:u w:val="single" w:color="auto"/>
          <w:color w:val="auto"/>
        </w:rPr>
        <w:t>We are subject to interest rate risk under our Amended Credit Facility.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Borrowings under our Amended Credit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Facility are at variable rates of interest based on (a) a “base rate” plus a margin of 0.500% to 1.500% or (b) Adjusted Term SOFR (i.e., Term SOFR Rate plus an adjustment of 0.10%), which is based upon the Secured Overnight Financing Rate (SOFR), plus a margin of 1.500% to 2.500%, and therefore expose us to interest rate risk. The “base rate” is the highest of (i) the Federal funds rate plus 0.5%, (ii) the U.S. prime rate, and (iii) one-month Adjusted Term SOFR plus 1.0%.</w:t>
      </w:r>
    </w:p>
    <w:p>
      <w:pPr>
        <w:spacing w:after="0" w:line="8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i w:val="1"/>
          <w:iCs w:val="1"/>
          <w:u w:val="single" w:color="auto"/>
          <w:color w:val="auto"/>
        </w:rPr>
        <w:t>Our cash, cash equivalents and investments could be adversely affected if the financial institutions in which we hold our cash, cash equivalents and investments fail.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regularly maintain cash balances at third-party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institutions in excess of the Federal Deposit Insurance Corporation insurance limit. If certain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 FACTORS</w:t>
      </w:r>
    </w:p>
    <w:p>
      <w:pPr>
        <w:spacing w:after="0" w:line="134"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i w:val="1"/>
          <w:iCs w:val="1"/>
          <w:u w:val="single" w:color="auto"/>
          <w:color w:val="auto"/>
        </w:rPr>
        <w:t>We are subject to a variety of other risks as a publicly traded U.S. manufacturing company.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 a publicly traded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U.S. manufacturing company, we are subject to a variety of other risks, each of which could adversely affect our financial position, results of operations or cash flows, or the price of our common stock. These risks include but are not limited to the following, in addition to the other risks described above:</w:t>
      </w:r>
    </w:p>
    <w:p>
      <w:pPr>
        <w:spacing w:after="0" w:line="63" w:lineRule="exact"/>
        <w:rPr>
          <w:sz w:val="20"/>
          <w:szCs w:val="20"/>
          <w:color w:val="auto"/>
        </w:rPr>
      </w:pPr>
    </w:p>
    <w:p>
      <w:pPr>
        <w:ind w:left="720" w:hanging="360"/>
        <w:spacing w:after="0" w:line="260"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in general and global economic conditions, including impacts from rising inflation, supply chain disruptions, new, ongoing, or escalated geopolitical or military conflicts or tensions;</w:t>
      </w:r>
    </w:p>
    <w:p>
      <w:pPr>
        <w:spacing w:after="0" w:line="1" w:lineRule="exact"/>
        <w:rPr>
          <w:rFonts w:ascii="Arial" w:cs="Arial" w:eastAsia="Arial" w:hAnsi="Arial"/>
          <w:sz w:val="20"/>
          <w:szCs w:val="20"/>
          <w:color w:val="auto"/>
        </w:rPr>
      </w:pPr>
    </w:p>
    <w:p>
      <w:pPr>
        <w:ind w:left="720" w:hanging="360"/>
        <w:spacing w:after="0" w:line="260"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compliance with a wide variety of health and safety laws and regulations and changes to such laws and regulations;</w:t>
      </w:r>
    </w:p>
    <w:p>
      <w:pPr>
        <w:spacing w:after="0" w:line="1" w:lineRule="exact"/>
        <w:rPr>
          <w:rFonts w:ascii="Arial" w:cs="Arial" w:eastAsia="Arial" w:hAnsi="Arial"/>
          <w:sz w:val="20"/>
          <w:szCs w:val="20"/>
          <w:color w:val="auto"/>
        </w:rPr>
      </w:pPr>
    </w:p>
    <w:p>
      <w:pPr>
        <w:ind w:left="720" w:hanging="360"/>
        <w:spacing w:after="0" w:line="260"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exertion of influence over us, individually or collectively, by a few entities with concentrated ownership of our stock;</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8"/>
        </w:numPr>
        <w:rPr>
          <w:rFonts w:ascii="Arial" w:cs="Arial" w:eastAsia="Arial" w:hAnsi="Arial"/>
          <w:sz w:val="19"/>
          <w:szCs w:val="19"/>
          <w:color w:val="auto"/>
        </w:rPr>
      </w:pPr>
      <w:r>
        <w:rPr>
          <w:rFonts w:ascii="Arial" w:cs="Arial" w:eastAsia="Arial" w:hAnsi="Arial"/>
          <w:sz w:val="19"/>
          <w:szCs w:val="19"/>
          <w:color w:val="auto"/>
        </w:rPr>
        <w:t>new or modified legislation related to health care, data privacy, AI, climate change or cybersecurity;</w:t>
      </w:r>
    </w:p>
    <w:p>
      <w:pPr>
        <w:spacing w:after="0" w:line="41" w:lineRule="exact"/>
        <w:rPr>
          <w:rFonts w:ascii="Arial" w:cs="Arial" w:eastAsia="Arial" w:hAnsi="Arial"/>
          <w:sz w:val="19"/>
          <w:szCs w:val="19"/>
          <w:color w:val="auto"/>
        </w:rPr>
      </w:pPr>
    </w:p>
    <w:p>
      <w:pPr>
        <w:ind w:left="720" w:hanging="360"/>
        <w:spacing w:after="0" w:line="260"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compliance with Section 404 of the Sarbanes-Oxley Act of 2002, including the potential impact of compliance failures; and</w:t>
      </w:r>
    </w:p>
    <w:p>
      <w:pPr>
        <w:spacing w:after="0" w:line="1" w:lineRule="exact"/>
        <w:rPr>
          <w:rFonts w:ascii="Arial" w:cs="Arial" w:eastAsia="Arial" w:hAnsi="Arial"/>
          <w:sz w:val="20"/>
          <w:szCs w:val="20"/>
          <w:color w:val="auto"/>
        </w:rPr>
      </w:pPr>
    </w:p>
    <w:p>
      <w:pPr>
        <w:ind w:left="720" w:hanging="360"/>
        <w:spacing w:after="0" w:line="283"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failure to meet the expectations of investors, including as a result of factors beyond the control of an individual company.</w:t>
      </w:r>
    </w:p>
    <w:p>
      <w:pPr>
        <w:spacing w:after="0" w:line="169"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360"/>
          </w:cols>
          <w:pgMar w:left="1260" w:top="1197" w:right="12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9360"/>
          </w:cols>
          <w:pgMar w:left="1260" w:top="1197" w:right="1260" w:bottom="223" w:gutter="0" w:footer="0" w:header="0"/>
          <w:type w:val="continuous"/>
        </w:sectPr>
      </w:pPr>
    </w:p>
    <w:bookmarkStart w:id="42" w:name="page43"/>
    <w:bookmarkEnd w:id="42"/>
    <w:p>
      <w:pPr>
        <w:spacing w:after="0"/>
        <w:tabs>
          <w:tab w:leader="none" w:pos="1160" w:val="left"/>
        </w:tabs>
        <w:rPr>
          <w:sz w:val="20"/>
          <w:szCs w:val="20"/>
          <w:color w:val="auto"/>
        </w:rPr>
      </w:pPr>
      <w:r>
        <w:rPr>
          <w:rFonts w:ascii="Arial" w:cs="Arial" w:eastAsia="Arial" w:hAnsi="Arial"/>
          <w:sz w:val="20"/>
          <w:szCs w:val="20"/>
          <w:b w:val="1"/>
          <w:bCs w:val="1"/>
          <w:color w:val="auto"/>
        </w:rPr>
        <w:t>ITEM 1C.</w:t>
      </w:r>
      <w:r>
        <w:rPr>
          <w:sz w:val="20"/>
          <w:szCs w:val="20"/>
          <w:color w:val="auto"/>
        </w:rPr>
        <w:tab/>
      </w:r>
      <w:r>
        <w:rPr>
          <w:rFonts w:ascii="Arial" w:cs="Arial" w:eastAsia="Arial" w:hAnsi="Arial"/>
          <w:sz w:val="16"/>
          <w:szCs w:val="16"/>
          <w:b w:val="1"/>
          <w:bCs w:val="1"/>
          <w:i w:val="1"/>
          <w:iCs w:val="1"/>
          <w:color w:val="auto"/>
        </w:rPr>
        <w:t>Cybersecurity</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CYBERSECURITY OVERSIGHT</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Management and Strategy</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LP places utmost priority on ensuring consistent and uninterrupted operational capability, as well as securing confidential business assets. We have systems and processes in place to assess, identify and manage cybersecurity incidents, and those systems and processes are integrated into our overall enterprise risk management system. We invest heavily in technology and third-party support to identify, mitigate, and quickly respond to cybersecurity incidents, and we have maintained a strong focus in consistently reviewing fundamental cybersecurity practices and ensuring we are reviewing emerging threats.</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To respond to the threat of security breaches and cyberattacks, we maintain a cybersecurity program designed to protect and preserve the confidentiality, integrity and continued availability of all information and operational processes owned by, or in the care of, LP. This program includes mechanisms to monitor and detect unusual network activity, cybersecurity incident response and containment tools, and a response plan that provides controls and procedures for timely and accurate reporting of any material cybersecurity incident. We also have a cybersecurity training and compliance program in place for the Company whereby our connected employees receive training and are tested routinely through simulated phishing attempts.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We rely heavily on third-party suppliers and vendors, and a cybersecurity incident at one of our suppliers or vendors could have a material adverse impact on our business operations. We evaluate third-party cybersecurity risk controls through various assessment activities carried out by LP employees and by third-party service providers acting on our behalf. We engage independent third parties to conduct, on an annual basis, either a Security Program Assessment under the Capability Maturity Model Integration (CMMI) framework or the National Institute of Standards and Technology (NIST) framework, or targeted penetration testing combined with security controls assessments. For incident alerts and response, we outsource around-the-clock coverage to a third-party managed service provider who provides timely alerting and notification of potential cybersecurity issues. We continually work with third-party experts to advise on new threats and cybersecurity strategy best practices for specific capabilities.</w:t>
      </w:r>
    </w:p>
    <w:p>
      <w:pPr>
        <w:spacing w:after="0" w:line="60"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 xml:space="preserve">No risks from cybersecurity threats have materially affected, nor has LP identified any specific risks from known cybersecurity threats that are reasonably likely to materially affect, LP, including our business strategy, results of operations or financial condition. Please see “Risk Factors – Business and Operational Risk Factors – </w:t>
      </w:r>
      <w:r>
        <w:rPr>
          <w:rFonts w:ascii="Arial" w:cs="Arial" w:eastAsia="Arial" w:hAnsi="Arial"/>
          <w:sz w:val="17"/>
          <w:szCs w:val="17"/>
          <w:b w:val="1"/>
          <w:bCs w:val="1"/>
          <w:i w:val="1"/>
          <w:iCs w:val="1"/>
          <w:u w:val="single" w:color="auto"/>
          <w:color w:val="auto"/>
        </w:rPr>
        <w:t>Cybersecurity</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risks related to the technology used in our operations and other business processes, as well as security breaches of Company, customer, consumer, employee, or vendor information, could adversely affect our business</w:t>
      </w:r>
      <w:r>
        <w:rPr>
          <w:rFonts w:ascii="Arial" w:cs="Arial" w:eastAsia="Arial" w:hAnsi="Arial"/>
          <w:sz w:val="17"/>
          <w:szCs w:val="17"/>
          <w:color w:val="auto"/>
        </w:rPr>
        <w:t>” in Item 1A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annual report on Form 10-K for additional discussion of cybersecurity risks applicable to LP.</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 Responsibilities</w:t>
      </w:r>
    </w:p>
    <w:p>
      <w:pPr>
        <w:spacing w:after="0" w:line="133"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Our cybersecurity program is managed by our Information Security Officer (ISO). Our ISO has over eight years of cybersecurity experience working in publicly traded companies, with expertise leading risk remediation efforts in vulnerability management, network security, security awareness, threat monitoring, data security and cloud security.</w:t>
      </w:r>
    </w:p>
    <w:p>
      <w:pPr>
        <w:spacing w:after="0" w:line="4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To more effectively share information and gain consensus regarding cybersecurity initiatives and prevention policies, the Company has in place an Enterprise Risk Management Committee consisting of various members of LP senior leadership including the Chief Legal Counsel and Chief Financial Officer. The Enterprise Risk Management Committee is chaired by our Chief Tax Officer. The ISO, along with the cybersecurity team, is responsible for leading an enterprise-wide information security strategy, including policy, standards, architecture, processes, and security technology. The Enterprise Risk Management Committee (i) meets quarterly and as-needed to review and discuss the Company’s risks, including cybersecurity threats, incident responses, technology, the status of projects to strengthen the Company’s information security systems, assessments of the Company’s cybersecurity program and the emerging threat landscape and (ii) reports risks related to any material cybersecurity incidents, as needed, to the Board of Directors and the Finance and Audit Committee (FAC) of the Board of Directors.</w:t>
      </w:r>
    </w:p>
    <w:p>
      <w:pPr>
        <w:sectPr>
          <w:pgSz w:w="11880" w:h="15480" w:orient="portrait"/>
          <w:cols w:equalWidth="0" w:num="1">
            <w:col w:w="9360"/>
          </w:cols>
          <w:pgMar w:left="1260" w:top="1189"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360"/>
          </w:cols>
          <w:pgMar w:left="1260" w:top="1189" w:right="1260" w:bottom="225" w:gutter="0" w:footer="0" w:header="0"/>
          <w:type w:val="continuous"/>
        </w:sectPr>
      </w:pPr>
    </w:p>
    <w:bookmarkStart w:id="43" w:name="page44"/>
    <w:bookmarkEnd w:id="43"/>
    <w:p>
      <w:pPr>
        <w:spacing w:after="0"/>
        <w:rPr>
          <w:sz w:val="20"/>
          <w:szCs w:val="20"/>
          <w:color w:val="auto"/>
        </w:rPr>
      </w:pPr>
      <w:r>
        <w:rPr>
          <w:rFonts w:ascii="Arial" w:cs="Arial" w:eastAsia="Arial" w:hAnsi="Arial"/>
          <w:sz w:val="20"/>
          <w:szCs w:val="20"/>
          <w:b w:val="1"/>
          <w:bCs w:val="1"/>
          <w:i w:val="1"/>
          <w:iCs w:val="1"/>
          <w:color w:val="auto"/>
        </w:rPr>
        <w:t>Board Responsibilities</w:t>
      </w:r>
    </w:p>
    <w:p>
      <w:pPr>
        <w:spacing w:after="0" w:line="133"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Oversight of risks from cybersecurity threats is shared by the Board of Directors and the FAC. The FAC oversees our cybersecurity program. The ISO provides the FAC with an annual presentation on our cybersecurity program, emerging threats, and the state of LP’s cybersecurity maturity. In addition, the ISO provides updates to the FAC no less often than annually with respect to additional information regarding the cybersecurity program.</w:t>
      </w:r>
    </w:p>
    <w:p>
      <w:pPr>
        <w:sectPr>
          <w:pgSz w:w="11880" w:h="15480" w:orient="portrait"/>
          <w:cols w:equalWidth="0" w:num="1">
            <w:col w:w="9360"/>
          </w:cols>
          <w:pgMar w:left="1260" w:top="1194"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9360"/>
          </w:cols>
          <w:pgMar w:left="1260" w:top="1194" w:right="1260" w:bottom="225" w:gutter="0" w:footer="0" w:header="0"/>
          <w:type w:val="continuous"/>
        </w:sectPr>
      </w:pPr>
    </w:p>
    <w:bookmarkStart w:id="44" w:name="page45"/>
    <w:bookmarkEnd w:id="44"/>
    <w:p>
      <w:pPr>
        <w:spacing w:after="0"/>
        <w:tabs>
          <w:tab w:leader="none" w:pos="142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6"/>
          <w:szCs w:val="16"/>
          <w:b w:val="1"/>
          <w:bCs w:val="1"/>
          <w:i w:val="1"/>
          <w:iCs w:val="1"/>
          <w:color w:val="auto"/>
        </w:rPr>
        <w:t>Properties</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lease office space from third parties for our corporate headquarters in Nashville, Tennessee and our South American headquarters in Santiago, Chile. Information regarding our principal manufacturing facilities, all of which we own, and their production capacities is set forth in the following table. Information regarding operating production capacities is based on annual typical operating rates and normal production mixes under current market conditions, considering known constraints such as log supply. Market conditions, fluctuations in log supply, environmental restrictions, and the nature of current orders may cause actual production rates and mixes to vary significantly from the production rates and mixes shown.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OSB</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Siding</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60" w:type="dxa"/>
            <w:vAlign w:val="bottom"/>
          </w:tcPr>
          <w:p>
            <w:pPr>
              <w:spacing w:after="0"/>
              <w:rPr>
                <w:sz w:val="22"/>
                <w:szCs w:val="22"/>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2"/>
              </w:rPr>
              <w:t>OSB production facilities - 3/8” basis, million square feet</w:t>
            </w: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40" w:type="dxa"/>
            <w:vAlign w:val="bottom"/>
            <w:gridSpan w:val="6"/>
          </w:tcPr>
          <w:p>
            <w:pPr>
              <w:spacing w:after="0"/>
              <w:rPr>
                <w:sz w:val="20"/>
                <w:szCs w:val="20"/>
                <w:color w:val="auto"/>
              </w:rPr>
            </w:pPr>
            <w:r>
              <w:rPr>
                <w:rFonts w:ascii="Arial" w:cs="Arial" w:eastAsia="Arial" w:hAnsi="Arial"/>
                <w:sz w:val="18"/>
                <w:szCs w:val="18"/>
                <w:color w:val="auto"/>
                <w:w w:val="96"/>
              </w:rPr>
              <w:t>Siding production facilities - 3/8” basis, million square feet</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4140" w:type="dxa"/>
            <w:vAlign w:val="bottom"/>
            <w:tcBorders>
              <w:top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E6E6E6"/>
            </w:tcBorders>
            <w:shd w:val="clear" w:color="auto" w:fill="E6E6E6"/>
          </w:tcPr>
          <w:p>
            <w:pPr>
              <w:spacing w:after="0"/>
              <w:rPr>
                <w:sz w:val="24"/>
                <w:szCs w:val="24"/>
                <w:color w:val="auto"/>
              </w:rPr>
            </w:pPr>
          </w:p>
        </w:tc>
        <w:tc>
          <w:tcPr>
            <w:tcW w:w="414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8"/>
                <w:szCs w:val="18"/>
                <w:color w:val="auto"/>
              </w:rPr>
              <w:t>Carthage, TX</w:t>
            </w:r>
          </w:p>
        </w:tc>
        <w:tc>
          <w:tcPr>
            <w:tcW w:w="600" w:type="dxa"/>
            <w:vAlign w:val="bottom"/>
            <w:tcBorders>
              <w:bottom w:val="single" w:sz="8" w:color="E6E6E6"/>
            </w:tcBorders>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E6E6E6"/>
            </w:tcBorders>
            <w:shd w:val="clear" w:color="auto" w:fill="E6E6E6"/>
          </w:tcPr>
          <w:p>
            <w:pPr>
              <w:spacing w:after="0"/>
              <w:rPr>
                <w:sz w:val="24"/>
                <w:szCs w:val="24"/>
                <w:color w:val="auto"/>
              </w:rPr>
            </w:pPr>
          </w:p>
        </w:tc>
        <w:tc>
          <w:tcPr>
            <w:tcW w:w="3840" w:type="dxa"/>
            <w:vAlign w:val="bottom"/>
            <w:tcBorders>
              <w:bottom w:val="single" w:sz="8" w:color="E6E6E6"/>
            </w:tcBorders>
            <w:gridSpan w:val="3"/>
            <w:shd w:val="clear" w:color="auto" w:fill="E6E6E6"/>
          </w:tcPr>
          <w:p>
            <w:pPr>
              <w:spacing w:after="0"/>
              <w:rPr>
                <w:sz w:val="20"/>
                <w:szCs w:val="20"/>
                <w:color w:val="auto"/>
              </w:rPr>
            </w:pPr>
            <w:r>
              <w:rPr>
                <w:rFonts w:ascii="Arial" w:cs="Arial" w:eastAsia="Arial" w:hAnsi="Arial"/>
                <w:sz w:val="18"/>
                <w:szCs w:val="18"/>
                <w:color w:val="auto"/>
              </w:rPr>
              <w:t>Dawson Creek, British Columbia, Canada</w:t>
            </w:r>
            <w:r>
              <w:rPr>
                <w:rFonts w:ascii="Arial" w:cs="Arial" w:eastAsia="Arial" w:hAnsi="Arial"/>
                <w:sz w:val="11"/>
                <w:szCs w:val="11"/>
                <w:color w:val="auto"/>
              </w:rPr>
              <w:t>1</w:t>
            </w:r>
          </w:p>
        </w:tc>
        <w:tc>
          <w:tcPr>
            <w:tcW w:w="600" w:type="dxa"/>
            <w:vAlign w:val="bottom"/>
            <w:tcBorders>
              <w:bottom w:val="single" w:sz="8" w:color="E6E6E6"/>
            </w:tcBorders>
            <w:gridSpan w:val="3"/>
            <w:shd w:val="clear" w:color="auto" w:fill="E6E6E6"/>
          </w:tcPr>
          <w:p>
            <w:pPr>
              <w:jc w:val="right"/>
              <w:ind w:right="8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Clarke County, AL</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2"/>
                <w:szCs w:val="22"/>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Hayward, WI</w:t>
            </w:r>
            <w:r>
              <w:rPr>
                <w:rFonts w:ascii="Arial" w:cs="Arial" w:eastAsia="Arial" w:hAnsi="Arial"/>
                <w:sz w:val="11"/>
                <w:szCs w:val="11"/>
                <w:color w:val="auto"/>
              </w:rPr>
              <w:t>1</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4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E6E6E6"/>
            </w:tcBorders>
            <w:shd w:val="clear" w:color="auto" w:fill="E6E6E6"/>
          </w:tcPr>
          <w:p>
            <w:pPr>
              <w:spacing w:after="0"/>
              <w:rPr>
                <w:sz w:val="24"/>
                <w:szCs w:val="24"/>
                <w:color w:val="auto"/>
              </w:rPr>
            </w:pPr>
          </w:p>
        </w:tc>
        <w:tc>
          <w:tcPr>
            <w:tcW w:w="414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8"/>
                <w:szCs w:val="18"/>
                <w:color w:val="auto"/>
              </w:rPr>
              <w:t>Hanceville, AL</w:t>
            </w:r>
          </w:p>
        </w:tc>
        <w:tc>
          <w:tcPr>
            <w:tcW w:w="600" w:type="dxa"/>
            <w:vAlign w:val="bottom"/>
            <w:tcBorders>
              <w:bottom w:val="single" w:sz="8" w:color="E6E6E6"/>
            </w:tcBorders>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E6E6E6"/>
            </w:tcBorders>
            <w:shd w:val="clear" w:color="auto" w:fill="E6E6E6"/>
          </w:tcPr>
          <w:p>
            <w:pPr>
              <w:spacing w:after="0"/>
              <w:rPr>
                <w:sz w:val="24"/>
                <w:szCs w:val="24"/>
                <w:color w:val="auto"/>
              </w:rPr>
            </w:pPr>
          </w:p>
        </w:tc>
        <w:tc>
          <w:tcPr>
            <w:tcW w:w="3840" w:type="dxa"/>
            <w:vAlign w:val="bottom"/>
            <w:tcBorders>
              <w:bottom w:val="single" w:sz="8" w:color="E6E6E6"/>
            </w:tcBorders>
            <w:gridSpan w:val="3"/>
            <w:shd w:val="clear" w:color="auto" w:fill="E6E6E6"/>
          </w:tcPr>
          <w:p>
            <w:pPr>
              <w:spacing w:after="0"/>
              <w:rPr>
                <w:sz w:val="20"/>
                <w:szCs w:val="20"/>
                <w:color w:val="auto"/>
              </w:rPr>
            </w:pPr>
            <w:r>
              <w:rPr>
                <w:rFonts w:ascii="Arial" w:cs="Arial" w:eastAsia="Arial" w:hAnsi="Arial"/>
                <w:sz w:val="18"/>
                <w:szCs w:val="18"/>
                <w:color w:val="auto"/>
              </w:rPr>
              <w:t>Houlton, ME</w:t>
            </w:r>
            <w:r>
              <w:rPr>
                <w:rFonts w:ascii="Arial" w:cs="Arial" w:eastAsia="Arial" w:hAnsi="Arial"/>
                <w:sz w:val="11"/>
                <w:szCs w:val="11"/>
                <w:color w:val="auto"/>
              </w:rPr>
              <w:t>1</w:t>
            </w:r>
          </w:p>
        </w:tc>
        <w:tc>
          <w:tcPr>
            <w:tcW w:w="600" w:type="dxa"/>
            <w:vAlign w:val="bottom"/>
            <w:tcBorders>
              <w:bottom w:val="single" w:sz="8" w:color="E6E6E6"/>
            </w:tcBorders>
            <w:gridSpan w:val="3"/>
            <w:shd w:val="clear" w:color="auto" w:fill="E6E6E6"/>
          </w:tcPr>
          <w:p>
            <w:pPr>
              <w:jc w:val="right"/>
              <w:ind w:right="8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Jasper, TX</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2"/>
                <w:szCs w:val="22"/>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Newberry, MI</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4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E6E6E6"/>
            </w:tcBorders>
            <w:shd w:val="clear" w:color="auto" w:fill="E6E6E6"/>
          </w:tcPr>
          <w:p>
            <w:pPr>
              <w:spacing w:after="0"/>
              <w:rPr>
                <w:sz w:val="24"/>
                <w:szCs w:val="24"/>
                <w:color w:val="auto"/>
              </w:rPr>
            </w:pPr>
          </w:p>
        </w:tc>
        <w:tc>
          <w:tcPr>
            <w:tcW w:w="414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8"/>
                <w:szCs w:val="18"/>
                <w:color w:val="auto"/>
              </w:rPr>
              <w:t>Maniwaki, Quebec, Canada</w:t>
            </w:r>
            <w:r>
              <w:rPr>
                <w:rFonts w:ascii="Arial" w:cs="Arial" w:eastAsia="Arial" w:hAnsi="Arial"/>
                <w:sz w:val="11"/>
                <w:szCs w:val="11"/>
                <w:color w:val="auto"/>
              </w:rPr>
              <w:t>2</w:t>
            </w:r>
          </w:p>
        </w:tc>
        <w:tc>
          <w:tcPr>
            <w:tcW w:w="600" w:type="dxa"/>
            <w:vAlign w:val="bottom"/>
            <w:tcBorders>
              <w:bottom w:val="single" w:sz="8" w:color="E6E6E6"/>
            </w:tcBorders>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E6E6E6"/>
            </w:tcBorders>
            <w:shd w:val="clear" w:color="auto" w:fill="E6E6E6"/>
          </w:tcPr>
          <w:p>
            <w:pPr>
              <w:spacing w:after="0"/>
              <w:rPr>
                <w:sz w:val="24"/>
                <w:szCs w:val="24"/>
                <w:color w:val="auto"/>
              </w:rPr>
            </w:pPr>
          </w:p>
        </w:tc>
        <w:tc>
          <w:tcPr>
            <w:tcW w:w="3840" w:type="dxa"/>
            <w:vAlign w:val="bottom"/>
            <w:tcBorders>
              <w:bottom w:val="single" w:sz="8" w:color="E6E6E6"/>
            </w:tcBorders>
            <w:gridSpan w:val="3"/>
            <w:shd w:val="clear" w:color="auto" w:fill="E6E6E6"/>
          </w:tcPr>
          <w:p>
            <w:pPr>
              <w:spacing w:after="0"/>
              <w:rPr>
                <w:sz w:val="20"/>
                <w:szCs w:val="20"/>
                <w:color w:val="auto"/>
              </w:rPr>
            </w:pPr>
            <w:r>
              <w:rPr>
                <w:rFonts w:ascii="Arial" w:cs="Arial" w:eastAsia="Arial" w:hAnsi="Arial"/>
                <w:sz w:val="18"/>
                <w:szCs w:val="18"/>
                <w:color w:val="auto"/>
              </w:rPr>
              <w:t>Sagola, MI</w:t>
            </w:r>
            <w:r>
              <w:rPr>
                <w:rFonts w:ascii="Arial" w:cs="Arial" w:eastAsia="Arial" w:hAnsi="Arial"/>
                <w:sz w:val="11"/>
                <w:szCs w:val="11"/>
                <w:color w:val="auto"/>
              </w:rPr>
              <w:t>1</w:t>
            </w:r>
          </w:p>
        </w:tc>
        <w:tc>
          <w:tcPr>
            <w:tcW w:w="600" w:type="dxa"/>
            <w:vAlign w:val="bottom"/>
            <w:tcBorders>
              <w:bottom w:val="single" w:sz="8" w:color="E6E6E6"/>
            </w:tcBorders>
            <w:gridSpan w:val="3"/>
            <w:shd w:val="clear" w:color="auto" w:fill="E6E6E6"/>
          </w:tcPr>
          <w:p>
            <w:pPr>
              <w:jc w:val="right"/>
              <w:ind w:right="8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Peace Valley, British Columbia, Canada</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2"/>
                <w:szCs w:val="22"/>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Swan Valley, Manitoba, Canada</w:t>
            </w:r>
            <w:r>
              <w:rPr>
                <w:rFonts w:ascii="Arial" w:cs="Arial" w:eastAsia="Arial" w:hAnsi="Arial"/>
                <w:sz w:val="11"/>
                <w:szCs w:val="11"/>
                <w:color w:val="auto"/>
              </w:rPr>
              <w:t>1</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4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60" w:type="dxa"/>
            <w:vAlign w:val="bottom"/>
            <w:tcBorders>
              <w:bottom w:val="single" w:sz="8" w:color="E6E6E6"/>
            </w:tcBorders>
            <w:shd w:val="clear" w:color="auto" w:fill="E6E6E6"/>
          </w:tcPr>
          <w:p>
            <w:pPr>
              <w:spacing w:after="0"/>
              <w:rPr>
                <w:sz w:val="24"/>
                <w:szCs w:val="24"/>
                <w:color w:val="auto"/>
              </w:rPr>
            </w:pPr>
          </w:p>
        </w:tc>
        <w:tc>
          <w:tcPr>
            <w:tcW w:w="414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8"/>
                <w:szCs w:val="18"/>
                <w:color w:val="auto"/>
              </w:rPr>
              <w:t>Roxboro, NC</w:t>
            </w:r>
          </w:p>
        </w:tc>
        <w:tc>
          <w:tcPr>
            <w:tcW w:w="600" w:type="dxa"/>
            <w:vAlign w:val="bottom"/>
            <w:tcBorders>
              <w:bottom w:val="single" w:sz="8" w:color="E6E6E6"/>
            </w:tcBorders>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E6E6E6"/>
            </w:tcBorders>
            <w:shd w:val="clear" w:color="auto" w:fill="E6E6E6"/>
          </w:tcPr>
          <w:p>
            <w:pPr>
              <w:spacing w:after="0"/>
              <w:rPr>
                <w:sz w:val="24"/>
                <w:szCs w:val="24"/>
                <w:color w:val="auto"/>
              </w:rPr>
            </w:pPr>
          </w:p>
        </w:tc>
        <w:tc>
          <w:tcPr>
            <w:tcW w:w="3840" w:type="dxa"/>
            <w:vAlign w:val="bottom"/>
            <w:tcBorders>
              <w:bottom w:val="single" w:sz="8" w:color="E6E6E6"/>
            </w:tcBorders>
            <w:gridSpan w:val="3"/>
            <w:shd w:val="clear" w:color="auto" w:fill="E6E6E6"/>
          </w:tcPr>
          <w:p>
            <w:pPr>
              <w:spacing w:after="0"/>
              <w:rPr>
                <w:sz w:val="20"/>
                <w:szCs w:val="20"/>
                <w:color w:val="auto"/>
              </w:rPr>
            </w:pPr>
            <w:r>
              <w:rPr>
                <w:rFonts w:ascii="Arial" w:cs="Arial" w:eastAsia="Arial" w:hAnsi="Arial"/>
                <w:sz w:val="18"/>
                <w:szCs w:val="18"/>
                <w:color w:val="auto"/>
              </w:rPr>
              <w:t>Tomahawk, WI</w:t>
            </w:r>
          </w:p>
        </w:tc>
        <w:tc>
          <w:tcPr>
            <w:tcW w:w="600" w:type="dxa"/>
            <w:vAlign w:val="bottom"/>
            <w:tcBorders>
              <w:bottom w:val="single" w:sz="8" w:color="E6E6E6"/>
            </w:tcBorders>
            <w:gridSpan w:val="3"/>
            <w:shd w:val="clear" w:color="auto" w:fill="E6E6E6"/>
          </w:tcPr>
          <w:p>
            <w:pPr>
              <w:jc w:val="right"/>
              <w:ind w:right="8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320"/>
        </w:trPr>
        <w:tc>
          <w:tcPr>
            <w:tcW w:w="60" w:type="dxa"/>
            <w:vAlign w:val="bottom"/>
            <w:tcBorders>
              <w:top w:val="single" w:sz="8" w:color="E6E6E6"/>
              <w:bottom w:val="single" w:sz="8" w:color="E6E6E6"/>
            </w:tcBorders>
          </w:tcPr>
          <w:p>
            <w:pPr>
              <w:spacing w:after="0"/>
              <w:rPr>
                <w:sz w:val="24"/>
                <w:szCs w:val="24"/>
                <w:color w:val="auto"/>
              </w:rPr>
            </w:pPr>
          </w:p>
        </w:tc>
        <w:tc>
          <w:tcPr>
            <w:tcW w:w="4140" w:type="dxa"/>
            <w:vAlign w:val="bottom"/>
            <w:tcBorders>
              <w:top w:val="single" w:sz="8" w:color="E6E6E6"/>
              <w:bottom w:val="single" w:sz="8" w:color="E6E6E6"/>
            </w:tcBorders>
          </w:tcPr>
          <w:p>
            <w:pPr>
              <w:ind w:left="3340"/>
              <w:spacing w:after="0"/>
              <w:rPr>
                <w:sz w:val="20"/>
                <w:szCs w:val="20"/>
                <w:color w:val="auto"/>
              </w:rPr>
            </w:pPr>
            <w:r>
              <w:rPr>
                <w:rFonts w:ascii="Arial" w:cs="Arial" w:eastAsia="Arial" w:hAnsi="Arial"/>
                <w:sz w:val="18"/>
                <w:szCs w:val="18"/>
                <w:color w:val="auto"/>
                <w:w w:val="98"/>
              </w:rPr>
              <w:t>7 facilities</w:t>
            </w:r>
          </w:p>
        </w:tc>
        <w:tc>
          <w:tcPr>
            <w:tcW w:w="6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4,095</w:t>
            </w:r>
          </w:p>
        </w:tc>
        <w:tc>
          <w:tcPr>
            <w:tcW w:w="120" w:type="dxa"/>
            <w:vAlign w:val="bottom"/>
            <w:tcBorders>
              <w:top w:val="single" w:sz="8" w:color="E6E6E6"/>
              <w:bottom w:val="single" w:sz="8" w:color="E6E6E6"/>
            </w:tcBorders>
          </w:tcPr>
          <w:p>
            <w:pPr>
              <w:spacing w:after="0"/>
              <w:rPr>
                <w:sz w:val="24"/>
                <w:szCs w:val="24"/>
                <w:color w:val="auto"/>
              </w:rPr>
            </w:pPr>
          </w:p>
        </w:tc>
        <w:tc>
          <w:tcPr>
            <w:tcW w:w="3840" w:type="dxa"/>
            <w:vAlign w:val="bottom"/>
            <w:tcBorders>
              <w:top w:val="single" w:sz="8" w:color="E6E6E6"/>
              <w:bottom w:val="single" w:sz="8" w:color="E6E6E6"/>
            </w:tcBorders>
            <w:gridSpan w:val="3"/>
          </w:tcPr>
          <w:p>
            <w:pPr>
              <w:spacing w:after="0"/>
              <w:rPr>
                <w:sz w:val="20"/>
                <w:szCs w:val="20"/>
                <w:color w:val="auto"/>
              </w:rPr>
            </w:pPr>
            <w:r>
              <w:rPr>
                <w:rFonts w:ascii="Arial" w:cs="Arial" w:eastAsia="Arial" w:hAnsi="Arial"/>
                <w:sz w:val="18"/>
                <w:szCs w:val="18"/>
                <w:color w:val="auto"/>
              </w:rPr>
              <w:t>Two Harbors, MN</w:t>
            </w:r>
          </w:p>
        </w:tc>
        <w:tc>
          <w:tcPr>
            <w:tcW w:w="600" w:type="dxa"/>
            <w:vAlign w:val="bottom"/>
            <w:tcBorders>
              <w:top w:val="single" w:sz="8" w:color="E6E6E6"/>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5"/>
        </w:trPr>
        <w:tc>
          <w:tcPr>
            <w:tcW w:w="60" w:type="dxa"/>
            <w:vAlign w:val="bottom"/>
            <w:tcBorders>
              <w:bottom w:val="single" w:sz="8" w:color="E6E6E6"/>
            </w:tcBorders>
            <w:shd w:val="clear" w:color="auto" w:fill="E6E6E6"/>
          </w:tcPr>
          <w:p>
            <w:pPr>
              <w:spacing w:after="0"/>
              <w:rPr>
                <w:sz w:val="20"/>
                <w:szCs w:val="20"/>
                <w:color w:val="auto"/>
              </w:rPr>
            </w:pPr>
          </w:p>
        </w:tc>
        <w:tc>
          <w:tcPr>
            <w:tcW w:w="4140" w:type="dxa"/>
            <w:vAlign w:val="bottom"/>
            <w:tcBorders>
              <w:bottom w:val="single" w:sz="8" w:color="E6E6E6"/>
            </w:tcBorders>
            <w:shd w:val="clear" w:color="auto" w:fill="E6E6E6"/>
          </w:tcPr>
          <w:p>
            <w:pPr>
              <w:spacing w:after="0"/>
              <w:rPr>
                <w:sz w:val="20"/>
                <w:szCs w:val="20"/>
                <w:color w:val="auto"/>
              </w:rPr>
            </w:pPr>
          </w:p>
        </w:tc>
        <w:tc>
          <w:tcPr>
            <w:tcW w:w="520" w:type="dxa"/>
            <w:vAlign w:val="bottom"/>
            <w:tcBorders>
              <w:bottom w:val="single" w:sz="8" w:color="E6E6E6"/>
            </w:tcBorders>
            <w:shd w:val="clear" w:color="auto" w:fill="E6E6E6"/>
          </w:tcPr>
          <w:p>
            <w:pPr>
              <w:spacing w:after="0"/>
              <w:rPr>
                <w:sz w:val="20"/>
                <w:szCs w:val="20"/>
                <w:color w:val="auto"/>
              </w:rPr>
            </w:pPr>
          </w:p>
        </w:tc>
        <w:tc>
          <w:tcPr>
            <w:tcW w:w="80" w:type="dxa"/>
            <w:vAlign w:val="bottom"/>
            <w:tcBorders>
              <w:bottom w:val="single" w:sz="8" w:color="E6E6E6"/>
            </w:tcBorders>
            <w:shd w:val="clear" w:color="auto" w:fill="E6E6E6"/>
          </w:tcPr>
          <w:p>
            <w:pPr>
              <w:spacing w:after="0"/>
              <w:rPr>
                <w:sz w:val="20"/>
                <w:szCs w:val="20"/>
                <w:color w:val="auto"/>
              </w:rPr>
            </w:pPr>
          </w:p>
        </w:tc>
        <w:tc>
          <w:tcPr>
            <w:tcW w:w="120" w:type="dxa"/>
            <w:vAlign w:val="bottom"/>
            <w:tcBorders>
              <w:bottom w:val="single" w:sz="8" w:color="E6E6E6"/>
            </w:tcBorders>
            <w:shd w:val="clear" w:color="auto" w:fill="E6E6E6"/>
          </w:tcPr>
          <w:p>
            <w:pPr>
              <w:spacing w:after="0"/>
              <w:rPr>
                <w:sz w:val="20"/>
                <w:szCs w:val="20"/>
                <w:color w:val="auto"/>
              </w:rPr>
            </w:pPr>
          </w:p>
        </w:tc>
        <w:tc>
          <w:tcPr>
            <w:tcW w:w="182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E6E6E6"/>
            </w:tcBorders>
            <w:shd w:val="clear" w:color="auto" w:fill="E6E6E6"/>
          </w:tcPr>
          <w:p>
            <w:pPr>
              <w:spacing w:after="0"/>
              <w:rPr>
                <w:sz w:val="20"/>
                <w:szCs w:val="20"/>
                <w:color w:val="auto"/>
              </w:rPr>
            </w:pPr>
          </w:p>
        </w:tc>
        <w:tc>
          <w:tcPr>
            <w:tcW w:w="2000" w:type="dxa"/>
            <w:vAlign w:val="bottom"/>
            <w:tcBorders>
              <w:bottom w:val="single" w:sz="8" w:color="E6E6E6"/>
            </w:tcBorders>
            <w:shd w:val="clear" w:color="auto" w:fill="E6E6E6"/>
          </w:tcPr>
          <w:p>
            <w:pPr>
              <w:ind w:left="1200"/>
              <w:spacing w:after="0"/>
              <w:rPr>
                <w:sz w:val="20"/>
                <w:szCs w:val="20"/>
                <w:color w:val="auto"/>
              </w:rPr>
            </w:pPr>
            <w:r>
              <w:rPr>
                <w:rFonts w:ascii="Arial" w:cs="Arial" w:eastAsia="Arial" w:hAnsi="Arial"/>
                <w:sz w:val="18"/>
                <w:szCs w:val="18"/>
                <w:color w:val="auto"/>
                <w:w w:val="98"/>
              </w:rPr>
              <w:t>8 facilities</w:t>
            </w:r>
          </w:p>
        </w:tc>
        <w:tc>
          <w:tcPr>
            <w:tcW w:w="600" w:type="dxa"/>
            <w:vAlign w:val="bottom"/>
            <w:tcBorders>
              <w:bottom w:val="single" w:sz="8" w:color="auto"/>
            </w:tcBorders>
            <w:gridSpan w:val="3"/>
            <w:shd w:val="clear" w:color="auto" w:fill="E6E6E6"/>
          </w:tcPr>
          <w:p>
            <w:pPr>
              <w:jc w:val="right"/>
              <w:ind w:right="8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0"/>
        </w:trPr>
        <w:tc>
          <w:tcPr>
            <w:tcW w:w="60" w:type="dxa"/>
            <w:vAlign w:val="bottom"/>
            <w:tcBorders>
              <w:top w:val="single" w:sz="8" w:color="E6E6E6"/>
            </w:tcBorders>
          </w:tcPr>
          <w:p>
            <w:pPr>
              <w:spacing w:after="0" w:line="20" w:lineRule="exact"/>
              <w:rPr>
                <w:sz w:val="1"/>
                <w:szCs w:val="1"/>
                <w:color w:val="auto"/>
              </w:rPr>
            </w:pPr>
          </w:p>
        </w:tc>
        <w:tc>
          <w:tcPr>
            <w:tcW w:w="4140" w:type="dxa"/>
            <w:vAlign w:val="bottom"/>
            <w:tcBorders>
              <w:top w:val="single" w:sz="8" w:color="E6E6E6"/>
            </w:tcBorders>
            <w:vMerge w:val="restart"/>
          </w:tcPr>
          <w:p>
            <w:pPr>
              <w:spacing w:after="0"/>
              <w:rPr>
                <w:sz w:val="20"/>
                <w:szCs w:val="20"/>
                <w:color w:val="auto"/>
              </w:rPr>
            </w:pPr>
            <w:r>
              <w:rPr>
                <w:rFonts w:ascii="Arial" w:cs="Arial" w:eastAsia="Arial" w:hAnsi="Arial"/>
                <w:sz w:val="18"/>
                <w:szCs w:val="18"/>
                <w:b w:val="1"/>
                <w:bCs w:val="1"/>
                <w:color w:val="auto"/>
              </w:rPr>
              <w:t>South America</w:t>
            </w:r>
          </w:p>
        </w:tc>
        <w:tc>
          <w:tcPr>
            <w:tcW w:w="520" w:type="dxa"/>
            <w:vAlign w:val="bottom"/>
            <w:tcBorders>
              <w:top w:val="single" w:sz="8" w:color="E6E6E6"/>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120" w:type="dxa"/>
            <w:vAlign w:val="bottom"/>
            <w:tcBorders>
              <w:top w:val="single" w:sz="8" w:color="E6E6E6"/>
            </w:tcBorders>
          </w:tcPr>
          <w:p>
            <w:pPr>
              <w:spacing w:after="0" w:line="20" w:lineRule="exact"/>
              <w:rPr>
                <w:sz w:val="1"/>
                <w:szCs w:val="1"/>
                <w:color w:val="auto"/>
              </w:rPr>
            </w:pPr>
          </w:p>
        </w:tc>
        <w:tc>
          <w:tcPr>
            <w:tcW w:w="4440" w:type="dxa"/>
            <w:vAlign w:val="bottom"/>
            <w:tcBorders>
              <w:top w:val="single" w:sz="8" w:color="E6E6E6"/>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4140" w:type="dxa"/>
            <w:vAlign w:val="bottom"/>
            <w:tcBorders>
              <w:top w:val="single" w:sz="8" w:color="E6E6E6"/>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40" w:type="dxa"/>
            <w:vAlign w:val="bottom"/>
            <w:gridSpan w:val="3"/>
          </w:tcPr>
          <w:p>
            <w:pPr>
              <w:spacing w:after="0" w:line="170" w:lineRule="exact"/>
              <w:rPr>
                <w:sz w:val="20"/>
                <w:szCs w:val="20"/>
                <w:color w:val="auto"/>
              </w:rPr>
            </w:pPr>
            <w:r>
              <w:rPr>
                <w:rFonts w:ascii="Arial" w:cs="Arial" w:eastAsia="Arial" w:hAnsi="Arial"/>
                <w:sz w:val="18"/>
                <w:szCs w:val="18"/>
                <w:color w:val="auto"/>
                <w:w w:val="94"/>
              </w:rPr>
              <w:t>Siding finishing facilities - 3/8” basis, million square</w:t>
            </w:r>
          </w:p>
        </w:tc>
        <w:tc>
          <w:tcPr>
            <w:tcW w:w="600" w:type="dxa"/>
            <w:vAlign w:val="bottom"/>
            <w:tcBorders>
              <w:top w:val="single" w:sz="8" w:color="auto"/>
            </w:tcBorders>
            <w:gridSpan w:val="3"/>
          </w:tcPr>
          <w:p>
            <w:pPr>
              <w:jc w:val="right"/>
              <w:ind w:right="340"/>
              <w:spacing w:after="0" w:line="170" w:lineRule="exact"/>
              <w:rPr>
                <w:sz w:val="20"/>
                <w:szCs w:val="20"/>
                <w:color w:val="auto"/>
              </w:rPr>
            </w:pPr>
            <w:r>
              <w:rPr>
                <w:rFonts w:ascii="Arial" w:cs="Arial" w:eastAsia="Arial" w:hAnsi="Arial"/>
                <w:sz w:val="18"/>
                <w:szCs w:val="18"/>
                <w:color w:val="auto"/>
                <w:w w:val="79"/>
              </w:rPr>
              <w:t>feet</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4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E6E6E6"/>
          </w:tcPr>
          <w:p>
            <w:pPr>
              <w:spacing w:after="0"/>
              <w:rPr>
                <w:sz w:val="19"/>
                <w:szCs w:val="19"/>
                <w:color w:val="auto"/>
              </w:rPr>
            </w:pPr>
          </w:p>
        </w:tc>
        <w:tc>
          <w:tcPr>
            <w:tcW w:w="4860" w:type="dxa"/>
            <w:vAlign w:val="bottom"/>
            <w:gridSpan w:val="4"/>
            <w:shd w:val="clear" w:color="auto" w:fill="E6E6E6"/>
          </w:tcPr>
          <w:p>
            <w:pPr>
              <w:spacing w:after="0"/>
              <w:rPr>
                <w:sz w:val="20"/>
                <w:szCs w:val="20"/>
                <w:color w:val="auto"/>
              </w:rPr>
            </w:pPr>
            <w:r>
              <w:rPr>
                <w:rFonts w:ascii="Arial" w:cs="Arial" w:eastAsia="Arial" w:hAnsi="Arial"/>
                <w:sz w:val="18"/>
                <w:szCs w:val="18"/>
                <w:color w:val="auto"/>
                <w:w w:val="96"/>
              </w:rPr>
              <w:t>OSB/Siding production facilities - 3/8” basis, million square feet</w:t>
            </w:r>
          </w:p>
        </w:tc>
        <w:tc>
          <w:tcPr>
            <w:tcW w:w="3840" w:type="dxa"/>
            <w:vAlign w:val="bottom"/>
            <w:gridSpan w:val="3"/>
            <w:shd w:val="clear" w:color="auto" w:fill="E6E6E6"/>
          </w:tcPr>
          <w:p>
            <w:pPr>
              <w:spacing w:after="0"/>
              <w:rPr>
                <w:sz w:val="20"/>
                <w:szCs w:val="20"/>
                <w:color w:val="auto"/>
              </w:rPr>
            </w:pPr>
            <w:r>
              <w:rPr>
                <w:rFonts w:ascii="Arial" w:cs="Arial" w:eastAsia="Arial" w:hAnsi="Arial"/>
                <w:sz w:val="18"/>
                <w:szCs w:val="18"/>
                <w:color w:val="auto"/>
              </w:rPr>
              <w:t>Bath, NY</w:t>
            </w:r>
          </w:p>
        </w:tc>
        <w:tc>
          <w:tcPr>
            <w:tcW w:w="600" w:type="dxa"/>
            <w:vAlign w:val="bottom"/>
            <w:gridSpan w:val="3"/>
            <w:shd w:val="clear" w:color="auto" w:fill="E6E6E6"/>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61"/>
        </w:trPr>
        <w:tc>
          <w:tcPr>
            <w:tcW w:w="60" w:type="dxa"/>
            <w:vAlign w:val="bottom"/>
            <w:tcBorders>
              <w:top w:val="single" w:sz="8" w:color="E6E6E6"/>
            </w:tcBorders>
            <w:shd w:val="clear" w:color="auto" w:fill="E6E6E6"/>
          </w:tcPr>
          <w:p>
            <w:pPr>
              <w:spacing w:after="0"/>
              <w:rPr>
                <w:sz w:val="5"/>
                <w:szCs w:val="5"/>
                <w:color w:val="auto"/>
              </w:rPr>
            </w:pPr>
          </w:p>
        </w:tc>
        <w:tc>
          <w:tcPr>
            <w:tcW w:w="4140" w:type="dxa"/>
            <w:vAlign w:val="bottom"/>
            <w:tcBorders>
              <w:top w:val="single" w:sz="8" w:color="auto"/>
            </w:tcBorders>
            <w:shd w:val="clear" w:color="auto" w:fill="E6E6E6"/>
          </w:tcPr>
          <w:p>
            <w:pPr>
              <w:spacing w:after="0"/>
              <w:rPr>
                <w:sz w:val="5"/>
                <w:szCs w:val="5"/>
                <w:color w:val="auto"/>
              </w:rPr>
            </w:pPr>
          </w:p>
        </w:tc>
        <w:tc>
          <w:tcPr>
            <w:tcW w:w="520" w:type="dxa"/>
            <w:vAlign w:val="bottom"/>
            <w:tcBorders>
              <w:top w:val="single" w:sz="8" w:color="auto"/>
            </w:tcBorders>
            <w:shd w:val="clear" w:color="auto" w:fill="E6E6E6"/>
          </w:tcPr>
          <w:p>
            <w:pPr>
              <w:spacing w:after="0"/>
              <w:rPr>
                <w:sz w:val="5"/>
                <w:szCs w:val="5"/>
                <w:color w:val="auto"/>
              </w:rPr>
            </w:pPr>
          </w:p>
        </w:tc>
        <w:tc>
          <w:tcPr>
            <w:tcW w:w="80" w:type="dxa"/>
            <w:vAlign w:val="bottom"/>
            <w:tcBorders>
              <w:top w:val="single" w:sz="8" w:color="E6E6E6"/>
            </w:tcBorders>
            <w:shd w:val="clear" w:color="auto" w:fill="E6E6E6"/>
          </w:tcPr>
          <w:p>
            <w:pPr>
              <w:spacing w:after="0"/>
              <w:rPr>
                <w:sz w:val="5"/>
                <w:szCs w:val="5"/>
                <w:color w:val="auto"/>
              </w:rPr>
            </w:pPr>
          </w:p>
        </w:tc>
        <w:tc>
          <w:tcPr>
            <w:tcW w:w="120" w:type="dxa"/>
            <w:vAlign w:val="bottom"/>
            <w:tcBorders>
              <w:top w:val="single" w:sz="8" w:color="E6E6E6"/>
            </w:tcBorders>
            <w:shd w:val="clear" w:color="auto" w:fill="E6E6E6"/>
          </w:tcPr>
          <w:p>
            <w:pPr>
              <w:spacing w:after="0"/>
              <w:rPr>
                <w:sz w:val="5"/>
                <w:szCs w:val="5"/>
                <w:color w:val="auto"/>
              </w:rPr>
            </w:pPr>
          </w:p>
        </w:tc>
        <w:tc>
          <w:tcPr>
            <w:tcW w:w="1820" w:type="dxa"/>
            <w:vAlign w:val="bottom"/>
            <w:tcBorders>
              <w:top w:val="single" w:sz="8" w:color="E6E6E6"/>
            </w:tcBorders>
            <w:shd w:val="clear" w:color="auto" w:fill="E6E6E6"/>
          </w:tcPr>
          <w:p>
            <w:pPr>
              <w:spacing w:after="0"/>
              <w:rPr>
                <w:sz w:val="5"/>
                <w:szCs w:val="5"/>
                <w:color w:val="auto"/>
              </w:rPr>
            </w:pPr>
          </w:p>
        </w:tc>
        <w:tc>
          <w:tcPr>
            <w:tcW w:w="20" w:type="dxa"/>
            <w:vAlign w:val="bottom"/>
            <w:tcBorders>
              <w:top w:val="single" w:sz="8" w:color="E6E6E6"/>
            </w:tcBorders>
            <w:shd w:val="clear" w:color="auto" w:fill="E6E6E6"/>
          </w:tcPr>
          <w:p>
            <w:pPr>
              <w:spacing w:after="0"/>
              <w:rPr>
                <w:sz w:val="5"/>
                <w:szCs w:val="5"/>
                <w:color w:val="auto"/>
              </w:rPr>
            </w:pPr>
          </w:p>
        </w:tc>
        <w:tc>
          <w:tcPr>
            <w:tcW w:w="2000" w:type="dxa"/>
            <w:vAlign w:val="bottom"/>
            <w:tcBorders>
              <w:top w:val="single" w:sz="8" w:color="E6E6E6"/>
            </w:tcBorders>
            <w:shd w:val="clear" w:color="auto" w:fill="E6E6E6"/>
          </w:tcPr>
          <w:p>
            <w:pPr>
              <w:spacing w:after="0"/>
              <w:rPr>
                <w:sz w:val="5"/>
                <w:szCs w:val="5"/>
                <w:color w:val="auto"/>
              </w:rPr>
            </w:pPr>
          </w:p>
        </w:tc>
        <w:tc>
          <w:tcPr>
            <w:tcW w:w="260" w:type="dxa"/>
            <w:vAlign w:val="bottom"/>
            <w:tcBorders>
              <w:top w:val="single" w:sz="8" w:color="E6E6E6"/>
            </w:tcBorders>
            <w:shd w:val="clear" w:color="auto" w:fill="E6E6E6"/>
          </w:tcPr>
          <w:p>
            <w:pPr>
              <w:spacing w:after="0"/>
              <w:rPr>
                <w:sz w:val="5"/>
                <w:szCs w:val="5"/>
                <w:color w:val="auto"/>
              </w:rPr>
            </w:pPr>
          </w:p>
        </w:tc>
        <w:tc>
          <w:tcPr>
            <w:tcW w:w="160" w:type="dxa"/>
            <w:vAlign w:val="bottom"/>
            <w:tcBorders>
              <w:top w:val="single" w:sz="8" w:color="E6E6E6"/>
            </w:tcBorders>
            <w:shd w:val="clear" w:color="auto" w:fill="E6E6E6"/>
          </w:tcPr>
          <w:p>
            <w:pPr>
              <w:spacing w:after="0"/>
              <w:rPr>
                <w:sz w:val="5"/>
                <w:szCs w:val="5"/>
                <w:color w:val="auto"/>
              </w:rPr>
            </w:pPr>
          </w:p>
        </w:tc>
        <w:tc>
          <w:tcPr>
            <w:tcW w:w="180" w:type="dxa"/>
            <w:vAlign w:val="bottom"/>
            <w:tcBorders>
              <w:top w:val="single" w:sz="8" w:color="E6E6E6"/>
            </w:tcBorders>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Lautaro, Chile</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2"/>
                <w:szCs w:val="22"/>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Green Bay, WI</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4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60" w:type="dxa"/>
            <w:vAlign w:val="bottom"/>
            <w:tcBorders>
              <w:bottom w:val="single" w:sz="8" w:color="E6E6E6"/>
            </w:tcBorders>
            <w:shd w:val="clear" w:color="auto" w:fill="E6E6E6"/>
          </w:tcPr>
          <w:p>
            <w:pPr>
              <w:spacing w:after="0"/>
              <w:rPr>
                <w:sz w:val="24"/>
                <w:szCs w:val="24"/>
                <w:color w:val="auto"/>
              </w:rPr>
            </w:pPr>
          </w:p>
        </w:tc>
        <w:tc>
          <w:tcPr>
            <w:tcW w:w="414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8"/>
                <w:szCs w:val="18"/>
                <w:color w:val="auto"/>
              </w:rPr>
              <w:t>Panguipulli, Chile</w:t>
            </w:r>
          </w:p>
        </w:tc>
        <w:tc>
          <w:tcPr>
            <w:tcW w:w="600" w:type="dxa"/>
            <w:vAlign w:val="bottom"/>
            <w:tcBorders>
              <w:bottom w:val="single" w:sz="8" w:color="E6E6E6"/>
            </w:tcBorders>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E6E6E6"/>
            </w:tcBorders>
            <w:shd w:val="clear" w:color="auto" w:fill="E6E6E6"/>
          </w:tcPr>
          <w:p>
            <w:pPr>
              <w:spacing w:after="0"/>
              <w:rPr>
                <w:sz w:val="24"/>
                <w:szCs w:val="24"/>
                <w:color w:val="auto"/>
              </w:rPr>
            </w:pPr>
          </w:p>
        </w:tc>
        <w:tc>
          <w:tcPr>
            <w:tcW w:w="3840" w:type="dxa"/>
            <w:vAlign w:val="bottom"/>
            <w:tcBorders>
              <w:bottom w:val="single" w:sz="8" w:color="E6E6E6"/>
            </w:tcBorders>
            <w:gridSpan w:val="3"/>
            <w:shd w:val="clear" w:color="auto" w:fill="E6E6E6"/>
          </w:tcPr>
          <w:p>
            <w:pPr>
              <w:spacing w:after="0"/>
              <w:rPr>
                <w:sz w:val="20"/>
                <w:szCs w:val="20"/>
                <w:color w:val="auto"/>
              </w:rPr>
            </w:pPr>
            <w:r>
              <w:rPr>
                <w:rFonts w:ascii="Arial" w:cs="Arial" w:eastAsia="Arial" w:hAnsi="Arial"/>
                <w:sz w:val="18"/>
                <w:szCs w:val="18"/>
                <w:color w:val="auto"/>
              </w:rPr>
              <w:t>Roaring River, NC</w:t>
            </w:r>
          </w:p>
        </w:tc>
        <w:tc>
          <w:tcPr>
            <w:tcW w:w="600" w:type="dxa"/>
            <w:vAlign w:val="bottom"/>
            <w:tcBorders>
              <w:bottom w:val="single" w:sz="8" w:color="E6E6E6"/>
            </w:tcBorders>
            <w:gridSpan w:val="3"/>
            <w:shd w:val="clear" w:color="auto" w:fill="E6E6E6"/>
          </w:tcPr>
          <w:p>
            <w:pPr>
              <w:jc w:val="right"/>
              <w:ind w:right="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20"/>
        </w:trPr>
        <w:tc>
          <w:tcPr>
            <w:tcW w:w="60" w:type="dxa"/>
            <w:vAlign w:val="bottom"/>
            <w:tcBorders>
              <w:top w:val="single" w:sz="8" w:color="E6E6E6"/>
              <w:bottom w:val="single" w:sz="8" w:color="E6E6E6"/>
            </w:tcBorders>
          </w:tcPr>
          <w:p>
            <w:pPr>
              <w:spacing w:after="0"/>
              <w:rPr>
                <w:sz w:val="24"/>
                <w:szCs w:val="24"/>
                <w:color w:val="auto"/>
              </w:rPr>
            </w:pPr>
          </w:p>
        </w:tc>
        <w:tc>
          <w:tcPr>
            <w:tcW w:w="4140" w:type="dxa"/>
            <w:vAlign w:val="bottom"/>
            <w:tcBorders>
              <w:top w:val="single" w:sz="8" w:color="E6E6E6"/>
              <w:bottom w:val="single" w:sz="8" w:color="E6E6E6"/>
            </w:tcBorders>
          </w:tcPr>
          <w:p>
            <w:pPr>
              <w:spacing w:after="0"/>
              <w:rPr>
                <w:sz w:val="20"/>
                <w:szCs w:val="20"/>
                <w:color w:val="auto"/>
              </w:rPr>
            </w:pPr>
            <w:r>
              <w:rPr>
                <w:rFonts w:ascii="Arial" w:cs="Arial" w:eastAsia="Arial" w:hAnsi="Arial"/>
                <w:sz w:val="18"/>
                <w:szCs w:val="18"/>
                <w:color w:val="auto"/>
              </w:rPr>
              <w:t>Ponta Grossa, Brazil</w:t>
            </w:r>
          </w:p>
        </w:tc>
        <w:tc>
          <w:tcPr>
            <w:tcW w:w="600" w:type="dxa"/>
            <w:vAlign w:val="bottom"/>
            <w:tcBorders>
              <w:top w:val="single" w:sz="8" w:color="E6E6E6"/>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330</w:t>
            </w:r>
          </w:p>
        </w:tc>
        <w:tc>
          <w:tcPr>
            <w:tcW w:w="120" w:type="dxa"/>
            <w:vAlign w:val="bottom"/>
            <w:tcBorders>
              <w:top w:val="single" w:sz="8" w:color="E6E6E6"/>
              <w:bottom w:val="single" w:sz="8" w:color="E6E6E6"/>
            </w:tcBorders>
          </w:tcPr>
          <w:p>
            <w:pPr>
              <w:spacing w:after="0"/>
              <w:rPr>
                <w:sz w:val="24"/>
                <w:szCs w:val="24"/>
                <w:color w:val="auto"/>
              </w:rPr>
            </w:pPr>
          </w:p>
        </w:tc>
        <w:tc>
          <w:tcPr>
            <w:tcW w:w="182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2000" w:type="dxa"/>
            <w:vAlign w:val="bottom"/>
            <w:tcBorders>
              <w:top w:val="single" w:sz="8" w:color="E6E6E6"/>
              <w:bottom w:val="single" w:sz="8" w:color="E6E6E6"/>
            </w:tcBorders>
          </w:tcPr>
          <w:p>
            <w:pPr>
              <w:ind w:left="1200"/>
              <w:spacing w:after="0"/>
              <w:rPr>
                <w:sz w:val="20"/>
                <w:szCs w:val="20"/>
                <w:color w:val="auto"/>
              </w:rPr>
            </w:pPr>
            <w:r>
              <w:rPr>
                <w:rFonts w:ascii="Arial" w:cs="Arial" w:eastAsia="Arial" w:hAnsi="Arial"/>
                <w:sz w:val="18"/>
                <w:szCs w:val="18"/>
                <w:color w:val="auto"/>
                <w:w w:val="98"/>
              </w:rPr>
              <w:t>3 facilities</w:t>
            </w:r>
          </w:p>
        </w:tc>
        <w:tc>
          <w:tcPr>
            <w:tcW w:w="60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5"/>
        </w:trPr>
        <w:tc>
          <w:tcPr>
            <w:tcW w:w="60" w:type="dxa"/>
            <w:vAlign w:val="bottom"/>
            <w:tcBorders>
              <w:bottom w:val="single" w:sz="8" w:color="E6E6E6"/>
            </w:tcBorders>
            <w:shd w:val="clear" w:color="auto" w:fill="E6E6E6"/>
          </w:tcPr>
          <w:p>
            <w:pPr>
              <w:spacing w:after="0"/>
              <w:rPr>
                <w:sz w:val="20"/>
                <w:szCs w:val="20"/>
                <w:color w:val="auto"/>
              </w:rPr>
            </w:pPr>
          </w:p>
        </w:tc>
        <w:tc>
          <w:tcPr>
            <w:tcW w:w="4140" w:type="dxa"/>
            <w:vAlign w:val="bottom"/>
            <w:tcBorders>
              <w:bottom w:val="single" w:sz="8" w:color="E6E6E6"/>
            </w:tcBorders>
            <w:shd w:val="clear" w:color="auto" w:fill="E6E6E6"/>
          </w:tcPr>
          <w:p>
            <w:pPr>
              <w:ind w:left="3340"/>
              <w:spacing w:after="0"/>
              <w:rPr>
                <w:sz w:val="20"/>
                <w:szCs w:val="20"/>
                <w:color w:val="auto"/>
              </w:rPr>
            </w:pPr>
            <w:r>
              <w:rPr>
                <w:rFonts w:ascii="Arial" w:cs="Arial" w:eastAsia="Arial" w:hAnsi="Arial"/>
                <w:sz w:val="18"/>
                <w:szCs w:val="18"/>
                <w:color w:val="auto"/>
                <w:w w:val="98"/>
              </w:rPr>
              <w:t>3 facilities</w:t>
            </w:r>
          </w:p>
        </w:tc>
        <w:tc>
          <w:tcPr>
            <w:tcW w:w="600" w:type="dxa"/>
            <w:vAlign w:val="bottom"/>
            <w:tcBorders>
              <w:bottom w:val="single" w:sz="8" w:color="auto"/>
            </w:tcBorders>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E6E6E6"/>
            </w:tcBorders>
            <w:shd w:val="clear" w:color="auto" w:fill="E6E6E6"/>
          </w:tcPr>
          <w:p>
            <w:pPr>
              <w:spacing w:after="0"/>
              <w:rPr>
                <w:sz w:val="20"/>
                <w:szCs w:val="20"/>
                <w:color w:val="auto"/>
              </w:rPr>
            </w:pPr>
          </w:p>
        </w:tc>
        <w:tc>
          <w:tcPr>
            <w:tcW w:w="182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E6E6E6"/>
            </w:tcBorders>
            <w:shd w:val="clear" w:color="auto" w:fill="E6E6E6"/>
          </w:tcPr>
          <w:p>
            <w:pPr>
              <w:spacing w:after="0"/>
              <w:rPr>
                <w:sz w:val="20"/>
                <w:szCs w:val="20"/>
                <w:color w:val="auto"/>
              </w:rPr>
            </w:pPr>
          </w:p>
        </w:tc>
        <w:tc>
          <w:tcPr>
            <w:tcW w:w="2000" w:type="dxa"/>
            <w:vAlign w:val="bottom"/>
            <w:tcBorders>
              <w:bottom w:val="single" w:sz="8" w:color="E6E6E6"/>
            </w:tcBorders>
            <w:shd w:val="clear" w:color="auto" w:fill="E6E6E6"/>
          </w:tcPr>
          <w:p>
            <w:pPr>
              <w:spacing w:after="0"/>
              <w:rPr>
                <w:sz w:val="20"/>
                <w:szCs w:val="20"/>
                <w:color w:val="auto"/>
              </w:rPr>
            </w:pPr>
          </w:p>
        </w:tc>
        <w:tc>
          <w:tcPr>
            <w:tcW w:w="260" w:type="dxa"/>
            <w:vAlign w:val="bottom"/>
            <w:tcBorders>
              <w:bottom w:val="single" w:sz="8" w:color="E6E6E6"/>
            </w:tcBorders>
            <w:shd w:val="clear" w:color="auto" w:fill="E6E6E6"/>
          </w:tcPr>
          <w:p>
            <w:pPr>
              <w:spacing w:after="0"/>
              <w:rPr>
                <w:sz w:val="20"/>
                <w:szCs w:val="20"/>
                <w:color w:val="auto"/>
              </w:rPr>
            </w:pPr>
          </w:p>
        </w:tc>
        <w:tc>
          <w:tcPr>
            <w:tcW w:w="160" w:type="dxa"/>
            <w:vAlign w:val="bottom"/>
            <w:tcBorders>
              <w:bottom w:val="single" w:sz="8" w:color="E6E6E6"/>
            </w:tcBorders>
            <w:shd w:val="clear" w:color="auto" w:fill="E6E6E6"/>
          </w:tcPr>
          <w:p>
            <w:pPr>
              <w:spacing w:after="0"/>
              <w:rPr>
                <w:sz w:val="20"/>
                <w:szCs w:val="20"/>
                <w:color w:val="auto"/>
              </w:rPr>
            </w:pPr>
          </w:p>
        </w:tc>
        <w:tc>
          <w:tcPr>
            <w:tcW w:w="180" w:type="dxa"/>
            <w:vAlign w:val="bottom"/>
            <w:tcBorders>
              <w:bottom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E6E6E6"/>
            </w:tcBorders>
          </w:tcPr>
          <w:p>
            <w:pPr>
              <w:spacing w:after="0" w:line="20" w:lineRule="exact"/>
              <w:rPr>
                <w:sz w:val="1"/>
                <w:szCs w:val="1"/>
                <w:color w:val="auto"/>
              </w:rPr>
            </w:pPr>
          </w:p>
        </w:tc>
        <w:tc>
          <w:tcPr>
            <w:tcW w:w="4140" w:type="dxa"/>
            <w:vAlign w:val="bottom"/>
            <w:tcBorders>
              <w:top w:val="single" w:sz="8" w:color="E6E6E6"/>
            </w:tcBorders>
          </w:tcPr>
          <w:p>
            <w:pPr>
              <w:spacing w:after="0" w:line="20" w:lineRule="exact"/>
              <w:rPr>
                <w:sz w:val="1"/>
                <w:szCs w:val="1"/>
                <w:color w:val="auto"/>
              </w:rPr>
            </w:pPr>
          </w:p>
        </w:tc>
        <w:tc>
          <w:tcPr>
            <w:tcW w:w="520" w:type="dxa"/>
            <w:vAlign w:val="bottom"/>
            <w:tcBorders>
              <w:top w:val="single" w:sz="8" w:color="E6E6E6"/>
              <w:bottom w:val="single" w:sz="8" w:color="auto"/>
            </w:tcBorders>
          </w:tcPr>
          <w:p>
            <w:pPr>
              <w:spacing w:after="0" w:line="20" w:lineRule="exact"/>
              <w:rPr>
                <w:sz w:val="1"/>
                <w:szCs w:val="1"/>
                <w:color w:val="auto"/>
              </w:rPr>
            </w:pPr>
          </w:p>
        </w:tc>
        <w:tc>
          <w:tcPr>
            <w:tcW w:w="80" w:type="dxa"/>
            <w:vAlign w:val="bottom"/>
            <w:tcBorders>
              <w:top w:val="single" w:sz="8" w:color="E6E6E6"/>
              <w:bottom w:val="single" w:sz="8" w:color="auto"/>
            </w:tcBorders>
          </w:tcPr>
          <w:p>
            <w:pPr>
              <w:spacing w:after="0" w:line="20" w:lineRule="exact"/>
              <w:rPr>
                <w:sz w:val="1"/>
                <w:szCs w:val="1"/>
                <w:color w:val="auto"/>
              </w:rPr>
            </w:pPr>
          </w:p>
        </w:tc>
        <w:tc>
          <w:tcPr>
            <w:tcW w:w="120" w:type="dxa"/>
            <w:vAlign w:val="bottom"/>
            <w:tcBorders>
              <w:top w:val="single" w:sz="8" w:color="E6E6E6"/>
            </w:tcBorders>
          </w:tcPr>
          <w:p>
            <w:pPr>
              <w:spacing w:after="0" w:line="20" w:lineRule="exact"/>
              <w:rPr>
                <w:sz w:val="1"/>
                <w:szCs w:val="1"/>
                <w:color w:val="auto"/>
              </w:rPr>
            </w:pPr>
          </w:p>
        </w:tc>
        <w:tc>
          <w:tcPr>
            <w:tcW w:w="182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2000" w:type="dxa"/>
            <w:vAlign w:val="bottom"/>
            <w:tcBorders>
              <w:top w:val="single" w:sz="8" w:color="E6E6E6"/>
            </w:tcBorders>
          </w:tcPr>
          <w:p>
            <w:pPr>
              <w:spacing w:after="0" w:line="20" w:lineRule="exact"/>
              <w:rPr>
                <w:sz w:val="1"/>
                <w:szCs w:val="1"/>
                <w:color w:val="auto"/>
              </w:rPr>
            </w:pPr>
          </w:p>
        </w:tc>
        <w:tc>
          <w:tcPr>
            <w:tcW w:w="26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E6E6E6"/>
            </w:tcBorders>
          </w:tcPr>
          <w:p>
            <w:pPr>
              <w:spacing w:after="0" w:line="20" w:lineRule="exact"/>
              <w:rPr>
                <w:sz w:val="1"/>
                <w:szCs w:val="1"/>
                <w:color w:val="auto"/>
              </w:rPr>
            </w:pPr>
          </w:p>
        </w:tc>
        <w:tc>
          <w:tcPr>
            <w:tcW w:w="180" w:type="dxa"/>
            <w:vAlign w:val="bottom"/>
            <w:tcBorders>
              <w:top w:val="single" w:sz="8" w:color="E6E6E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-1555115</wp:posOffset>
            </wp:positionV>
            <wp:extent cx="40640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9">
                      <a:extLst>
                        <a:ext uri="{28A0092B-C50C-407E-A947-70E740481C1C}"/>
                      </a:extLst>
                    </a:blip>
                    <a:srcRect/>
                    <a:stretch>
                      <a:fillRect/>
                    </a:stretch>
                  </pic:blipFill>
                  <pic:spPr bwMode="auto">
                    <a:xfrm>
                      <a:off x="0" y="0"/>
                      <a:ext cx="406400" cy="25400"/>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-1377315</wp:posOffset>
            </wp:positionV>
            <wp:extent cx="406400"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0">
                      <a:extLst>
                        <a:ext uri="{28A0092B-C50C-407E-A947-70E740481C1C}"/>
                      </a:extLst>
                    </a:blip>
                    <a:srcRect/>
                    <a:stretch>
                      <a:fillRect/>
                    </a:stretch>
                  </pic:blipFill>
                  <pic:spPr bwMode="auto">
                    <a:xfrm>
                      <a:off x="0" y="0"/>
                      <a:ext cx="406400" cy="50800"/>
                    </a:xfrm>
                    <a:prstGeom prst="rect">
                      <a:avLst/>
                    </a:prstGeom>
                    <a:noFill/>
                  </pic:spPr>
                </pic:pic>
              </a:graphicData>
            </a:graphic>
          </wp:anchor>
        </w:drawing>
        <w:drawing>
          <wp:anchor simplePos="0" relativeHeight="251657728" behindDoc="1" locked="0" layoutInCell="0" allowOverlap="1">
            <wp:simplePos x="0" y="0"/>
            <wp:positionH relativeFrom="column">
              <wp:posOffset>5549900</wp:posOffset>
            </wp:positionH>
            <wp:positionV relativeFrom="paragraph">
              <wp:posOffset>-1364615</wp:posOffset>
            </wp:positionV>
            <wp:extent cx="40640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1">
                      <a:extLst>
                        <a:ext uri="{28A0092B-C50C-407E-A947-70E740481C1C}"/>
                      </a:extLst>
                    </a:blip>
                    <a:srcRect/>
                    <a:stretch>
                      <a:fillRect/>
                    </a:stretch>
                  </pic:blipFill>
                  <pic:spPr bwMode="auto">
                    <a:xfrm>
                      <a:off x="0" y="0"/>
                      <a:ext cx="406400" cy="25400"/>
                    </a:xfrm>
                    <a:prstGeom prst="rect">
                      <a:avLst/>
                    </a:prstGeom>
                    <a:noFill/>
                  </pic:spPr>
                </pic:pic>
              </a:graphicData>
            </a:graphic>
          </wp:anchor>
        </w:drawing>
        <w:drawing>
          <wp:anchor simplePos="0" relativeHeight="251657728" behindDoc="1" locked="0" layoutInCell="0" allowOverlap="1">
            <wp:simplePos x="0" y="0"/>
            <wp:positionH relativeFrom="column">
              <wp:posOffset>5549900</wp:posOffset>
            </wp:positionH>
            <wp:positionV relativeFrom="paragraph">
              <wp:posOffset>-1186815</wp:posOffset>
            </wp:positionV>
            <wp:extent cx="406400"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2">
                      <a:extLst>
                        <a:ext uri="{28A0092B-C50C-407E-A947-70E740481C1C}"/>
                      </a:extLst>
                    </a:blip>
                    <a:srcRect/>
                    <a:stretch>
                      <a:fillRect/>
                    </a:stretch>
                  </pic:blipFill>
                  <pic:spPr bwMode="auto">
                    <a:xfrm>
                      <a:off x="0" y="0"/>
                      <a:ext cx="406400" cy="50800"/>
                    </a:xfrm>
                    <a:prstGeom prst="rect">
                      <a:avLst/>
                    </a:prstGeom>
                    <a:noFill/>
                  </pic:spPr>
                </pic:pic>
              </a:graphicData>
            </a:graphic>
          </wp:anchor>
        </w:drawing>
        <w:drawing>
          <wp:anchor simplePos="0" relativeHeight="251657728" behindDoc="1" locked="0" layoutInCell="0" allowOverlap="1">
            <wp:simplePos x="0" y="0"/>
            <wp:positionH relativeFrom="column">
              <wp:posOffset>5549900</wp:posOffset>
            </wp:positionH>
            <wp:positionV relativeFrom="paragraph">
              <wp:posOffset>-412115</wp:posOffset>
            </wp:positionV>
            <wp:extent cx="40640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3">
                      <a:extLst>
                        <a:ext uri="{28A0092B-C50C-407E-A947-70E740481C1C}"/>
                      </a:extLst>
                    </a:blip>
                    <a:srcRect/>
                    <a:stretch>
                      <a:fillRect/>
                    </a:stretch>
                  </pic:blipFill>
                  <pic:spPr bwMode="auto">
                    <a:xfrm>
                      <a:off x="0" y="0"/>
                      <a:ext cx="406400" cy="25400"/>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-221615</wp:posOffset>
            </wp:positionV>
            <wp:extent cx="40640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4">
                      <a:extLst>
                        <a:ext uri="{28A0092B-C50C-407E-A947-70E740481C1C}"/>
                      </a:extLst>
                    </a:blip>
                    <a:srcRect/>
                    <a:stretch>
                      <a:fillRect/>
                    </a:stretch>
                  </pic:blipFill>
                  <pic:spPr bwMode="auto">
                    <a:xfrm>
                      <a:off x="0" y="0"/>
                      <a:ext cx="406400" cy="25400"/>
                    </a:xfrm>
                    <a:prstGeom prst="rect">
                      <a:avLst/>
                    </a:prstGeom>
                    <a:noFill/>
                  </pic:spPr>
                </pic:pic>
              </a:graphicData>
            </a:graphic>
          </wp:anchor>
        </w:drawing>
        <w:drawing>
          <wp:anchor simplePos="0" relativeHeight="251657728" behindDoc="1" locked="0" layoutInCell="0" allowOverlap="1">
            <wp:simplePos x="0" y="0"/>
            <wp:positionH relativeFrom="column">
              <wp:posOffset>5549900</wp:posOffset>
            </wp:positionH>
            <wp:positionV relativeFrom="paragraph">
              <wp:posOffset>-234315</wp:posOffset>
            </wp:positionV>
            <wp:extent cx="406400"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5">
                      <a:extLst>
                        <a:ext uri="{28A0092B-C50C-407E-A947-70E740481C1C}"/>
                      </a:extLst>
                    </a:blip>
                    <a:srcRect/>
                    <a:stretch>
                      <a:fillRect/>
                    </a:stretch>
                  </pic:blipFill>
                  <pic:spPr bwMode="auto">
                    <a:xfrm>
                      <a:off x="0" y="0"/>
                      <a:ext cx="406400" cy="50800"/>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-43815</wp:posOffset>
            </wp:positionV>
            <wp:extent cx="406400"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6">
                      <a:extLst>
                        <a:ext uri="{28A0092B-C50C-407E-A947-70E740481C1C}"/>
                      </a:extLst>
                    </a:blip>
                    <a:srcRect/>
                    <a:stretch>
                      <a:fillRect/>
                    </a:stretch>
                  </pic:blipFill>
                  <pic:spPr bwMode="auto">
                    <a:xfrm>
                      <a:off x="0" y="0"/>
                      <a:ext cx="406400" cy="50800"/>
                    </a:xfrm>
                    <a:prstGeom prst="rect">
                      <a:avLst/>
                    </a:prstGeom>
                    <a:noFill/>
                  </pic:spPr>
                </pic:pic>
              </a:graphicData>
            </a:graphic>
          </wp:anchor>
        </w:drawing>
      </w:r>
    </w:p>
    <w:p>
      <w:pPr>
        <w:spacing w:after="0" w:line="120" w:lineRule="exact"/>
        <w:rPr>
          <w:sz w:val="20"/>
          <w:szCs w:val="20"/>
          <w:color w:val="auto"/>
        </w:rPr>
      </w:pPr>
    </w:p>
    <w:p>
      <w:pPr>
        <w:jc w:val="both"/>
        <w:spacing w:after="0" w:line="250" w:lineRule="auto"/>
        <w:rPr>
          <w:sz w:val="20"/>
          <w:szCs w:val="20"/>
          <w:color w:val="auto"/>
        </w:rPr>
      </w:pPr>
      <w:r>
        <w:rPr>
          <w:rFonts w:ascii="Arial" w:cs="Arial" w:eastAsia="Arial" w:hAnsi="Arial"/>
          <w:sz w:val="10"/>
          <w:szCs w:val="10"/>
          <w:color w:val="auto"/>
        </w:rPr>
        <w:t>1</w:t>
      </w:r>
      <w:r>
        <w:rPr>
          <w:rFonts w:ascii="Arial" w:cs="Arial" w:eastAsia="Arial" w:hAnsi="Arial"/>
          <w:sz w:val="16"/>
          <w:szCs w:val="16"/>
          <w:color w:val="auto"/>
        </w:rPr>
        <w:t>The Dawson Creek, British Columbia, Canada; Hayward, WI; Houlton, ME; Sagola, MI; and Swan Valley, Manitoba, Canada plants are used in</w:t>
      </w:r>
      <w:r>
        <w:rPr>
          <w:rFonts w:ascii="Arial" w:cs="Arial" w:eastAsia="Arial" w:hAnsi="Arial"/>
          <w:sz w:val="10"/>
          <w:szCs w:val="10"/>
          <w:color w:val="auto"/>
        </w:rPr>
        <w:t xml:space="preserve"> </w:t>
      </w:r>
      <w:r>
        <w:rPr>
          <w:rFonts w:ascii="Arial" w:cs="Arial" w:eastAsia="Arial" w:hAnsi="Arial"/>
          <w:sz w:val="16"/>
          <w:szCs w:val="16"/>
          <w:color w:val="auto"/>
        </w:rPr>
        <w:t>the operations of our Siding segment but can also produce commodity OSB when market conditions warrant.</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2</w:t>
      </w:r>
      <w:r>
        <w:rPr>
          <w:rFonts w:ascii="Arial" w:cs="Arial" w:eastAsia="Arial" w:hAnsi="Arial"/>
          <w:sz w:val="16"/>
          <w:szCs w:val="16"/>
          <w:color w:val="auto"/>
        </w:rPr>
        <w:t>We own a logging operation in Maniwaki, Ontario, Canada, which supports our OSB operations at that location.</w:t>
      </w:r>
    </w:p>
    <w:p>
      <w:pPr>
        <w:sectPr>
          <w:pgSz w:w="11880" w:h="15480" w:orient="portrait"/>
          <w:cols w:equalWidth="0" w:num="1">
            <w:col w:w="9360"/>
          </w:cols>
          <w:pgMar w:left="1260" w:top="1189" w:right="126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9360"/>
          </w:cols>
          <w:pgMar w:left="1260" w:top="1189" w:right="1260" w:bottom="204" w:gutter="0" w:footer="0" w:header="0"/>
          <w:type w:val="continuous"/>
        </w:sectPr>
      </w:pPr>
    </w:p>
    <w:bookmarkStart w:id="45" w:name="page46"/>
    <w:bookmarkEnd w:id="45"/>
    <w:p>
      <w:pPr>
        <w:spacing w:after="0"/>
        <w:tabs>
          <w:tab w:leader="none" w:pos="142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5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are involved in a number of environmental proceedings and activities and may be wholly or partially responsible for known or unknown contamination existing at a number of sites at which we have conducted operations or disposed of waste. Based on the information currently available, management does not believe that any fines, penalties, or other costs or losses resulting from these matters could reasonably be expected to have a material adverse effect on our financial position, results of operations, cash flows, or liquidity.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PROCEEDINGS</w:t>
      </w:r>
    </w:p>
    <w:p>
      <w:pPr>
        <w:spacing w:after="0" w:line="25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are party to other legal proceedings in the ordinary course of business. Based on the information currently available, we do not believe that the resolution of such proceedings could reasonably be expected to have a material adverse effect on our financial position, results of operations, cash flows, or liquidity.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CONTINGENCY RESERVES</w:t>
      </w:r>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maintain reserves for the estimated cost of the legal and environmental matters referred to above. However, as with any estimate, the uncertainty of predicting the outcomes of claims, litigation and environmental investigations and remediation efforts could cause actual costs to vary materially from current estimates. Due to various uncertainties, we cannot predict to what actual degree payments will exceed the recorded liabilities related to these matters. However, it is possible that, in either the near term or the longer term, revised estimates or actual payments will significantly exceed the recorded liabilities.</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For information regarding our financial statement reserves for the estimated costs of the environmental and legal matters referred to above, see “Note 12 - Commitments and Contingencies” of the Notes to the Consolidated Financial Statements included in Item 8 in this annual report on Form 10-K.</w:t>
      </w:r>
    </w:p>
    <w:p>
      <w:pPr>
        <w:spacing w:after="0" w:line="187"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360"/>
          </w:cols>
          <w:pgMar w:left="1260" w:top="1192"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9360"/>
          </w:cols>
          <w:pgMar w:left="1260" w:top="1192" w:right="1260" w:bottom="225"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20"/>
          <w:szCs w:val="20"/>
          <w:b w:val="1"/>
          <w:bCs w:val="1"/>
          <w:color w:val="auto"/>
        </w:rPr>
        <w:t>PART II</w:t>
      </w:r>
    </w:p>
    <w:p>
      <w:pPr>
        <w:spacing w:after="0" w:line="200" w:lineRule="exact"/>
        <w:rPr>
          <w:sz w:val="20"/>
          <w:szCs w:val="20"/>
          <w:color w:val="auto"/>
        </w:rPr>
      </w:pPr>
    </w:p>
    <w:p>
      <w:pPr>
        <w:spacing w:after="0" w:line="265" w:lineRule="exact"/>
        <w:rPr>
          <w:sz w:val="20"/>
          <w:szCs w:val="20"/>
          <w:color w:val="auto"/>
        </w:rPr>
      </w:pPr>
    </w:p>
    <w:p>
      <w:pPr>
        <w:ind w:left="1440" w:right="100" w:hanging="1439"/>
        <w:spacing w:after="0" w:line="288" w:lineRule="auto"/>
        <w:tabs>
          <w:tab w:leader="none" w:pos="142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20"/>
          <w:szCs w:val="20"/>
          <w:b w:val="1"/>
          <w:bCs w:val="1"/>
          <w:i w:val="1"/>
          <w:iCs w:val="1"/>
          <w:color w:val="auto"/>
        </w:rPr>
        <w:t>Market for Registrant’s Common Equity, Related Stockholder Matters and Issuer Purchases of Equity Securities</w:t>
      </w:r>
    </w:p>
    <w:p>
      <w:pPr>
        <w:spacing w:after="0" w:line="176"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common stock of LP is listed on the New York Stock Exchange with the ticker symbol “LPX.” As of February 13, 2026, there were approximately 3,085 stockholders of record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257"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We paid quarterly cash dividends of $0.28 per share for each quarter of 2025. We paid quarterly cash dividends of $0.26 per share for each quarter of 2024. On February 13, 2026, we declared a quarterly dividend of $0.30 per share, payable on March 13, 2026, to stockholders of record as of the close of business on February 27, 2026. We will continue to review our ability to pay cash dividends on an ongoing basis, and the payment of dividends in the future is subject to the discretion of LP’s Board of Directors and is dependent upon, among other factors, our financial condition, general market and business conditions, and legal and contractual restrictions on the payment of dividends, including compliance with the terms of our Amended Credit Agreement.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5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May 2024, our Board of Directors authorized a share repurchase program under which LP was authorized to repurchase up to $250 million of its outstanding common stock (the 2024 Share Repurchase Program). We did not make any repurchases of LP common stock pursuant to the 2024 Share Repurchase program or otherwise during the quarter ended December 31, 2025. As of December 31, 2025, LP had $177 million of repurchase authorization remaining under the 2024 Share Repurchase Program. LP may initiate, discontinue, or resume purchases of its common stock under the 2024 Share Repurchase Program in the open market, in block transactions, or in privately negotiated transactions, including under Rule 10b5-1 plans, at times and in such amounts as management deems appropriate without prior notice, subject to market and business conditions, regulatory requirements, and other factors.</w:t>
      </w:r>
    </w:p>
    <w:p>
      <w:pPr>
        <w:sectPr>
          <w:pgSz w:w="11880" w:h="15480" w:orient="portrait"/>
          <w:cols w:equalWidth="0" w:num="1">
            <w:col w:w="9360"/>
          </w:cols>
          <w:pgMar w:left="1260" w:top="1190" w:right="1260" w:bottom="2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9360"/>
          </w:cols>
          <w:pgMar w:left="1260" w:top="1190" w:right="1260" w:bottom="227" w:gutter="0" w:footer="0" w:header="0"/>
          <w:type w:val="continuous"/>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PERFORMANCE GRAPH</w:t>
      </w:r>
    </w:p>
    <w:p>
      <w:pPr>
        <w:spacing w:after="0" w:line="257"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following graph compares the cumulative total stockholder return, including dividends paid (assuming reinvestment of dividends) and appreciation or depreciation in stock price, from a $100 investment in LP common stock for the period from December 31, 2020 through December 31, 2025, to the cumulative total stockholder return from a $100 investment in the Standard &amp; Poor’s 500 Stock Index and Standard &amp; Poor’s Building Products Index for the same period. Stockholders are cautioned that the graph shows the returns to investors as of the dates noted and may not be representative of the returns for any other past or future periods.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LP, the S&amp;P 500 Index and the S&amp;P Building Products Index</w:t>
      </w:r>
    </w:p>
    <w:p>
      <w:pPr>
        <w:spacing w:after="0" w:line="147" w:lineRule="exact"/>
        <w:rPr>
          <w:sz w:val="20"/>
          <w:szCs w:val="20"/>
          <w:color w:val="auto"/>
        </w:rPr>
      </w:pPr>
    </w:p>
    <w:p>
      <w:pPr>
        <w:jc w:val="right"/>
        <w:ind w:right="8040"/>
        <w:spacing w:after="0"/>
        <w:rPr>
          <w:sz w:val="20"/>
          <w:szCs w:val="20"/>
          <w:color w:val="auto"/>
        </w:rPr>
      </w:pPr>
      <w:r>
        <w:rPr>
          <w:rFonts w:ascii="Arial" w:cs="Arial" w:eastAsia="Arial" w:hAnsi="Arial"/>
          <w:sz w:val="20"/>
          <w:szCs w:val="20"/>
          <w:color w:val="auto"/>
        </w:rPr>
        <w:t>$400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-57785</wp:posOffset>
            </wp:positionV>
            <wp:extent cx="4362450" cy="1657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7">
                      <a:extLst>
                        <a:ext uri="{28A0092B-C50C-407E-A947-70E740481C1C}"/>
                      </a:extLst>
                    </a:blip>
                    <a:srcRect/>
                    <a:stretch>
                      <a:fillRect/>
                    </a:stretch>
                  </pic:blipFill>
                  <pic:spPr bwMode="auto">
                    <a:xfrm>
                      <a:off x="0" y="0"/>
                      <a:ext cx="4362450" cy="1657350"/>
                    </a:xfrm>
                    <a:prstGeom prst="rect">
                      <a:avLst/>
                    </a:prstGeom>
                    <a:noFill/>
                  </pic:spPr>
                </pic:pic>
              </a:graphicData>
            </a:graphic>
          </wp:anchor>
        </w:drawing>
      </w:r>
    </w:p>
    <w:p>
      <w:pPr>
        <w:spacing w:after="0" w:line="110" w:lineRule="exact"/>
        <w:rPr>
          <w:sz w:val="20"/>
          <w:szCs w:val="20"/>
          <w:color w:val="auto"/>
        </w:rPr>
      </w:pPr>
    </w:p>
    <w:p>
      <w:pPr>
        <w:jc w:val="right"/>
        <w:ind w:right="8040"/>
        <w:spacing w:after="0"/>
        <w:rPr>
          <w:sz w:val="20"/>
          <w:szCs w:val="20"/>
          <w:color w:val="auto"/>
        </w:rPr>
      </w:pPr>
      <w:r>
        <w:rPr>
          <w:rFonts w:ascii="Arial" w:cs="Arial" w:eastAsia="Arial" w:hAnsi="Arial"/>
          <w:sz w:val="20"/>
          <w:szCs w:val="20"/>
          <w:color w:val="auto"/>
        </w:rPr>
        <w:t>$350</w:t>
      </w:r>
    </w:p>
    <w:p>
      <w:pPr>
        <w:spacing w:after="0" w:line="130" w:lineRule="exact"/>
        <w:rPr>
          <w:sz w:val="20"/>
          <w:szCs w:val="20"/>
          <w:color w:val="auto"/>
        </w:rPr>
      </w:pPr>
    </w:p>
    <w:p>
      <w:pPr>
        <w:jc w:val="right"/>
        <w:ind w:right="8040"/>
        <w:spacing w:after="0"/>
        <w:rPr>
          <w:sz w:val="20"/>
          <w:szCs w:val="20"/>
          <w:color w:val="auto"/>
        </w:rPr>
      </w:pPr>
      <w:r>
        <w:rPr>
          <w:rFonts w:ascii="Arial" w:cs="Arial" w:eastAsia="Arial" w:hAnsi="Arial"/>
          <w:sz w:val="20"/>
          <w:szCs w:val="20"/>
          <w:color w:val="auto"/>
        </w:rPr>
        <w:t>$300</w:t>
      </w:r>
    </w:p>
    <w:p>
      <w:pPr>
        <w:spacing w:after="0" w:line="130" w:lineRule="exact"/>
        <w:rPr>
          <w:sz w:val="20"/>
          <w:szCs w:val="20"/>
          <w:color w:val="auto"/>
        </w:rPr>
      </w:pPr>
    </w:p>
    <w:p>
      <w:pPr>
        <w:jc w:val="right"/>
        <w:ind w:right="8040"/>
        <w:spacing w:after="0"/>
        <w:rPr>
          <w:sz w:val="20"/>
          <w:szCs w:val="20"/>
          <w:color w:val="auto"/>
        </w:rPr>
      </w:pPr>
      <w:r>
        <w:rPr>
          <w:rFonts w:ascii="Arial" w:cs="Arial" w:eastAsia="Arial" w:hAnsi="Arial"/>
          <w:sz w:val="20"/>
          <w:szCs w:val="20"/>
          <w:color w:val="auto"/>
        </w:rPr>
        <w:t>$250</w:t>
      </w:r>
    </w:p>
    <w:p>
      <w:pPr>
        <w:spacing w:after="0" w:line="130" w:lineRule="exact"/>
        <w:rPr>
          <w:sz w:val="20"/>
          <w:szCs w:val="20"/>
          <w:color w:val="auto"/>
        </w:rPr>
      </w:pPr>
    </w:p>
    <w:p>
      <w:pPr>
        <w:jc w:val="right"/>
        <w:ind w:right="8040"/>
        <w:spacing w:after="0"/>
        <w:rPr>
          <w:sz w:val="20"/>
          <w:szCs w:val="20"/>
          <w:color w:val="auto"/>
        </w:rPr>
      </w:pPr>
      <w:r>
        <w:rPr>
          <w:rFonts w:ascii="Arial" w:cs="Arial" w:eastAsia="Arial" w:hAnsi="Arial"/>
          <w:sz w:val="20"/>
          <w:szCs w:val="20"/>
          <w:color w:val="auto"/>
        </w:rPr>
        <w:t>$200</w:t>
      </w:r>
    </w:p>
    <w:p>
      <w:pPr>
        <w:spacing w:after="0" w:line="130" w:lineRule="exact"/>
        <w:rPr>
          <w:sz w:val="20"/>
          <w:szCs w:val="20"/>
          <w:color w:val="auto"/>
        </w:rPr>
      </w:pPr>
    </w:p>
    <w:p>
      <w:pPr>
        <w:jc w:val="right"/>
        <w:ind w:right="8040"/>
        <w:spacing w:after="0"/>
        <w:rPr>
          <w:sz w:val="20"/>
          <w:szCs w:val="20"/>
          <w:color w:val="auto"/>
        </w:rPr>
      </w:pPr>
      <w:r>
        <w:rPr>
          <w:rFonts w:ascii="Arial" w:cs="Arial" w:eastAsia="Arial" w:hAnsi="Arial"/>
          <w:sz w:val="20"/>
          <w:szCs w:val="20"/>
          <w:color w:val="auto"/>
        </w:rPr>
        <w:t>$150</w:t>
      </w:r>
    </w:p>
    <w:p>
      <w:pPr>
        <w:spacing w:after="0" w:line="130" w:lineRule="exact"/>
        <w:rPr>
          <w:sz w:val="20"/>
          <w:szCs w:val="20"/>
          <w:color w:val="auto"/>
        </w:rPr>
      </w:pPr>
    </w:p>
    <w:p>
      <w:pPr>
        <w:jc w:val="right"/>
        <w:ind w:right="8040"/>
        <w:spacing w:after="0"/>
        <w:rPr>
          <w:sz w:val="20"/>
          <w:szCs w:val="20"/>
          <w:color w:val="auto"/>
        </w:rPr>
      </w:pPr>
      <w:r>
        <w:rPr>
          <w:rFonts w:ascii="Arial" w:cs="Arial" w:eastAsia="Arial" w:hAnsi="Arial"/>
          <w:sz w:val="20"/>
          <w:szCs w:val="20"/>
          <w:color w:val="auto"/>
        </w:rPr>
        <w:t>$100</w:t>
      </w:r>
    </w:p>
    <w:p>
      <w:pPr>
        <w:spacing w:after="0" w:line="130" w:lineRule="exact"/>
        <w:rPr>
          <w:sz w:val="20"/>
          <w:szCs w:val="20"/>
          <w:color w:val="auto"/>
        </w:rPr>
      </w:pPr>
    </w:p>
    <w:p>
      <w:pPr>
        <w:jc w:val="right"/>
        <w:ind w:right="8040"/>
        <w:spacing w:after="0"/>
        <w:rPr>
          <w:sz w:val="20"/>
          <w:szCs w:val="20"/>
          <w:color w:val="auto"/>
        </w:rPr>
      </w:pPr>
      <w:r>
        <w:rPr>
          <w:rFonts w:ascii="Arial" w:cs="Arial" w:eastAsia="Arial" w:hAnsi="Arial"/>
          <w:sz w:val="20"/>
          <w:szCs w:val="20"/>
          <w:color w:val="auto"/>
        </w:rPr>
        <w:t>$50</w:t>
      </w:r>
    </w:p>
    <w:p>
      <w:pPr>
        <w:spacing w:after="0" w:line="23" w:lineRule="exact"/>
        <w:rPr>
          <w:sz w:val="20"/>
          <w:szCs w:val="20"/>
          <w:color w:val="auto"/>
        </w:rPr>
      </w:pPr>
    </w:p>
    <w:tbl>
      <w:tblPr>
        <w:tblLayout w:type="fixed"/>
        <w:tblInd w:w="1380" w:type="dxa"/>
        <w:tblCellMar>
          <w:top w:w="0" w:type="dxa"/>
          <w:left w:w="0" w:type="dxa"/>
          <w:bottom w:w="0" w:type="dxa"/>
          <w:right w:w="0" w:type="dxa"/>
        </w:tblCellMar>
      </w:tblPr>
      <w:tr>
        <w:trPr>
          <w:trHeight w:val="209"/>
        </w:trPr>
        <w:tc>
          <w:tcPr>
            <w:tcW w:w="660" w:type="dxa"/>
            <w:vAlign w:val="bottom"/>
          </w:tcPr>
          <w:p>
            <w:pPr>
              <w:jc w:val="right"/>
              <w:ind w:right="220"/>
              <w:spacing w:after="0"/>
              <w:rPr>
                <w:sz w:val="20"/>
                <w:szCs w:val="20"/>
                <w:color w:val="auto"/>
              </w:rPr>
            </w:pPr>
            <w:r>
              <w:rPr>
                <w:rFonts w:ascii="Arial" w:cs="Arial" w:eastAsia="Arial" w:hAnsi="Arial"/>
                <w:sz w:val="16"/>
                <w:szCs w:val="16"/>
                <w:color w:val="auto"/>
                <w:w w:val="84"/>
              </w:rPr>
              <w:t>12/20</w:t>
            </w:r>
          </w:p>
        </w:tc>
        <w:tc>
          <w:tcPr>
            <w:tcW w:w="1260" w:type="dxa"/>
            <w:vAlign w:val="bottom"/>
            <w:gridSpan w:val="3"/>
          </w:tcPr>
          <w:p>
            <w:pPr>
              <w:jc w:val="right"/>
              <w:ind w:right="130"/>
              <w:spacing w:after="0"/>
              <w:rPr>
                <w:sz w:val="20"/>
                <w:szCs w:val="20"/>
                <w:color w:val="auto"/>
              </w:rPr>
            </w:pPr>
            <w:r>
              <w:rPr>
                <w:rFonts w:ascii="Arial" w:cs="Arial" w:eastAsia="Arial" w:hAnsi="Arial"/>
                <w:sz w:val="16"/>
                <w:szCs w:val="16"/>
                <w:color w:val="auto"/>
              </w:rPr>
              <w:t>12/21</w:t>
            </w:r>
          </w:p>
        </w:tc>
        <w:tc>
          <w:tcPr>
            <w:tcW w:w="1480" w:type="dxa"/>
            <w:vAlign w:val="bottom"/>
            <w:gridSpan w:val="2"/>
          </w:tcPr>
          <w:p>
            <w:pPr>
              <w:jc w:val="right"/>
              <w:ind w:right="230"/>
              <w:spacing w:after="0"/>
              <w:rPr>
                <w:sz w:val="20"/>
                <w:szCs w:val="20"/>
                <w:color w:val="auto"/>
              </w:rPr>
            </w:pPr>
            <w:r>
              <w:rPr>
                <w:rFonts w:ascii="Arial" w:cs="Arial" w:eastAsia="Arial" w:hAnsi="Arial"/>
                <w:sz w:val="16"/>
                <w:szCs w:val="16"/>
                <w:color w:val="auto"/>
              </w:rPr>
              <w:t>12/22</w:t>
            </w:r>
          </w:p>
        </w:tc>
        <w:tc>
          <w:tcPr>
            <w:tcW w:w="1560" w:type="dxa"/>
            <w:vAlign w:val="bottom"/>
            <w:gridSpan w:val="2"/>
          </w:tcPr>
          <w:p>
            <w:pPr>
              <w:jc w:val="right"/>
              <w:ind w:right="430"/>
              <w:spacing w:after="0"/>
              <w:rPr>
                <w:sz w:val="20"/>
                <w:szCs w:val="20"/>
                <w:color w:val="auto"/>
              </w:rPr>
            </w:pPr>
            <w:r>
              <w:rPr>
                <w:rFonts w:ascii="Arial" w:cs="Arial" w:eastAsia="Arial" w:hAnsi="Arial"/>
                <w:sz w:val="16"/>
                <w:szCs w:val="16"/>
                <w:color w:val="auto"/>
              </w:rPr>
              <w:t>12/23</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12/24</w:t>
            </w:r>
          </w:p>
        </w:tc>
        <w:tc>
          <w:tcPr>
            <w:tcW w:w="1220" w:type="dxa"/>
            <w:vAlign w:val="bottom"/>
          </w:tcPr>
          <w:p>
            <w:pPr>
              <w:jc w:val="right"/>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66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Borders>
              <w:bottom w:val="single" w:sz="8" w:color="B4B4B4"/>
            </w:tcBorders>
          </w:tcPr>
          <w:p>
            <w:pPr>
              <w:spacing w:after="0"/>
              <w:rPr>
                <w:sz w:val="23"/>
                <w:szCs w:val="23"/>
                <w:color w:val="auto"/>
              </w:rPr>
            </w:pPr>
          </w:p>
        </w:tc>
        <w:tc>
          <w:tcPr>
            <w:tcW w:w="540" w:type="dxa"/>
            <w:vAlign w:val="bottom"/>
            <w:vMerge w:val="restart"/>
          </w:tcPr>
          <w:p>
            <w:pPr>
              <w:jc w:val="right"/>
              <w:ind w:right="230"/>
              <w:spacing w:after="0"/>
              <w:rPr>
                <w:sz w:val="20"/>
                <w:szCs w:val="20"/>
                <w:color w:val="auto"/>
              </w:rPr>
            </w:pPr>
            <w:r>
              <w:rPr>
                <w:rFonts w:ascii="Arial" w:cs="Arial" w:eastAsia="Arial" w:hAnsi="Arial"/>
                <w:sz w:val="14"/>
                <w:szCs w:val="14"/>
                <w:b w:val="1"/>
                <w:bCs w:val="1"/>
                <w:color w:val="auto"/>
              </w:rPr>
              <w:t>LP</w:t>
            </w:r>
          </w:p>
        </w:tc>
        <w:tc>
          <w:tcPr>
            <w:tcW w:w="600" w:type="dxa"/>
            <w:vAlign w:val="bottom"/>
            <w:tcBorders>
              <w:bottom w:val="single" w:sz="8" w:color="909090"/>
            </w:tcBorders>
          </w:tcPr>
          <w:p>
            <w:pPr>
              <w:spacing w:after="0"/>
              <w:rPr>
                <w:sz w:val="23"/>
                <w:szCs w:val="23"/>
                <w:color w:val="auto"/>
              </w:rPr>
            </w:pPr>
          </w:p>
        </w:tc>
        <w:tc>
          <w:tcPr>
            <w:tcW w:w="880" w:type="dxa"/>
            <w:vAlign w:val="bottom"/>
            <w:vMerge w:val="restart"/>
          </w:tcPr>
          <w:p>
            <w:pPr>
              <w:jc w:val="right"/>
              <w:ind w:right="230"/>
              <w:spacing w:after="0"/>
              <w:rPr>
                <w:sz w:val="20"/>
                <w:szCs w:val="20"/>
                <w:color w:val="auto"/>
              </w:rPr>
            </w:pPr>
            <w:r>
              <w:rPr>
                <w:rFonts w:ascii="Arial" w:cs="Arial" w:eastAsia="Arial" w:hAnsi="Arial"/>
                <w:sz w:val="14"/>
                <w:szCs w:val="14"/>
                <w:b w:val="1"/>
                <w:bCs w:val="1"/>
                <w:color w:val="auto"/>
                <w:w w:val="99"/>
              </w:rPr>
              <w:t>S&amp;P 500</w:t>
            </w:r>
          </w:p>
        </w:tc>
        <w:tc>
          <w:tcPr>
            <w:tcW w:w="600" w:type="dxa"/>
            <w:vAlign w:val="bottom"/>
            <w:tcBorders>
              <w:bottom w:val="single" w:sz="8" w:color="2D2D2D"/>
            </w:tcBorders>
          </w:tcPr>
          <w:p>
            <w:pPr>
              <w:spacing w:after="0"/>
              <w:rPr>
                <w:sz w:val="23"/>
                <w:szCs w:val="23"/>
                <w:color w:val="auto"/>
              </w:rPr>
            </w:pPr>
          </w:p>
        </w:tc>
        <w:tc>
          <w:tcPr>
            <w:tcW w:w="198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S&amp;P Building Products Index</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6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980" w:type="dxa"/>
            <w:vAlign w:val="bottom"/>
            <w:tcBorders>
              <w:right w:val="single" w:sz="8" w:color="auto"/>
            </w:tcBorders>
            <w:gridSpan w:val="2"/>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660" w:type="dxa"/>
            <w:vAlign w:val="bottom"/>
            <w:tcBorders>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80"/>
        <w:spacing w:after="0" w:line="268" w:lineRule="auto"/>
        <w:rPr>
          <w:sz w:val="20"/>
          <w:szCs w:val="20"/>
          <w:color w:val="auto"/>
        </w:rPr>
      </w:pPr>
      <w:r>
        <w:rPr>
          <w:rFonts w:ascii="Arial" w:cs="Arial" w:eastAsia="Arial" w:hAnsi="Arial"/>
          <w:sz w:val="20"/>
          <w:szCs w:val="20"/>
          <w:b w:val="1"/>
          <w:bCs w:val="1"/>
          <w:color w:val="auto"/>
        </w:rPr>
        <w:t>The graph is not deemed to be “soliciting material” and is “furnished” and shall not be deemed to be “filed” with the SEC or incorporated by reference in any filing under Exchange Act or the Securities Act, except as shall be expressly set forth by specific reference in any such filing.</w:t>
      </w:r>
    </w:p>
    <w:p>
      <w:pPr>
        <w:spacing w:after="0" w:line="188"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7"/>
          <w:szCs w:val="17"/>
          <w:b w:val="1"/>
          <w:bCs w:val="1"/>
          <w:i w:val="1"/>
          <w:iCs w:val="1"/>
          <w:color w:val="auto"/>
        </w:rPr>
        <w:t>(Reserved)</w:t>
      </w:r>
    </w:p>
    <w:p>
      <w:pPr>
        <w:spacing w:after="0" w:line="250"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58"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This Management’s Discussion and Analysis of Financial Condition and Results of Operations should be read in conjunction with our Consolidated Financial Statements and related Notes and other financial information appearing elsewhere in this annual report on Form 10-K, and with Part II, Item 7 “Management’s Discussion and Analysis of Financial Condition and Results of Operations” in our annual report on Form 10-K for our fiscal year ended December 31, 2024, filed with the SEC on February 19, 2025, which provides a discussion of our financial condition and results of operations for fiscal year 2024 compared to fiscal year 2023. The changes to our reportable segments in the current year did not have a material impact on our previously reported consolidated results of operations or financial position. Prior</w:t>
      </w:r>
      <w:r>
        <w:rPr>
          <w:rFonts w:ascii="Arial" w:cs="Arial" w:eastAsia="Arial" w:hAnsi="Arial"/>
          <w:sz w:val="19"/>
          <w:szCs w:val="19"/>
          <w:b w:val="1"/>
          <w:bCs w:val="1"/>
          <w:color w:val="auto"/>
        </w:rPr>
        <w:t>-</w:t>
      </w:r>
      <w:r>
        <w:rPr>
          <w:rFonts w:ascii="Arial" w:cs="Arial" w:eastAsia="Arial" w:hAnsi="Arial"/>
          <w:sz w:val="19"/>
          <w:szCs w:val="19"/>
          <w:color w:val="auto"/>
        </w:rPr>
        <w:t>period segment information has been recast to conform to the current period presentation. The following discussion includes forward-looking statements that are based on the beliefs of our management, as well as assumptions made by, and information currently available to, our management. We encourage you to review the risks and uncertainties described in the sections titled “Cautionary Statement Regarding Forward-Looking Statements” and “Risk Factors” above. Our historical results are not necessarily indicative of the results that may be expected for any period in the future.</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360"/>
          </w:cols>
          <w:pgMar w:left="1260" w:top="1190" w:right="1260" w:bottom="225" w:gutter="0" w:footer="0" w:header="0"/>
          <w:type w:val="continuous"/>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OVERVIEW</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To serve these markets, we operate in two reportable segments: Siding and OSB.</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In 2025, net sales dropped year over year by $233 million to $2.7 billion. Siding revenue increased by $131 million, or 8%, to $1.7 billion, attributable to 4% higher sales volumes and a 4% increase in prices. OSB revenue fell by $352 million to $832 million, primarily due to lower prices and sales volumes.</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Net income declined year over year by $275 million to $146 million ($2.08 per diluted share). The primary drivers behind this decrease were a $252 million reduction in Adjusted EBITDA, and increases of $38 million in impairment charges, $24 million in foreign currency losses, $19 million in depreciation expense, and $10 million in stock-based compensation. Additionally, the absence of $14 million in business exit credits recognized in 2024 and a $7 million decrease in investment income contributed to the overall decline. These impacts were partially offset by a $90 million reduction in the tax provision. The year-over-year decrease in Adjusted EBITDA was driven by several factors, including a $292 million adverse effect from lower OSB prices and reduced sales volumes, partially offset by $91 million from higher Siding sales volumes and improved sales mix. In addition to price and volume impacts, the change in Adjusted EBITDA included increases of $11 million in marketing investments, $9 million in selling, general, and administrative expenses, $7 million of mill overhead and inventory absorption, and $8 million in tariff costs. The remaining decrease in Adjusted EBITDA relates to a decline of $15 million in Other Adjusted EBITDA, which primarily includes LPSA, corporate, and other minor products and services. Adjusted EBITDA is a non-GAAP Financial measure. Please see "Non-GAAP Financial Measures" below for more information about our use of non-GAAP financial measures in this annual report on Form 10-K and the reconciliation of Adjusted EBITDA to net income.</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Demand for Building Products</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Demand for our products correlates positively with new home construction and repair and remodeling activity in North America, which historically have been characterized by significant cyclicality. The U.S. Census Bureau published actual U.S. housing starts data on January 9, 2026. The U.S. Census Bureau reported on January 9, 2026, that 2025 actual single-family housing starts were 6% lower than those in 2024. Actual multi-family housing starts in 2025 were about 18% higher than those in 2024. Repair and remodeling activity is difficult to reasonably measure, but many indications suggest that repair and remodeling activity has declined modestly year-over-year.</w:t>
      </w:r>
    </w:p>
    <w:p>
      <w:pPr>
        <w:spacing w:after="0" w:line="5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Future economic conditions in the United States and the demand for homes are uncertain due to inflationary impacts on the economy, including interest rates, employment levels, consumer confidence, and financial markets, among other things. Additionally, we have experienced increases in material prices, supply disruptions, and labor challenges, which we continue to address as we work to meet the demands of builders, remodelers, and homeowners worldwide. The potential effect of these factors on our future operational and financial performance is uncertain. As a result, our past performance may not be indicative of future results.</w:t>
      </w:r>
    </w:p>
    <w:p>
      <w:pPr>
        <w:sectPr>
          <w:pgSz w:w="11880" w:h="15480" w:orient="portrait"/>
          <w:cols w:equalWidth="0" w:num="1">
            <w:col w:w="9360"/>
          </w:cols>
          <w:pgMar w:left="1260" w:top="1190" w:right="1260" w:bottom="2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9360"/>
          </w:cols>
          <w:pgMar w:left="1260" w:top="1190" w:right="1260" w:bottom="224" w:gutter="0" w:footer="0" w:header="0"/>
          <w:type w:val="continuous"/>
        </w:sectPr>
      </w:pPr>
    </w:p>
    <w:bookmarkStart w:id="49" w:name="page50"/>
    <w:bookmarkEnd w:id="49"/>
    <w:p>
      <w:pPr>
        <w:jc w:val="both"/>
        <w:spacing w:after="0" w:line="266" w:lineRule="auto"/>
        <w:rPr>
          <w:sz w:val="20"/>
          <w:szCs w:val="20"/>
          <w:color w:val="auto"/>
        </w:rPr>
      </w:pPr>
      <w:r>
        <w:rPr>
          <w:rFonts w:ascii="Arial" w:cs="Arial" w:eastAsia="Arial" w:hAnsi="Arial"/>
          <w:sz w:val="20"/>
          <w:szCs w:val="20"/>
          <w:color w:val="auto"/>
        </w:rPr>
        <w:t>The chart below, which is based on data published by U.S. Census Bureau, provides a graphical summary of new housing starts for single- and multi-family in the U.S., showing actual and rolling five- and ten-year averages for housing starts (in thousands).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Housing Starts</w:t>
      </w:r>
    </w:p>
    <w:p>
      <w:pPr>
        <w:spacing w:after="0" w:line="173" w:lineRule="exact"/>
        <w:rPr>
          <w:sz w:val="20"/>
          <w:szCs w:val="20"/>
          <w:color w:val="auto"/>
        </w:rPr>
      </w:pPr>
    </w:p>
    <w:p>
      <w:pPr>
        <w:jc w:val="right"/>
        <w:ind w:right="8400"/>
        <w:spacing w:after="0"/>
        <w:rPr>
          <w:sz w:val="20"/>
          <w:szCs w:val="20"/>
          <w:color w:val="auto"/>
        </w:rPr>
      </w:pPr>
      <w:r>
        <w:rPr>
          <w:rFonts w:ascii="Arial" w:cs="Arial" w:eastAsia="Arial" w:hAnsi="Arial"/>
          <w:sz w:val="18"/>
          <w:szCs w:val="18"/>
          <w:color w:val="auto"/>
        </w:rPr>
        <w:t>1,800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756920</wp:posOffset>
                </wp:positionH>
                <wp:positionV relativeFrom="paragraph">
                  <wp:posOffset>1508760</wp:posOffset>
                </wp:positionV>
                <wp:extent cx="482917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29175" cy="4763"/>
                        </a:xfrm>
                        <a:prstGeom prst="line">
                          <a:avLst/>
                        </a:prstGeom>
                        <a:solidFill>
                          <a:srgbClr val="FFFFFF"/>
                        </a:solidFill>
                        <a:ln w="9525">
                          <a:solidFill>
                            <a:srgbClr val="E6E6E6"/>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6pt,118.8pt" to="439.85pt,118.8pt" o:allowincell="f" strokecolor="#E6E6E6" strokeweight="0.75pt"/>
            </w:pict>
          </mc:Fallback>
        </mc:AlternateContent>
        <mc:AlternateContent>
          <mc:Choice Requires="wps">
            <w:drawing>
              <wp:anchor simplePos="0" relativeHeight="251657728" behindDoc="1" locked="0" layoutInCell="0" allowOverlap="1">
                <wp:simplePos x="0" y="0"/>
                <wp:positionH relativeFrom="column">
                  <wp:posOffset>756920</wp:posOffset>
                </wp:positionH>
                <wp:positionV relativeFrom="paragraph">
                  <wp:posOffset>-62230</wp:posOffset>
                </wp:positionV>
                <wp:extent cx="482917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29175" cy="4763"/>
                        </a:xfrm>
                        <a:prstGeom prst="line">
                          <a:avLst/>
                        </a:prstGeom>
                        <a:solidFill>
                          <a:srgbClr val="FFFFFF"/>
                        </a:solidFill>
                        <a:ln w="9525">
                          <a:solidFill>
                            <a:srgbClr val="E6E6E6"/>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6pt,-4.8999pt" to="439.85pt,-4.8999pt" o:allowincell="f" strokecolor="#E6E6E6" strokeweight="0.75pt"/>
            </w:pict>
          </mc:Fallback>
        </mc:AlternateContent>
        <mc:AlternateContent>
          <mc:Choice Requires="wps">
            <w:drawing>
              <wp:anchor simplePos="0" relativeHeight="251657728" behindDoc="1" locked="0" layoutInCell="0" allowOverlap="1">
                <wp:simplePos x="0" y="0"/>
                <wp:positionH relativeFrom="column">
                  <wp:posOffset>989965</wp:posOffset>
                </wp:positionH>
                <wp:positionV relativeFrom="paragraph">
                  <wp:posOffset>1504315</wp:posOffset>
                </wp:positionV>
                <wp:extent cx="0" cy="5715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0"/>
                        </a:xfrm>
                        <a:prstGeom prst="line">
                          <a:avLst/>
                        </a:prstGeom>
                        <a:solidFill>
                          <a:srgbClr val="FFFFFF"/>
                        </a:solidFill>
                        <a:ln w="9525">
                          <a:solidFill>
                            <a:srgbClr val="8A8A8A"/>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95pt,118.45pt" to="77.95pt,122.95pt" o:allowincell="f" strokecolor="#8A8A8A" strokeweight="0.75pt"/>
            </w:pict>
          </mc:Fallback>
        </mc:AlternateContent>
        <mc:AlternateContent>
          <mc:Choice Requires="wps">
            <w:drawing>
              <wp:anchor simplePos="0" relativeHeight="251657728" behindDoc="1" locked="0" layoutInCell="0" allowOverlap="1">
                <wp:simplePos x="0" y="0"/>
                <wp:positionH relativeFrom="column">
                  <wp:posOffset>1475740</wp:posOffset>
                </wp:positionH>
                <wp:positionV relativeFrom="paragraph">
                  <wp:posOffset>1504315</wp:posOffset>
                </wp:positionV>
                <wp:extent cx="0" cy="5715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0"/>
                        </a:xfrm>
                        <a:prstGeom prst="line">
                          <a:avLst/>
                        </a:prstGeom>
                        <a:solidFill>
                          <a:srgbClr val="FFFFFF"/>
                        </a:solidFill>
                        <a:ln w="9525">
                          <a:solidFill>
                            <a:srgbClr val="8A8A8A"/>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2pt,118.45pt" to="116.2pt,122.95pt" o:allowincell="f" strokecolor="#8A8A8A" strokeweight="0.75pt"/>
            </w:pict>
          </mc:Fallback>
        </mc:AlternateContent>
        <mc:AlternateContent>
          <mc:Choice Requires="wps">
            <w:drawing>
              <wp:anchor simplePos="0" relativeHeight="251657728" behindDoc="1" locked="0" layoutInCell="0" allowOverlap="1">
                <wp:simplePos x="0" y="0"/>
                <wp:positionH relativeFrom="column">
                  <wp:posOffset>1961515</wp:posOffset>
                </wp:positionH>
                <wp:positionV relativeFrom="paragraph">
                  <wp:posOffset>1504315</wp:posOffset>
                </wp:positionV>
                <wp:extent cx="0" cy="5715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0"/>
                        </a:xfrm>
                        <a:prstGeom prst="line">
                          <a:avLst/>
                        </a:prstGeom>
                        <a:solidFill>
                          <a:srgbClr val="FFFFFF"/>
                        </a:solidFill>
                        <a:ln w="9525">
                          <a:solidFill>
                            <a:srgbClr val="8A8A8A"/>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4.45pt,118.45pt" to="154.45pt,122.95pt" o:allowincell="f" strokecolor="#8A8A8A" strokeweight="0.75pt"/>
            </w:pict>
          </mc:Fallback>
        </mc:AlternateContent>
        <mc:AlternateContent>
          <mc:Choice Requires="wps">
            <w:drawing>
              <wp:anchor simplePos="0" relativeHeight="251657728" behindDoc="1" locked="0" layoutInCell="0" allowOverlap="1">
                <wp:simplePos x="0" y="0"/>
                <wp:positionH relativeFrom="column">
                  <wp:posOffset>2437765</wp:posOffset>
                </wp:positionH>
                <wp:positionV relativeFrom="paragraph">
                  <wp:posOffset>1504315</wp:posOffset>
                </wp:positionV>
                <wp:extent cx="0" cy="5715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0"/>
                        </a:xfrm>
                        <a:prstGeom prst="line">
                          <a:avLst/>
                        </a:prstGeom>
                        <a:solidFill>
                          <a:srgbClr val="FFFFFF"/>
                        </a:solidFill>
                        <a:ln w="9525">
                          <a:solidFill>
                            <a:srgbClr val="8A8A8A"/>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1.95pt,118.45pt" to="191.95pt,122.95pt" o:allowincell="f" strokecolor="#8A8A8A" strokeweight="0.75pt"/>
            </w:pict>
          </mc:Fallback>
        </mc:AlternateContent>
        <mc:AlternateContent>
          <mc:Choice Requires="wps">
            <w:drawing>
              <wp:anchor simplePos="0" relativeHeight="251657728" behindDoc="1" locked="0" layoutInCell="0" allowOverlap="1">
                <wp:simplePos x="0" y="0"/>
                <wp:positionH relativeFrom="column">
                  <wp:posOffset>2923540</wp:posOffset>
                </wp:positionH>
                <wp:positionV relativeFrom="paragraph">
                  <wp:posOffset>1504315</wp:posOffset>
                </wp:positionV>
                <wp:extent cx="0" cy="5715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0"/>
                        </a:xfrm>
                        <a:prstGeom prst="line">
                          <a:avLst/>
                        </a:prstGeom>
                        <a:solidFill>
                          <a:srgbClr val="FFFFFF"/>
                        </a:solidFill>
                        <a:ln w="9525">
                          <a:solidFill>
                            <a:srgbClr val="8A8A8A"/>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2pt,118.45pt" to="230.2pt,122.95pt" o:allowincell="f" strokecolor="#8A8A8A" strokeweight="0.75pt"/>
            </w:pict>
          </mc:Fallback>
        </mc:AlternateContent>
        <mc:AlternateContent>
          <mc:Choice Requires="wps">
            <w:drawing>
              <wp:anchor simplePos="0" relativeHeight="251657728" behindDoc="1" locked="0" layoutInCell="0" allowOverlap="1">
                <wp:simplePos x="0" y="0"/>
                <wp:positionH relativeFrom="column">
                  <wp:posOffset>3409315</wp:posOffset>
                </wp:positionH>
                <wp:positionV relativeFrom="paragraph">
                  <wp:posOffset>1504315</wp:posOffset>
                </wp:positionV>
                <wp:extent cx="0" cy="5715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0"/>
                        </a:xfrm>
                        <a:prstGeom prst="line">
                          <a:avLst/>
                        </a:prstGeom>
                        <a:solidFill>
                          <a:srgbClr val="FFFFFF"/>
                        </a:solidFill>
                        <a:ln w="9525">
                          <a:solidFill>
                            <a:srgbClr val="8A8A8A"/>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45pt,118.45pt" to="268.45pt,122.95pt" o:allowincell="f" strokecolor="#8A8A8A" strokeweight="0.75pt"/>
            </w:pict>
          </mc:Fallback>
        </mc:AlternateContent>
        <mc:AlternateContent>
          <mc:Choice Requires="wps">
            <w:drawing>
              <wp:anchor simplePos="0" relativeHeight="251657728" behindDoc="1" locked="0" layoutInCell="0" allowOverlap="1">
                <wp:simplePos x="0" y="0"/>
                <wp:positionH relativeFrom="column">
                  <wp:posOffset>3895090</wp:posOffset>
                </wp:positionH>
                <wp:positionV relativeFrom="paragraph">
                  <wp:posOffset>1504315</wp:posOffset>
                </wp:positionV>
                <wp:extent cx="0" cy="5715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0"/>
                        </a:xfrm>
                        <a:prstGeom prst="line">
                          <a:avLst/>
                        </a:prstGeom>
                        <a:solidFill>
                          <a:srgbClr val="FFFFFF"/>
                        </a:solidFill>
                        <a:ln w="9525">
                          <a:solidFill>
                            <a:srgbClr val="8A8A8A"/>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7pt,118.45pt" to="306.7pt,122.95pt" o:allowincell="f" strokecolor="#8A8A8A" strokeweight="0.75pt"/>
            </w:pict>
          </mc:Fallback>
        </mc:AlternateContent>
        <mc:AlternateContent>
          <mc:Choice Requires="wps">
            <w:drawing>
              <wp:anchor simplePos="0" relativeHeight="251657728" behindDoc="1" locked="0" layoutInCell="0" allowOverlap="1">
                <wp:simplePos x="0" y="0"/>
                <wp:positionH relativeFrom="column">
                  <wp:posOffset>4371340</wp:posOffset>
                </wp:positionH>
                <wp:positionV relativeFrom="paragraph">
                  <wp:posOffset>1504315</wp:posOffset>
                </wp:positionV>
                <wp:extent cx="0" cy="5715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0"/>
                        </a:xfrm>
                        <a:prstGeom prst="line">
                          <a:avLst/>
                        </a:prstGeom>
                        <a:solidFill>
                          <a:srgbClr val="FFFFFF"/>
                        </a:solidFill>
                        <a:ln w="9525">
                          <a:solidFill>
                            <a:srgbClr val="8A8A8A"/>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2pt,118.45pt" to="344.2pt,122.95pt" o:allowincell="f" strokecolor="#8A8A8A" strokeweight="0.75pt"/>
            </w:pict>
          </mc:Fallback>
        </mc:AlternateContent>
        <mc:AlternateContent>
          <mc:Choice Requires="wps">
            <w:drawing>
              <wp:anchor simplePos="0" relativeHeight="251657728" behindDoc="1" locked="0" layoutInCell="0" allowOverlap="1">
                <wp:simplePos x="0" y="0"/>
                <wp:positionH relativeFrom="column">
                  <wp:posOffset>4857115</wp:posOffset>
                </wp:positionH>
                <wp:positionV relativeFrom="paragraph">
                  <wp:posOffset>1504315</wp:posOffset>
                </wp:positionV>
                <wp:extent cx="0" cy="5715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0"/>
                        </a:xfrm>
                        <a:prstGeom prst="line">
                          <a:avLst/>
                        </a:prstGeom>
                        <a:solidFill>
                          <a:srgbClr val="FFFFFF"/>
                        </a:solidFill>
                        <a:ln w="9525">
                          <a:solidFill>
                            <a:srgbClr val="8A8A8A"/>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45pt,118.45pt" to="382.45pt,122.95pt" o:allowincell="f" strokecolor="#8A8A8A" strokeweight="0.75pt"/>
            </w:pict>
          </mc:Fallback>
        </mc:AlternateContent>
        <mc:AlternateContent>
          <mc:Choice Requires="wps">
            <w:drawing>
              <wp:anchor simplePos="0" relativeHeight="251657728" behindDoc="1" locked="0" layoutInCell="0" allowOverlap="1">
                <wp:simplePos x="0" y="0"/>
                <wp:positionH relativeFrom="column">
                  <wp:posOffset>5342890</wp:posOffset>
                </wp:positionH>
                <wp:positionV relativeFrom="paragraph">
                  <wp:posOffset>1504315</wp:posOffset>
                </wp:positionV>
                <wp:extent cx="0" cy="5715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150"/>
                        </a:xfrm>
                        <a:prstGeom prst="line">
                          <a:avLst/>
                        </a:prstGeom>
                        <a:solidFill>
                          <a:srgbClr val="FFFFFF"/>
                        </a:solidFill>
                        <a:ln w="9525">
                          <a:solidFill>
                            <a:srgbClr val="8A8A8A"/>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0.7pt,118.45pt" to="420.7pt,122.95pt" o:allowincell="f" strokecolor="#8A8A8A" strokeweight="0.75pt"/>
            </w:pict>
          </mc:Fallback>
        </mc:AlternateContent>
        <mc:AlternateContent>
          <mc:Choice Requires="wps">
            <w:drawing>
              <wp:anchor simplePos="0" relativeHeight="251657728" behindDoc="1" locked="0" layoutInCell="0" allowOverlap="1">
                <wp:simplePos x="0" y="0"/>
                <wp:positionH relativeFrom="column">
                  <wp:posOffset>699770</wp:posOffset>
                </wp:positionH>
                <wp:positionV relativeFrom="paragraph">
                  <wp:posOffset>1508760</wp:posOffset>
                </wp:positionV>
                <wp:extent cx="488632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6325" cy="4763"/>
                        </a:xfrm>
                        <a:prstGeom prst="line">
                          <a:avLst/>
                        </a:prstGeom>
                        <a:solidFill>
                          <a:srgbClr val="FFFFFF"/>
                        </a:solidFill>
                        <a:ln w="9525">
                          <a:solidFill>
                            <a:srgbClr val="8A8A8A"/>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1pt,118.8pt" to="439.85pt,118.8pt" o:allowincell="f" strokecolor="#8A8A8A" strokeweight="0.75pt"/>
            </w:pict>
          </mc:Fallback>
        </mc:AlternateContent>
        <mc:AlternateContent>
          <mc:Choice Requires="wps">
            <w:drawing>
              <wp:anchor simplePos="0" relativeHeight="251657728" behindDoc="1" locked="0" layoutInCell="0" allowOverlap="1">
                <wp:simplePos x="0" y="0"/>
                <wp:positionH relativeFrom="column">
                  <wp:posOffset>699770</wp:posOffset>
                </wp:positionH>
                <wp:positionV relativeFrom="paragraph">
                  <wp:posOffset>1251585</wp:posOffset>
                </wp:positionV>
                <wp:extent cx="5715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 cy="4763"/>
                        </a:xfrm>
                        <a:prstGeom prst="line">
                          <a:avLst/>
                        </a:prstGeom>
                        <a:solidFill>
                          <a:srgbClr val="FFFFFF"/>
                        </a:solidFill>
                        <a:ln w="9525">
                          <a:solidFill>
                            <a:srgbClr val="8A8A8A"/>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1pt,98.55pt" to="59.6pt,98.55pt" o:allowincell="f" strokecolor="#8A8A8A" strokeweight="0.75pt"/>
            </w:pict>
          </mc:Fallback>
        </mc:AlternateContent>
        <mc:AlternateContent>
          <mc:Choice Requires="wps">
            <w:drawing>
              <wp:anchor simplePos="0" relativeHeight="251657728" behindDoc="1" locked="0" layoutInCell="0" allowOverlap="1">
                <wp:simplePos x="0" y="0"/>
                <wp:positionH relativeFrom="column">
                  <wp:posOffset>699770</wp:posOffset>
                </wp:positionH>
                <wp:positionV relativeFrom="paragraph">
                  <wp:posOffset>984885</wp:posOffset>
                </wp:positionV>
                <wp:extent cx="5715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 cy="4763"/>
                        </a:xfrm>
                        <a:prstGeom prst="line">
                          <a:avLst/>
                        </a:prstGeom>
                        <a:solidFill>
                          <a:srgbClr val="FFFFFF"/>
                        </a:solidFill>
                        <a:ln w="9525">
                          <a:solidFill>
                            <a:srgbClr val="8A8A8A"/>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1pt,77.55pt" to="59.6pt,77.55pt" o:allowincell="f" strokecolor="#8A8A8A" strokeweight="0.75pt"/>
            </w:pict>
          </mc:Fallback>
        </mc:AlternateContent>
        <mc:AlternateContent>
          <mc:Choice Requires="wps">
            <w:drawing>
              <wp:anchor simplePos="0" relativeHeight="251657728" behindDoc="1" locked="0" layoutInCell="0" allowOverlap="1">
                <wp:simplePos x="0" y="0"/>
                <wp:positionH relativeFrom="column">
                  <wp:posOffset>699770</wp:posOffset>
                </wp:positionH>
                <wp:positionV relativeFrom="paragraph">
                  <wp:posOffset>727710</wp:posOffset>
                </wp:positionV>
                <wp:extent cx="5715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 cy="4763"/>
                        </a:xfrm>
                        <a:prstGeom prst="line">
                          <a:avLst/>
                        </a:prstGeom>
                        <a:solidFill>
                          <a:srgbClr val="FFFFFF"/>
                        </a:solidFill>
                        <a:ln w="9525">
                          <a:solidFill>
                            <a:srgbClr val="8A8A8A"/>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1pt,57.3pt" to="59.6pt,57.3pt" o:allowincell="f" strokecolor="#8A8A8A" strokeweight="0.75pt"/>
            </w:pict>
          </mc:Fallback>
        </mc:AlternateContent>
        <mc:AlternateContent>
          <mc:Choice Requires="wps">
            <w:drawing>
              <wp:anchor simplePos="0" relativeHeight="251657728" behindDoc="1" locked="0" layoutInCell="0" allowOverlap="1">
                <wp:simplePos x="0" y="0"/>
                <wp:positionH relativeFrom="column">
                  <wp:posOffset>699770</wp:posOffset>
                </wp:positionH>
                <wp:positionV relativeFrom="paragraph">
                  <wp:posOffset>470535</wp:posOffset>
                </wp:positionV>
                <wp:extent cx="5715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 cy="4763"/>
                        </a:xfrm>
                        <a:prstGeom prst="line">
                          <a:avLst/>
                        </a:prstGeom>
                        <a:solidFill>
                          <a:srgbClr val="FFFFFF"/>
                        </a:solidFill>
                        <a:ln w="9525">
                          <a:solidFill>
                            <a:srgbClr val="8A8A8A"/>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1pt,37.05pt" to="59.6pt,37.05pt" o:allowincell="f" strokecolor="#8A8A8A" strokeweight="0.75pt"/>
            </w:pict>
          </mc:Fallback>
        </mc:AlternateContent>
        <mc:AlternateContent>
          <mc:Choice Requires="wps">
            <w:drawing>
              <wp:anchor simplePos="0" relativeHeight="251657728" behindDoc="1" locked="0" layoutInCell="0" allowOverlap="1">
                <wp:simplePos x="0" y="0"/>
                <wp:positionH relativeFrom="column">
                  <wp:posOffset>699770</wp:posOffset>
                </wp:positionH>
                <wp:positionV relativeFrom="paragraph">
                  <wp:posOffset>203835</wp:posOffset>
                </wp:positionV>
                <wp:extent cx="5715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 cy="4763"/>
                        </a:xfrm>
                        <a:prstGeom prst="line">
                          <a:avLst/>
                        </a:prstGeom>
                        <a:solidFill>
                          <a:srgbClr val="FFFFFF"/>
                        </a:solidFill>
                        <a:ln w="9525">
                          <a:solidFill>
                            <a:srgbClr val="8A8A8A"/>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1pt,16.05pt" to="59.6pt,16.05pt" o:allowincell="f" strokecolor="#8A8A8A" strokeweight="0.75pt"/>
            </w:pict>
          </mc:Fallback>
        </mc:AlternateContent>
        <mc:AlternateContent>
          <mc:Choice Requires="wps">
            <w:drawing>
              <wp:anchor simplePos="0" relativeHeight="251657728" behindDoc="1" locked="0" layoutInCell="0" allowOverlap="1">
                <wp:simplePos x="0" y="0"/>
                <wp:positionH relativeFrom="column">
                  <wp:posOffset>699770</wp:posOffset>
                </wp:positionH>
                <wp:positionV relativeFrom="paragraph">
                  <wp:posOffset>-62230</wp:posOffset>
                </wp:positionV>
                <wp:extent cx="5715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 cy="4763"/>
                        </a:xfrm>
                        <a:prstGeom prst="line">
                          <a:avLst/>
                        </a:prstGeom>
                        <a:solidFill>
                          <a:srgbClr val="FFFFFF"/>
                        </a:solidFill>
                        <a:ln w="9525">
                          <a:solidFill>
                            <a:srgbClr val="8A8A8A"/>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1pt,-4.8999pt" to="59.6pt,-4.8999pt" o:allowincell="f" strokecolor="#8A8A8A" strokeweight="0.75pt"/>
            </w:pict>
          </mc:Fallback>
        </mc:AlternateContent>
        <mc:AlternateContent>
          <mc:Choice Requires="wps">
            <w:drawing>
              <wp:anchor simplePos="0" relativeHeight="251657728" behindDoc="1" locked="0" layoutInCell="0" allowOverlap="1">
                <wp:simplePos x="0" y="0"/>
                <wp:positionH relativeFrom="column">
                  <wp:posOffset>751840</wp:posOffset>
                </wp:positionH>
                <wp:positionV relativeFrom="paragraph">
                  <wp:posOffset>-66675</wp:posOffset>
                </wp:positionV>
                <wp:extent cx="0" cy="1580515"/>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0515"/>
                        </a:xfrm>
                        <a:prstGeom prst="line">
                          <a:avLst/>
                        </a:prstGeom>
                        <a:solidFill>
                          <a:srgbClr val="FFFFFF"/>
                        </a:solidFill>
                        <a:ln w="9525">
                          <a:solidFill>
                            <a:srgbClr val="8A8A8A"/>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2pt,-5.2499pt" to="59.2pt,119.2pt" o:allowincell="f" strokecolor="#8A8A8A" strokeweight="0.75pt"/>
            </w:pict>
          </mc:Fallback>
        </mc:AlternateContent>
      </w:r>
    </w:p>
    <w:p>
      <w:pPr>
        <w:spacing w:after="0" w:line="178" w:lineRule="exact"/>
        <w:rPr>
          <w:sz w:val="20"/>
          <w:szCs w:val="20"/>
          <w:color w:val="auto"/>
        </w:rPr>
      </w:pPr>
    </w:p>
    <w:p>
      <w:pPr>
        <w:jc w:val="right"/>
        <w:ind w:right="8400"/>
        <w:spacing w:after="0"/>
        <w:rPr>
          <w:sz w:val="20"/>
          <w:szCs w:val="20"/>
          <w:color w:val="auto"/>
        </w:rPr>
      </w:pPr>
      <w:r>
        <w:rPr>
          <w:rFonts w:ascii="Arial" w:cs="Arial" w:eastAsia="Arial" w:hAnsi="Arial"/>
          <w:sz w:val="18"/>
          <w:szCs w:val="18"/>
          <w:color w:val="auto"/>
        </w:rPr>
        <w:t>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-74295</wp:posOffset>
            </wp:positionV>
            <wp:extent cx="4829175" cy="9702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8">
                      <a:extLst>
                        <a:ext uri="{28A0092B-C50C-407E-A947-70E740481C1C}"/>
                      </a:extLst>
                    </a:blip>
                    <a:srcRect/>
                    <a:stretch>
                      <a:fillRect/>
                    </a:stretch>
                  </pic:blipFill>
                  <pic:spPr bwMode="auto">
                    <a:xfrm>
                      <a:off x="0" y="0"/>
                      <a:ext cx="4829175" cy="970280"/>
                    </a:xfrm>
                    <a:prstGeom prst="rect">
                      <a:avLst/>
                    </a:prstGeom>
                    <a:noFill/>
                  </pic:spPr>
                </pic:pic>
              </a:graphicData>
            </a:graphic>
          </wp:anchor>
        </w:drawing>
      </w:r>
    </w:p>
    <w:p>
      <w:pPr>
        <w:spacing w:after="0" w:line="193" w:lineRule="exact"/>
        <w:rPr>
          <w:sz w:val="20"/>
          <w:szCs w:val="20"/>
          <w:color w:val="auto"/>
        </w:rPr>
      </w:pPr>
    </w:p>
    <w:p>
      <w:pPr>
        <w:jc w:val="right"/>
        <w:ind w:right="8400"/>
        <w:spacing w:after="0"/>
        <w:rPr>
          <w:sz w:val="20"/>
          <w:szCs w:val="20"/>
          <w:color w:val="auto"/>
        </w:rPr>
      </w:pPr>
      <w:r>
        <w:rPr>
          <w:rFonts w:ascii="Arial" w:cs="Arial" w:eastAsia="Arial" w:hAnsi="Arial"/>
          <w:sz w:val="18"/>
          <w:szCs w:val="18"/>
          <w:color w:val="auto"/>
        </w:rPr>
        <w:t>1,400</w:t>
      </w:r>
    </w:p>
    <w:p>
      <w:pPr>
        <w:spacing w:after="0" w:line="198" w:lineRule="exact"/>
        <w:rPr>
          <w:sz w:val="20"/>
          <w:szCs w:val="20"/>
          <w:color w:val="auto"/>
        </w:rPr>
      </w:pPr>
    </w:p>
    <w:p>
      <w:pPr>
        <w:jc w:val="right"/>
        <w:ind w:right="8400"/>
        <w:spacing w:after="0"/>
        <w:rPr>
          <w:sz w:val="20"/>
          <w:szCs w:val="20"/>
          <w:color w:val="auto"/>
        </w:rPr>
      </w:pPr>
      <w:r>
        <w:rPr>
          <w:rFonts w:ascii="Arial" w:cs="Arial" w:eastAsia="Arial" w:hAnsi="Arial"/>
          <w:sz w:val="18"/>
          <w:szCs w:val="18"/>
          <w:color w:val="auto"/>
        </w:rPr>
        <w:t>1,200</w:t>
      </w:r>
    </w:p>
    <w:p>
      <w:pPr>
        <w:spacing w:after="0" w:line="198" w:lineRule="exact"/>
        <w:rPr>
          <w:sz w:val="20"/>
          <w:szCs w:val="20"/>
          <w:color w:val="auto"/>
        </w:rPr>
      </w:pPr>
    </w:p>
    <w:p>
      <w:pPr>
        <w:jc w:val="right"/>
        <w:ind w:right="8400"/>
        <w:spacing w:after="0"/>
        <w:rPr>
          <w:sz w:val="20"/>
          <w:szCs w:val="20"/>
          <w:color w:val="auto"/>
        </w:rPr>
      </w:pPr>
      <w:r>
        <w:rPr>
          <w:rFonts w:ascii="Arial" w:cs="Arial" w:eastAsia="Arial" w:hAnsi="Arial"/>
          <w:sz w:val="18"/>
          <w:szCs w:val="18"/>
          <w:color w:val="auto"/>
        </w:rPr>
        <w:t>1,000</w:t>
      </w:r>
    </w:p>
    <w:p>
      <w:pPr>
        <w:spacing w:after="0" w:line="213" w:lineRule="exact"/>
        <w:rPr>
          <w:sz w:val="20"/>
          <w:szCs w:val="20"/>
          <w:color w:val="auto"/>
        </w:rPr>
      </w:pPr>
    </w:p>
    <w:p>
      <w:pPr>
        <w:jc w:val="right"/>
        <w:ind w:right="8400"/>
        <w:spacing w:after="0"/>
        <w:rPr>
          <w:sz w:val="20"/>
          <w:szCs w:val="20"/>
          <w:color w:val="auto"/>
        </w:rPr>
      </w:pPr>
      <w:r>
        <w:rPr>
          <w:rFonts w:ascii="Arial" w:cs="Arial" w:eastAsia="Arial" w:hAnsi="Arial"/>
          <w:sz w:val="18"/>
          <w:szCs w:val="18"/>
          <w:color w:val="auto"/>
        </w:rPr>
        <w:t>800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756920</wp:posOffset>
                </wp:positionH>
                <wp:positionV relativeFrom="paragraph">
                  <wp:posOffset>-52705</wp:posOffset>
                </wp:positionV>
                <wp:extent cx="482917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29175" cy="4763"/>
                        </a:xfrm>
                        <a:prstGeom prst="line">
                          <a:avLst/>
                        </a:prstGeom>
                        <a:solidFill>
                          <a:srgbClr val="FFFFFF"/>
                        </a:solidFill>
                        <a:ln w="9525">
                          <a:solidFill>
                            <a:srgbClr val="E6E6E6"/>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6pt,-4.1499pt" to="439.85pt,-4.1499pt" o:allowincell="f" strokecolor="#E6E6E6" strokeweight="0.75pt"/>
            </w:pict>
          </mc:Fallback>
        </mc:AlternateContent>
      </w:r>
    </w:p>
    <w:p>
      <w:pPr>
        <w:spacing w:after="0" w:line="178" w:lineRule="exact"/>
        <w:rPr>
          <w:sz w:val="20"/>
          <w:szCs w:val="20"/>
          <w:color w:val="auto"/>
        </w:rPr>
      </w:pPr>
    </w:p>
    <w:p>
      <w:pPr>
        <w:jc w:val="right"/>
        <w:ind w:right="8400"/>
        <w:spacing w:after="0"/>
        <w:rPr>
          <w:sz w:val="20"/>
          <w:szCs w:val="20"/>
          <w:color w:val="auto"/>
        </w:rPr>
      </w:pPr>
      <w:r>
        <w:rPr>
          <w:rFonts w:ascii="Arial" w:cs="Arial" w:eastAsia="Arial" w:hAnsi="Arial"/>
          <w:sz w:val="18"/>
          <w:szCs w:val="18"/>
          <w:color w:val="auto"/>
        </w:rPr>
        <w:t>600</w:t>
      </w:r>
    </w:p>
    <w:p>
      <w:pPr>
        <w:spacing w:after="0" w:line="18" w:lineRule="exact"/>
        <w:rPr>
          <w:sz w:val="20"/>
          <w:szCs w:val="20"/>
          <w:color w:val="auto"/>
        </w:rPr>
      </w:pPr>
    </w:p>
    <w:tbl>
      <w:tblPr>
        <w:tblLayout w:type="fixed"/>
        <w:tblInd w:w="1380" w:type="dxa"/>
        <w:tblCellMar>
          <w:top w:w="0" w:type="dxa"/>
          <w:left w:w="0" w:type="dxa"/>
          <w:bottom w:w="0" w:type="dxa"/>
          <w:right w:w="0" w:type="dxa"/>
        </w:tblCellMar>
      </w:tblPr>
      <w:tr>
        <w:trPr>
          <w:trHeight w:val="235"/>
        </w:trPr>
        <w:tc>
          <w:tcPr>
            <w:tcW w:w="420" w:type="dxa"/>
            <w:vAlign w:val="bottom"/>
          </w:tcPr>
          <w:p>
            <w:pPr>
              <w:jc w:val="right"/>
              <w:spacing w:after="0"/>
              <w:rPr>
                <w:sz w:val="20"/>
                <w:szCs w:val="20"/>
                <w:color w:val="auto"/>
              </w:rPr>
            </w:pPr>
            <w:r>
              <w:rPr>
                <w:rFonts w:ascii="Arial" w:cs="Arial" w:eastAsia="Arial" w:hAnsi="Arial"/>
                <w:sz w:val="18"/>
                <w:szCs w:val="18"/>
                <w:color w:val="auto"/>
                <w:w w:val="84"/>
              </w:rPr>
              <w:t>2016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2017</w:t>
            </w:r>
          </w:p>
        </w:tc>
        <w:tc>
          <w:tcPr>
            <w:tcW w:w="600" w:type="dxa"/>
            <w:vAlign w:val="bottom"/>
          </w:tcPr>
          <w:p>
            <w:pPr>
              <w:jc w:val="right"/>
              <w:spacing w:after="0"/>
              <w:rPr>
                <w:sz w:val="20"/>
                <w:szCs w:val="20"/>
                <w:color w:val="auto"/>
              </w:rPr>
            </w:pPr>
            <w:r>
              <w:rPr>
                <w:rFonts w:ascii="Arial" w:cs="Arial" w:eastAsia="Arial" w:hAnsi="Arial"/>
                <w:sz w:val="18"/>
                <w:szCs w:val="18"/>
                <w:color w:val="auto"/>
              </w:rPr>
              <w:t>2018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2019</w:t>
            </w:r>
          </w:p>
        </w:tc>
        <w:tc>
          <w:tcPr>
            <w:tcW w:w="760" w:type="dxa"/>
            <w:vAlign w:val="bottom"/>
          </w:tcPr>
          <w:p>
            <w:pPr>
              <w:jc w:val="right"/>
              <w:ind w:right="105"/>
              <w:spacing w:after="0"/>
              <w:rPr>
                <w:sz w:val="20"/>
                <w:szCs w:val="20"/>
                <w:color w:val="auto"/>
              </w:rPr>
            </w:pPr>
            <w:r>
              <w:rPr>
                <w:rFonts w:ascii="Arial" w:cs="Arial" w:eastAsia="Arial" w:hAnsi="Arial"/>
                <w:sz w:val="18"/>
                <w:szCs w:val="18"/>
                <w:color w:val="auto"/>
              </w:rPr>
              <w:t>2020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2021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2022</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2023</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2024</w:t>
            </w:r>
          </w:p>
        </w:tc>
        <w:tc>
          <w:tcPr>
            <w:tcW w:w="56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305"/>
        </w:trPr>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20"/>
                <w:szCs w:val="20"/>
                <w:color w:val="auto"/>
              </w:rPr>
              <w:t>Year Ended</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20" w:type="dxa"/>
            <w:vAlign w:val="bottom"/>
          </w:tcPr>
          <w:p>
            <w:pPr>
              <w:spacing w:after="0"/>
              <w:rPr>
                <w:sz w:val="24"/>
                <w:szCs w:val="24"/>
                <w:color w:val="auto"/>
              </w:rPr>
            </w:pPr>
          </w:p>
        </w:tc>
        <w:tc>
          <w:tcPr>
            <w:tcW w:w="600" w:type="dxa"/>
            <w:vAlign w:val="bottom"/>
            <w:tcBorders>
              <w:bottom w:val="single" w:sz="8" w:color="CCCCCC"/>
            </w:tcBorders>
          </w:tcPr>
          <w:p>
            <w:pPr>
              <w:spacing w:after="0"/>
              <w:rPr>
                <w:sz w:val="24"/>
                <w:szCs w:val="24"/>
                <w:color w:val="auto"/>
              </w:rPr>
            </w:pPr>
          </w:p>
        </w:tc>
        <w:tc>
          <w:tcPr>
            <w:tcW w:w="900" w:type="dxa"/>
            <w:vAlign w:val="bottom"/>
            <w:gridSpan w:val="2"/>
            <w:vMerge w:val="restart"/>
          </w:tcPr>
          <w:p>
            <w:pPr>
              <w:jc w:val="right"/>
              <w:ind w:right="230"/>
              <w:spacing w:after="0"/>
              <w:rPr>
                <w:sz w:val="20"/>
                <w:szCs w:val="20"/>
                <w:color w:val="auto"/>
              </w:rPr>
            </w:pPr>
            <w:r>
              <w:rPr>
                <w:rFonts w:ascii="Arial" w:cs="Arial" w:eastAsia="Arial" w:hAnsi="Arial"/>
                <w:sz w:val="20"/>
                <w:szCs w:val="20"/>
                <w:color w:val="auto"/>
              </w:rPr>
              <w:t>Actual</w:t>
            </w:r>
          </w:p>
        </w:tc>
        <w:tc>
          <w:tcPr>
            <w:tcW w:w="600" w:type="dxa"/>
            <w:vAlign w:val="bottom"/>
            <w:tcBorders>
              <w:bottom w:val="single" w:sz="8" w:color="auto"/>
            </w:tcBorders>
          </w:tcPr>
          <w:p>
            <w:pPr>
              <w:spacing w:after="0"/>
              <w:rPr>
                <w:sz w:val="24"/>
                <w:szCs w:val="24"/>
                <w:color w:val="auto"/>
              </w:rPr>
            </w:pPr>
          </w:p>
        </w:tc>
        <w:tc>
          <w:tcPr>
            <w:tcW w:w="1620" w:type="dxa"/>
            <w:vAlign w:val="bottom"/>
            <w:gridSpan w:val="3"/>
            <w:vMerge w:val="restart"/>
          </w:tcPr>
          <w:p>
            <w:pPr>
              <w:jc w:val="center"/>
              <w:ind w:right="150"/>
              <w:spacing w:after="0"/>
              <w:rPr>
                <w:sz w:val="20"/>
                <w:szCs w:val="20"/>
                <w:color w:val="auto"/>
              </w:rPr>
            </w:pPr>
            <w:r>
              <w:rPr>
                <w:rFonts w:ascii="Arial" w:cs="Arial" w:eastAsia="Arial" w:hAnsi="Arial"/>
                <w:sz w:val="20"/>
                <w:szCs w:val="20"/>
                <w:color w:val="auto"/>
                <w:w w:val="90"/>
              </w:rPr>
              <w:t>5 Year Average</w:t>
            </w:r>
          </w:p>
        </w:tc>
        <w:tc>
          <w:tcPr>
            <w:tcW w:w="2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900" w:type="dxa"/>
            <w:vAlign w:val="bottom"/>
            <w:gridSpan w:val="3"/>
            <w:vMerge w:val="restart"/>
          </w:tcPr>
          <w:p>
            <w:pPr>
              <w:jc w:val="center"/>
              <w:ind w:right="310"/>
              <w:spacing w:after="0"/>
              <w:rPr>
                <w:sz w:val="20"/>
                <w:szCs w:val="20"/>
                <w:color w:val="auto"/>
              </w:rPr>
            </w:pPr>
            <w:r>
              <w:rPr>
                <w:rFonts w:ascii="Arial" w:cs="Arial" w:eastAsia="Arial" w:hAnsi="Arial"/>
                <w:sz w:val="20"/>
                <w:szCs w:val="20"/>
                <w:color w:val="auto"/>
                <w:w w:val="91"/>
              </w:rPr>
              <w:t>10 Year Average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16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0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November and December 2025 housing starts have not yet been published by the U.S. Census Bureau, and therefore, for the purpose of the chart above, we have used October 2025 housing starts previously published by the U.S. Census Bureau as the November and December 2025 actual housing starts.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Supply and Demand for Siding</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Our Siding products are specialty building materials and are subject to competition from various siding technologies, including vinyl, stucco, wood, fiber cement, brick, and others. We believe we are the largest manufacturer of engineered wood siding in North America and South America. The global siding market is estimated to be approximately $120 billion of annual expenditure. We have consistently grown our Siding business above the underlying market growth rates. Our Siding business is generally less sensitive to new housing market cyclicality since a majority of its demand comes from other markets, including off-site structure producers and repair and remodel. Our growth in this market depends upon the continued displacement of vinyl, stucco, wood, fiber cement, brick, and other alternatives, our product innovation and our technological expertise in wood and wood composites to address the needs of our customers.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Supply and Demand for OSB</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OSB is a commodity product, and it is subject to competition from manufacturers worldwide. Product supply is influenced primarily by fluctuations in available manufacturing capacity and imports. The ratio of overall OSB demand to capacity generally drives price. We cannot predict whether the prices of our OSB products will remain at current levels or increase or decrease in the future.</w:t>
      </w:r>
    </w:p>
    <w:p>
      <w:pPr>
        <w:sectPr>
          <w:pgSz w:w="11880" w:h="15480" w:orient="portrait"/>
          <w:cols w:equalWidth="0" w:num="1">
            <w:col w:w="9360"/>
          </w:cols>
          <w:pgMar w:left="1260" w:top="1197" w:right="1260" w:bottom="2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9360"/>
          </w:cols>
          <w:pgMar w:left="1260" w:top="1197" w:right="1260" w:bottom="224" w:gutter="0" w:footer="0" w:header="0"/>
          <w:type w:val="continuous"/>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CRITICAL ACCOUNTING POLICIES AND SIGNIFICANT ESTIMATES</w:t>
      </w:r>
    </w:p>
    <w:p>
      <w:pPr>
        <w:spacing w:after="0" w:line="25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Management’s Discussion and Analysis of Financial Condition and Results of Operations are based upon our Consolidated Financial Statements, which have been prepared in accordance with U.S. GAAP. The preparation of these financial statements requires management to make informed estimates and judgments that affect the reported amounts of assets, liabilities, revenues and expenses, and related disclosure of contingent assets and liabilities. Our financial position and/or results of operations may be materially different when reported under different conditions or when using different assumptions in the application of such policies. In the event estimates or assumptions prove to be different from actual amounts, adjustments are made in subsequent periods to reflect more current information. Our significant accounting policies are disclosed in “Note 1 - Summary of Significant Accounting Policies” of the Notes to the Consolidated Financial Statements and included in Item 8 of this annual report on Form 10-K. The following discussion addresses our most critical accounting policies, which are those that are both important to the portrayal of our financial condition and results of operations and that require significant judgment or use of complex estimates.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Long-lived Assets</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Property, plant and equipment, and long-lived assets (including amortizable identifiable intangible assets) are tested for recoverability whenever events or changes in circumstances indicate that their carrying amount may not be recoverable, including but not limited to facility curtailments and asset abandonments. When such events occur, we group long-lived assets with other assets and liabilities at the lowest level for which identifiable cash flows exist. We compare the sum of the undiscounted cash flows expected to result from the use and eventual disposition of the asset or asset group to the carrying amount of a long-lived asset or asset group. The cash flows are based on our best estimate of future cash flows derived from the most recent business projections. The significant assumptions used to determine estimated cash flows are the cash inflows and outflows directly resulting from the use of those assets in operations, including sales volume, product pricing, support costs, and other costs to operate. We recognize an impairment loss if the amount of the asset’s carrying value exceeds the asset’s estimated fair value. Fair value is estimated primarily using discounted expected future cash flows on a market-participant basis. If we recognize an impairment loss, the adjusted carrying amount of the asset becomes its new cost basis. For a depreciable long-lived asset, the new cost basis is depreciated (amortized) over the remaining estimated useful life of that asset.</w:t>
      </w:r>
    </w:p>
    <w:p>
      <w:pPr>
        <w:spacing w:after="0" w:line="6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Our impairment loss calculations contain uncertainties because they require management to make assumptions and to apply judgment to estimate future cash flows and asset fair values. We have not made any material changes in our impairment loss assessment methodology in the periods presented. We do not believe a material change in the estimates or assumptions that we use to calculate long-lived asset impairments is likely. However, if actual results are not consistent with our estimates and assumptions used in estimating future cash flows and asset fair values, we may be exposed to losses that could be material.</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 Including Customer Program Costs</w:t>
      </w:r>
    </w:p>
    <w:p>
      <w:pPr>
        <w:spacing w:after="0" w:line="134"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 xml:space="preserve">Revenue is recognized when obligations under the terms of a contract </w:t>
      </w:r>
      <w:r>
        <w:rPr>
          <w:rFonts w:ascii="Arial" w:cs="Arial" w:eastAsia="Arial" w:hAnsi="Arial"/>
          <w:sz w:val="18"/>
          <w:szCs w:val="18"/>
          <w:b w:val="1"/>
          <w:bCs w:val="1"/>
          <w:i w:val="1"/>
          <w:iCs w:val="1"/>
          <w:color w:val="auto"/>
        </w:rPr>
        <w:t>(e.g.</w:t>
      </w:r>
      <w:r>
        <w:rPr>
          <w:rFonts w:ascii="Arial" w:cs="Arial" w:eastAsia="Arial" w:hAnsi="Arial"/>
          <w:sz w:val="18"/>
          <w:szCs w:val="18"/>
          <w:color w:val="auto"/>
        </w:rPr>
        <w:t>, purchase orders) with our customers are satisfied; generally, this occurs with the transfer of control of our products to the customer at a point in time. Revenue is measured as the amount of consideration we expect to receive in exchange for transferring goods. The shipping cost incurred by us to deliver products to our customers is recorded in cost of sales.</w:t>
      </w:r>
    </w:p>
    <w:p>
      <w:pPr>
        <w:spacing w:after="0" w:line="4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Our businesses routinely incur customer program costs to obtain favorable product placement, promote sales of products, and maintain competitive pricing. Customer program costs and incentives, including rebates and promotion and volume allowances, are accounted for as a reduction in net sales at the time the program is initiated and/or the revenue is recognized. The costs include, but are not limited to, volume allowances and rebates, promotional allowances, and cooperative advertising programs. These costs are recorded at the later of the time of sale or the implementation of the program based on management’s best estimates.</w:t>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estimates are based on historical and projected experience for each type of program or customer. Volume allowances are accrued based on our estimates of customer volume achievement and other factors incorporated into customer agreements, such as new product purchases, store sell-through, merchandising support, and customer training.</w:t>
      </w:r>
    </w:p>
    <w:p>
      <w:pPr>
        <w:sectPr>
          <w:pgSz w:w="11880" w:h="15480" w:orient="portrait"/>
          <w:cols w:equalWidth="0" w:num="1">
            <w:col w:w="9360"/>
          </w:cols>
          <w:pgMar w:left="1260" w:top="1190" w:right="1260" w:bottom="2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9360"/>
          </w:cols>
          <w:pgMar w:left="1260" w:top="1190" w:right="1260" w:bottom="224" w:gutter="0" w:footer="0" w:header="0"/>
          <w:type w:val="continuous"/>
        </w:sectPr>
      </w:pPr>
    </w:p>
    <w:bookmarkStart w:id="51" w:name="page52"/>
    <w:bookmarkEnd w:id="51"/>
    <w:p>
      <w:pPr>
        <w:jc w:val="both"/>
        <w:spacing w:after="0" w:line="294" w:lineRule="auto"/>
        <w:rPr>
          <w:sz w:val="20"/>
          <w:szCs w:val="20"/>
          <w:color w:val="auto"/>
        </w:rPr>
      </w:pPr>
      <w:r>
        <w:rPr>
          <w:rFonts w:ascii="Arial" w:cs="Arial" w:eastAsia="Arial" w:hAnsi="Arial"/>
          <w:sz w:val="18"/>
          <w:szCs w:val="18"/>
          <w:color w:val="auto"/>
        </w:rPr>
        <w:t>Although we believe we can reasonably estimate customer volumes and support and the related customer payments at interim periods, it is possible that actual results could be different from previously estimated amounts. At the end of each year, a significant portion of the actual volume and support activity is known. Thus, we do not currently believe that a material change in the amounts recorded as customer program costs payable is reasonably likely. We had $50 million and $48 million accrued as customer rebates as of December 31, 2025 and 2024, respectively.</w:t>
      </w:r>
    </w:p>
    <w:p>
      <w:pPr>
        <w:spacing w:after="0" w:line="5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w:t>
      </w:r>
    </w:p>
    <w:p>
      <w:pPr>
        <w:sectPr>
          <w:pgSz w:w="11880" w:h="15480" w:orient="portrait"/>
          <w:cols w:equalWidth="0" w:num="1">
            <w:col w:w="9360"/>
          </w:cols>
          <w:pgMar w:left="1260" w:top="1197" w:right="1260" w:bottom="2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9360"/>
          </w:cols>
          <w:pgMar w:left="1260" w:top="1197" w:right="1260" w:bottom="224" w:gutter="0" w:footer="0" w:header="0"/>
          <w:type w:val="continuous"/>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NON-GAAP FINANCIAL MEASURES</w:t>
      </w:r>
    </w:p>
    <w:p>
      <w:pPr>
        <w:spacing w:after="0" w:line="25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annual report on Form 10-K, we disclose net income excluding interest expense, provision for income taxes, depreciation and amortization, stock-based compensation expense, loss on impairment, business exit credits and charges, product-line discontinuance charges, other operating credits and charges, net, loss on early debt extinguishment, investment income, pension settlement charges, other non-operating income (expense), income from discontinued operations, net of income taxes, and net income attributed to noncontrolling interest, as Adjusted EBITDA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net income, excluding loss on impairment, business exit credits and charges, product-line discontinuance charges, interest expense outside of normal operations, other operating credits and charges, net, loss on early debt extinguishment, gain (loss) on acquisition, pension settlement charges, income from discontinued operations, net of income taxes, and net income attributed to noncontrolling interest, and adjusting for a normalized tax rate, as Adjusted Income (Adjusted Income), which is a non-GAAP financial measure. In addition, we disclose Adjusted Diluted EPS, calculated as Adjusted Income divided by diluted shares outstanding (Adjusted Diluted EPS), which is a non-GAAP financial measure. We believe that Adjusted Diluted EPS and Adjusted Income are useful measures for evaluating our ability to generate earnings and that providing these measures should allow interested persons to more readily compare the earnings for past and future periods. Reconciliations of Adjusted EBITDA, Adjusted Income and Adjusted Diluted EPS to their most directly comparable U.S. GAAP financial measures, net income, and net income per share of common stock - diluted, respectively, are presented below.</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Adjusted EBITDA, Adjusted Income, and Adjusted Diluted EPS are not substitutes for the U.S. GAAP measures of net income and net income per share of common stock - diluted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9360"/>
          </w:cols>
          <w:pgMar w:left="1260" w:top="1190" w:right="1260" w:bottom="225" w:gutter="0" w:footer="0" w:header="0"/>
          <w:type w:val="continuous"/>
        </w:sectPr>
      </w:pPr>
    </w:p>
    <w:bookmarkStart w:id="53" w:name="page54"/>
    <w:bookmarkEnd w:id="53"/>
    <w:p>
      <w:pPr>
        <w:ind w:right="300"/>
        <w:spacing w:after="0" w:line="283" w:lineRule="auto"/>
        <w:rPr>
          <w:sz w:val="20"/>
          <w:szCs w:val="20"/>
          <w:color w:val="auto"/>
        </w:rPr>
      </w:pPr>
      <w:r>
        <w:rPr>
          <w:rFonts w:ascii="Arial" w:cs="Arial" w:eastAsia="Arial" w:hAnsi="Arial"/>
          <w:sz w:val="20"/>
          <w:szCs w:val="20"/>
          <w:color w:val="auto"/>
        </w:rPr>
        <w:t>The following table presents significant items and reconciles net income to Adjusted EBITDA (dollar amounts in millions):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40" w:type="dxa"/>
            <w:vAlign w:val="bottom"/>
            <w:gridSpan w:val="8"/>
          </w:tcPr>
          <w:p>
            <w:pPr>
              <w:jc w:val="right"/>
              <w:ind w:right="10"/>
              <w:spacing w:after="0"/>
              <w:rPr>
                <w:sz w:val="20"/>
                <w:szCs w:val="20"/>
                <w:color w:val="auto"/>
              </w:rPr>
            </w:pPr>
            <w:r>
              <w:rPr>
                <w:rFonts w:ascii="Arial" w:cs="Arial" w:eastAsia="Arial" w:hAnsi="Arial"/>
                <w:sz w:val="18"/>
                <w:szCs w:val="18"/>
                <w:b w:val="1"/>
                <w:bCs w:val="1"/>
                <w:color w:val="auto"/>
                <w:w w:val="95"/>
              </w:rPr>
              <w:t>Year Ended December 31,</w:t>
            </w:r>
          </w:p>
        </w:tc>
        <w:tc>
          <w:tcPr>
            <w:tcW w:w="920" w:type="dxa"/>
            <w:vAlign w:val="bottom"/>
          </w:tcPr>
          <w:p>
            <w:pPr>
              <w:spacing w:after="0"/>
              <w:rPr>
                <w:sz w:val="20"/>
                <w:szCs w:val="20"/>
                <w:color w:val="auto"/>
              </w:rPr>
            </w:pPr>
          </w:p>
        </w:tc>
      </w:tr>
      <w:tr>
        <w:trPr>
          <w:trHeight w:val="41"/>
        </w:trPr>
        <w:tc>
          <w:tcPr>
            <w:tcW w:w="53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54"/>
        </w:trPr>
        <w:tc>
          <w:tcPr>
            <w:tcW w:w="5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41"/>
        </w:trPr>
        <w:tc>
          <w:tcPr>
            <w:tcW w:w="53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7"/>
        </w:trPr>
        <w:tc>
          <w:tcPr>
            <w:tcW w:w="5300" w:type="dxa"/>
            <w:vAlign w:val="bottom"/>
          </w:tcPr>
          <w:p>
            <w:pPr>
              <w:ind w:left="6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Pr>
          <w:p>
            <w:pPr>
              <w:jc w:val="right"/>
              <w:ind w:right="67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9"/>
              </w:rPr>
              <w:t>146</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420</w:t>
            </w:r>
          </w:p>
        </w:tc>
        <w:tc>
          <w:tcPr>
            <w:tcW w:w="4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178</w:t>
            </w:r>
          </w:p>
        </w:tc>
      </w:tr>
      <w:tr>
        <w:trPr>
          <w:trHeight w:val="43"/>
        </w:trPr>
        <w:tc>
          <w:tcPr>
            <w:tcW w:w="5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5"/>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Add (deduct):</w:t>
            </w:r>
          </w:p>
        </w:tc>
        <w:tc>
          <w:tcPr>
            <w:tcW w:w="90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E6E6E6"/>
            </w:tcBorders>
            <w:shd w:val="clear" w:color="auto" w:fill="E6E6E6"/>
          </w:tcPr>
          <w:p>
            <w:pPr>
              <w:spacing w:after="0"/>
              <w:rPr>
                <w:sz w:val="23"/>
                <w:szCs w:val="23"/>
                <w:color w:val="auto"/>
              </w:rPr>
            </w:pPr>
          </w:p>
        </w:tc>
      </w:tr>
      <w:tr>
        <w:trPr>
          <w:trHeight w:val="258"/>
        </w:trPr>
        <w:tc>
          <w:tcPr>
            <w:tcW w:w="530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2"/>
        </w:trPr>
        <w:tc>
          <w:tcPr>
            <w:tcW w:w="5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9"/>
              </w:rPr>
              <w:t>145</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119</w:t>
            </w:r>
          </w:p>
        </w:tc>
      </w:tr>
      <w:tr>
        <w:trPr>
          <w:trHeight w:val="258"/>
        </w:trPr>
        <w:tc>
          <w:tcPr>
            <w:tcW w:w="53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2"/>
        </w:trPr>
        <w:tc>
          <w:tcPr>
            <w:tcW w:w="5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Loss on impairment</w:t>
            </w: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w:t>
            </w:r>
          </w:p>
        </w:tc>
      </w:tr>
      <w:tr>
        <w:trPr>
          <w:trHeight w:val="258"/>
        </w:trPr>
        <w:tc>
          <w:tcPr>
            <w:tcW w:w="5300" w:type="dxa"/>
            <w:vAlign w:val="bottom"/>
          </w:tcPr>
          <w:p>
            <w:pPr>
              <w:ind w:left="180"/>
              <w:spacing w:after="0"/>
              <w:rPr>
                <w:sz w:val="20"/>
                <w:szCs w:val="20"/>
                <w:color w:val="auto"/>
              </w:rPr>
            </w:pPr>
            <w:r>
              <w:rPr>
                <w:rFonts w:ascii="Arial" w:cs="Arial" w:eastAsia="Arial" w:hAnsi="Arial"/>
                <w:sz w:val="18"/>
                <w:szCs w:val="18"/>
                <w:color w:val="auto"/>
              </w:rPr>
              <w:t>Other operating credits and charges, net</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2"/>
        </w:trPr>
        <w:tc>
          <w:tcPr>
            <w:tcW w:w="5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Product-line discontinuance charges</w:t>
            </w: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58"/>
        </w:trPr>
        <w:tc>
          <w:tcPr>
            <w:tcW w:w="5300" w:type="dxa"/>
            <w:vAlign w:val="bottom"/>
          </w:tcPr>
          <w:p>
            <w:pPr>
              <w:ind w:left="180"/>
              <w:spacing w:after="0"/>
              <w:rPr>
                <w:sz w:val="20"/>
                <w:szCs w:val="20"/>
                <w:color w:val="auto"/>
              </w:rPr>
            </w:pPr>
            <w:r>
              <w:rPr>
                <w:rFonts w:ascii="Arial" w:cs="Arial" w:eastAsia="Arial" w:hAnsi="Arial"/>
                <w:sz w:val="18"/>
                <w:szCs w:val="18"/>
                <w:color w:val="auto"/>
              </w:rPr>
              <w:t>Business exit credits and charges</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2"/>
        </w:trPr>
        <w:tc>
          <w:tcPr>
            <w:tcW w:w="5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Pension settlement charges</w:t>
            </w: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w:t>
            </w:r>
          </w:p>
        </w:tc>
      </w:tr>
      <w:tr>
        <w:trPr>
          <w:trHeight w:val="259"/>
        </w:trPr>
        <w:tc>
          <w:tcPr>
            <w:tcW w:w="53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
        </w:trPr>
        <w:tc>
          <w:tcPr>
            <w:tcW w:w="5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Investment income</w:t>
            </w: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(18)</w:t>
            </w:r>
          </w:p>
        </w:tc>
      </w:tr>
      <w:tr>
        <w:trPr>
          <w:trHeight w:val="259"/>
        </w:trPr>
        <w:tc>
          <w:tcPr>
            <w:tcW w:w="5300" w:type="dxa"/>
            <w:vAlign w:val="bottom"/>
          </w:tcPr>
          <w:p>
            <w:pPr>
              <w:ind w:left="180"/>
              <w:spacing w:after="0"/>
              <w:rPr>
                <w:sz w:val="20"/>
                <w:szCs w:val="20"/>
                <w:color w:val="auto"/>
              </w:rPr>
            </w:pPr>
            <w:r>
              <w:rPr>
                <w:rFonts w:ascii="Arial" w:cs="Arial" w:eastAsia="Arial" w:hAnsi="Arial"/>
                <w:sz w:val="18"/>
                <w:szCs w:val="18"/>
                <w:color w:val="auto"/>
              </w:rPr>
              <w:t>Other non-operating expense (income)</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
        </w:trPr>
        <w:tc>
          <w:tcPr>
            <w:tcW w:w="530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00"/>
        </w:trPr>
        <w:tc>
          <w:tcPr>
            <w:tcW w:w="530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Adjusted EBITDA</w:t>
            </w:r>
          </w:p>
        </w:tc>
        <w:tc>
          <w:tcPr>
            <w:tcW w:w="900" w:type="dxa"/>
            <w:vAlign w:val="bottom"/>
            <w:shd w:val="clear" w:color="auto" w:fill="E6E6E6"/>
          </w:tcPr>
          <w:p>
            <w:pPr>
              <w:jc w:val="right"/>
              <w:ind w:right="67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w w:val="99"/>
              </w:rPr>
              <w:t>436</w:t>
            </w:r>
          </w:p>
        </w:tc>
        <w:tc>
          <w:tcPr>
            <w:tcW w:w="380" w:type="dxa"/>
            <w:vAlign w:val="bottom"/>
            <w:gridSpan w:val="3"/>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688</w:t>
            </w:r>
          </w:p>
        </w:tc>
        <w:tc>
          <w:tcPr>
            <w:tcW w:w="460" w:type="dxa"/>
            <w:vAlign w:val="bottom"/>
            <w:gridSpan w:val="3"/>
            <w:shd w:val="clear" w:color="auto" w:fill="E6E6E6"/>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478</w:t>
            </w:r>
          </w:p>
        </w:tc>
      </w:tr>
      <w:tr>
        <w:trPr>
          <w:trHeight w:val="90"/>
        </w:trPr>
        <w:tc>
          <w:tcPr>
            <w:tcW w:w="5300" w:type="dxa"/>
            <w:vAlign w:val="bottom"/>
            <w:tcBorders>
              <w:top w:val="single" w:sz="8" w:color="E6E6E6"/>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 w:type="dxa"/>
            <w:vAlign w:val="bottom"/>
            <w:tcBorders>
              <w:top w:val="single" w:sz="8" w:color="E6E6E6"/>
            </w:tcBorders>
          </w:tcPr>
          <w:p>
            <w:pPr>
              <w:spacing w:after="0"/>
              <w:rPr>
                <w:sz w:val="7"/>
                <w:szCs w:val="7"/>
                <w:color w:val="auto"/>
              </w:rPr>
            </w:pPr>
          </w:p>
        </w:tc>
        <w:tc>
          <w:tcPr>
            <w:tcW w:w="20" w:type="dxa"/>
            <w:vAlign w:val="bottom"/>
            <w:tcBorders>
              <w:top w:val="single" w:sz="8" w:color="E6E6E6"/>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80" w:type="dxa"/>
            <w:vAlign w:val="bottom"/>
            <w:tcBorders>
              <w:top w:val="single" w:sz="8" w:color="E6E6E6"/>
            </w:tcBorders>
          </w:tcPr>
          <w:p>
            <w:pPr>
              <w:spacing w:after="0"/>
              <w:rPr>
                <w:sz w:val="7"/>
                <w:szCs w:val="7"/>
                <w:color w:val="auto"/>
              </w:rPr>
            </w:pPr>
          </w:p>
        </w:tc>
        <w:tc>
          <w:tcPr>
            <w:tcW w:w="20" w:type="dxa"/>
            <w:vAlign w:val="bottom"/>
            <w:tcBorders>
              <w:top w:val="single" w:sz="8" w:color="E6E6E6"/>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r>
      <w:tr>
        <w:trPr>
          <w:trHeight w:val="280"/>
        </w:trPr>
        <w:tc>
          <w:tcPr>
            <w:tcW w:w="530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18"/>
                <w:szCs w:val="18"/>
                <w:color w:val="auto"/>
              </w:rPr>
              <w:t>Siding</w:t>
            </w: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9"/>
              </w:rPr>
              <w:t>444</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390</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269</w:t>
            </w:r>
          </w:p>
        </w:tc>
      </w:tr>
      <w:tr>
        <w:trPr>
          <w:trHeight w:val="259"/>
        </w:trPr>
        <w:tc>
          <w:tcPr>
            <w:tcW w:w="5300" w:type="dxa"/>
            <w:vAlign w:val="bottom"/>
          </w:tcPr>
          <w:p>
            <w:pPr>
              <w:ind w:left="200"/>
              <w:spacing w:after="0"/>
              <w:rPr>
                <w:sz w:val="20"/>
                <w:szCs w:val="20"/>
                <w:color w:val="auto"/>
              </w:rPr>
            </w:pPr>
            <w:r>
              <w:rPr>
                <w:rFonts w:ascii="Arial" w:cs="Arial" w:eastAsia="Arial" w:hAnsi="Arial"/>
                <w:sz w:val="18"/>
                <w:szCs w:val="18"/>
                <w:color w:val="auto"/>
              </w:rPr>
              <w:t>OSB</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41"/>
        </w:trPr>
        <w:tc>
          <w:tcPr>
            <w:tcW w:w="5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5"/>
        </w:trPr>
        <w:tc>
          <w:tcPr>
            <w:tcW w:w="530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(11)</w:t>
            </w:r>
          </w:p>
        </w:tc>
      </w:tr>
      <w:tr>
        <w:trPr>
          <w:trHeight w:val="260"/>
        </w:trPr>
        <w:tc>
          <w:tcPr>
            <w:tcW w:w="5300" w:type="dxa"/>
            <w:vAlign w:val="bottom"/>
            <w:tcBorders>
              <w:top w:val="single" w:sz="8" w:color="E6E6E6"/>
            </w:tcBorders>
          </w:tcPr>
          <w:p>
            <w:pPr>
              <w:ind w:left="60"/>
              <w:spacing w:after="0"/>
              <w:rPr>
                <w:sz w:val="20"/>
                <w:szCs w:val="20"/>
                <w:color w:val="auto"/>
              </w:rPr>
            </w:pPr>
            <w:r>
              <w:rPr>
                <w:rFonts w:ascii="Arial" w:cs="Arial" w:eastAsia="Arial" w:hAnsi="Arial"/>
                <w:sz w:val="18"/>
                <w:szCs w:val="18"/>
                <w:b w:val="1"/>
                <w:bCs w:val="1"/>
                <w:color w:val="auto"/>
              </w:rPr>
              <w:t>Adjusted EBITDA</w:t>
            </w:r>
          </w:p>
        </w:tc>
        <w:tc>
          <w:tcPr>
            <w:tcW w:w="90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436</w:t>
            </w:r>
          </w:p>
        </w:tc>
        <w:tc>
          <w:tcPr>
            <w:tcW w:w="100" w:type="dxa"/>
            <w:vAlign w:val="bottom"/>
            <w:tcBorders>
              <w:top w:val="single" w:sz="8" w:color="E6E6E6"/>
            </w:tcBorders>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w:t>
            </w:r>
          </w:p>
        </w:tc>
        <w:tc>
          <w:tcPr>
            <w:tcW w:w="100" w:type="dxa"/>
            <w:vAlign w:val="bottom"/>
            <w:tcBorders>
              <w:top w:val="single" w:sz="8" w:color="E6E6E6"/>
            </w:tcBorders>
            <w:gridSpan w:val="2"/>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w:t>
            </w:r>
          </w:p>
        </w:tc>
      </w:tr>
      <w:tr>
        <w:trPr>
          <w:trHeight w:val="20"/>
        </w:trPr>
        <w:tc>
          <w:tcPr>
            <w:tcW w:w="5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-1059815</wp:posOffset>
            </wp:positionV>
            <wp:extent cx="260667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9">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-882015</wp:posOffset>
            </wp:positionV>
            <wp:extent cx="2606675"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0">
                      <a:extLst>
                        <a:ext uri="{28A0092B-C50C-407E-A947-70E740481C1C}"/>
                      </a:extLst>
                    </a:blip>
                    <a:srcRect/>
                    <a:stretch>
                      <a:fillRect/>
                    </a:stretch>
                  </pic:blipFill>
                  <pic:spPr bwMode="auto">
                    <a:xfrm>
                      <a:off x="0" y="0"/>
                      <a:ext cx="2606675" cy="508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-221615</wp:posOffset>
            </wp:positionV>
            <wp:extent cx="260667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1">
                      <a:extLst>
                        <a:ext uri="{28A0092B-C50C-407E-A947-70E740481C1C}"/>
                      </a:extLst>
                    </a:blip>
                    <a:srcRect/>
                    <a:stretch>
                      <a:fillRect/>
                    </a:stretch>
                  </pic:blipFill>
                  <pic:spPr bwMode="auto">
                    <a:xfrm>
                      <a:off x="0" y="0"/>
                      <a:ext cx="2606675" cy="25400"/>
                    </a:xfrm>
                    <a:prstGeom prst="rect">
                      <a:avLst/>
                    </a:prstGeom>
                    <a:noFill/>
                  </pic:spPr>
                </pic:pic>
              </a:graphicData>
            </a:graphic>
          </wp:anchor>
        </w:drawing>
      </w:r>
    </w:p>
    <w:p>
      <w:pPr>
        <w:spacing w:after="0" w:line="109"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following table provides the reconciliation of net income to Adjusted Income (dollar amounts in millions, except earnings per share):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w w:val="97"/>
              </w:rPr>
              <w:t>Year Ended December 31,</w:t>
            </w:r>
          </w:p>
        </w:tc>
        <w:tc>
          <w:tcPr>
            <w:tcW w:w="920" w:type="dxa"/>
            <w:vAlign w:val="bottom"/>
          </w:tcPr>
          <w:p>
            <w:pPr>
              <w:spacing w:after="0"/>
              <w:rPr>
                <w:sz w:val="20"/>
                <w:szCs w:val="20"/>
                <w:color w:val="auto"/>
              </w:rPr>
            </w:pPr>
          </w:p>
        </w:tc>
      </w:tr>
      <w:tr>
        <w:trPr>
          <w:trHeight w:val="33"/>
        </w:trPr>
        <w:tc>
          <w:tcPr>
            <w:tcW w:w="5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7"/>
        </w:trPr>
        <w:tc>
          <w:tcPr>
            <w:tcW w:w="5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33"/>
        </w:trPr>
        <w:tc>
          <w:tcPr>
            <w:tcW w:w="5300" w:type="dxa"/>
            <w:vAlign w:val="bottom"/>
            <w:tcBorders>
              <w:bottom w:val="single" w:sz="8" w:color="E6E6E6"/>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Net income per share of common stock - diluted</w:t>
            </w:r>
          </w:p>
        </w:tc>
        <w:tc>
          <w:tcPr>
            <w:tcW w:w="860" w:type="dxa"/>
            <w:vAlign w:val="bottom"/>
            <w:tcBorders>
              <w:bottom w:val="single" w:sz="8" w:color="E6E6E6"/>
            </w:tcBorders>
            <w:shd w:val="clear" w:color="auto" w:fill="E6E6E6"/>
          </w:tcPr>
          <w:p>
            <w:pPr>
              <w:jc w:val="right"/>
              <w:ind w:right="63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w w:val="96"/>
              </w:rPr>
              <w:t>2.08</w:t>
            </w:r>
          </w:p>
        </w:tc>
        <w:tc>
          <w:tcPr>
            <w:tcW w:w="380" w:type="dxa"/>
            <w:vAlign w:val="bottom"/>
            <w:tcBorders>
              <w:bottom w:val="single" w:sz="8" w:color="E6E6E6"/>
            </w:tcBorders>
            <w:gridSpan w:val="2"/>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5.89</w:t>
            </w:r>
          </w:p>
        </w:tc>
        <w:tc>
          <w:tcPr>
            <w:tcW w:w="460" w:type="dxa"/>
            <w:vAlign w:val="bottom"/>
            <w:tcBorders>
              <w:bottom w:val="single" w:sz="8" w:color="E6E6E6"/>
            </w:tcBorders>
            <w:gridSpan w:val="2"/>
            <w:shd w:val="clear" w:color="auto" w:fill="E6E6E6"/>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2.46</w:t>
            </w:r>
          </w:p>
        </w:tc>
      </w:tr>
      <w:tr>
        <w:trPr>
          <w:trHeight w:val="165"/>
        </w:trPr>
        <w:tc>
          <w:tcPr>
            <w:tcW w:w="5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8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Net income</w:t>
            </w:r>
          </w:p>
        </w:tc>
        <w:tc>
          <w:tcPr>
            <w:tcW w:w="860" w:type="dxa"/>
            <w:vAlign w:val="bottom"/>
            <w:tcBorders>
              <w:bottom w:val="single" w:sz="8" w:color="E6E6E6"/>
            </w:tcBorders>
            <w:shd w:val="clear" w:color="auto" w:fill="E6E6E6"/>
          </w:tcPr>
          <w:p>
            <w:pPr>
              <w:jc w:val="right"/>
              <w:ind w:right="63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146</w:t>
            </w:r>
          </w:p>
        </w:tc>
        <w:tc>
          <w:tcPr>
            <w:tcW w:w="380" w:type="dxa"/>
            <w:vAlign w:val="bottom"/>
            <w:tcBorders>
              <w:bottom w:val="single" w:sz="8" w:color="E6E6E6"/>
            </w:tcBorders>
            <w:gridSpan w:val="2"/>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420</w:t>
            </w:r>
          </w:p>
        </w:tc>
        <w:tc>
          <w:tcPr>
            <w:tcW w:w="460" w:type="dxa"/>
            <w:vAlign w:val="bottom"/>
            <w:tcBorders>
              <w:bottom w:val="single" w:sz="8" w:color="E6E6E6"/>
            </w:tcBorders>
            <w:gridSpan w:val="2"/>
            <w:shd w:val="clear" w:color="auto" w:fill="E6E6E6"/>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178</w:t>
            </w: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Add (deduct):</w:t>
            </w: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42"/>
        </w:trPr>
        <w:tc>
          <w:tcPr>
            <w:tcW w:w="5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Loss on impairment</w:t>
            </w:r>
          </w:p>
        </w:tc>
        <w:tc>
          <w:tcPr>
            <w:tcW w:w="86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w:t>
            </w:r>
          </w:p>
        </w:tc>
      </w:tr>
      <w:tr>
        <w:trPr>
          <w:trHeight w:val="258"/>
        </w:trPr>
        <w:tc>
          <w:tcPr>
            <w:tcW w:w="5300" w:type="dxa"/>
            <w:vAlign w:val="bottom"/>
          </w:tcPr>
          <w:p>
            <w:pPr>
              <w:ind w:left="180"/>
              <w:spacing w:after="0"/>
              <w:rPr>
                <w:sz w:val="20"/>
                <w:szCs w:val="20"/>
                <w:color w:val="auto"/>
              </w:rPr>
            </w:pPr>
            <w:r>
              <w:rPr>
                <w:rFonts w:ascii="Arial" w:cs="Arial" w:eastAsia="Arial" w:hAnsi="Arial"/>
                <w:sz w:val="18"/>
                <w:szCs w:val="18"/>
                <w:color w:val="auto"/>
              </w:rPr>
              <w:t>Other operating credits and charges, net</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2"/>
        </w:trPr>
        <w:tc>
          <w:tcPr>
            <w:tcW w:w="5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Product-line discontinuance charges</w:t>
            </w:r>
          </w:p>
        </w:tc>
        <w:tc>
          <w:tcPr>
            <w:tcW w:w="86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58"/>
        </w:trPr>
        <w:tc>
          <w:tcPr>
            <w:tcW w:w="5300" w:type="dxa"/>
            <w:vAlign w:val="bottom"/>
          </w:tcPr>
          <w:p>
            <w:pPr>
              <w:ind w:left="180"/>
              <w:spacing w:after="0"/>
              <w:rPr>
                <w:sz w:val="20"/>
                <w:szCs w:val="20"/>
                <w:color w:val="auto"/>
              </w:rPr>
            </w:pPr>
            <w:r>
              <w:rPr>
                <w:rFonts w:ascii="Arial" w:cs="Arial" w:eastAsia="Arial" w:hAnsi="Arial"/>
                <w:sz w:val="18"/>
                <w:szCs w:val="18"/>
                <w:color w:val="auto"/>
              </w:rPr>
              <w:t>Business exit credits and charges</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2"/>
        </w:trPr>
        <w:tc>
          <w:tcPr>
            <w:tcW w:w="5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Pension settlement charges</w:t>
            </w:r>
          </w:p>
        </w:tc>
        <w:tc>
          <w:tcPr>
            <w:tcW w:w="86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w:t>
            </w:r>
          </w:p>
        </w:tc>
      </w:tr>
      <w:tr>
        <w:trPr>
          <w:trHeight w:val="259"/>
        </w:trPr>
        <w:tc>
          <w:tcPr>
            <w:tcW w:w="5300" w:type="dxa"/>
            <w:vAlign w:val="bottom"/>
          </w:tcPr>
          <w:p>
            <w:pPr>
              <w:ind w:left="180"/>
              <w:spacing w:after="0"/>
              <w:rPr>
                <w:sz w:val="20"/>
                <w:szCs w:val="20"/>
                <w:color w:val="auto"/>
              </w:rPr>
            </w:pPr>
            <w:r>
              <w:rPr>
                <w:rFonts w:ascii="Arial" w:cs="Arial" w:eastAsia="Arial" w:hAnsi="Arial"/>
                <w:sz w:val="18"/>
                <w:szCs w:val="18"/>
                <w:color w:val="auto"/>
              </w:rPr>
              <w:t>Reported tax provision</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
        </w:trPr>
        <w:tc>
          <w:tcPr>
            <w:tcW w:w="5300" w:type="dxa"/>
            <w:vAlign w:val="bottom"/>
            <w:tcBorders>
              <w:bottom w:val="single" w:sz="8" w:color="E6E6E6"/>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Adjusted income before tax</w:t>
            </w:r>
          </w:p>
        </w:tc>
        <w:tc>
          <w:tcPr>
            <w:tcW w:w="860" w:type="dxa"/>
            <w:vAlign w:val="bottom"/>
            <w:tcBorders>
              <w:bottom w:val="single" w:sz="8" w:color="E6E6E6"/>
            </w:tcBorders>
            <w:shd w:val="clear" w:color="auto" w:fill="E6E6E6"/>
          </w:tcPr>
          <w:p>
            <w:pPr>
              <w:spacing w:after="0"/>
              <w:rPr>
                <w:sz w:val="23"/>
                <w:szCs w:val="23"/>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559</w:t>
            </w:r>
          </w:p>
        </w:tc>
        <w:tc>
          <w:tcPr>
            <w:tcW w:w="8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311</w:t>
            </w:r>
          </w:p>
        </w:tc>
      </w:tr>
      <w:tr>
        <w:trPr>
          <w:trHeight w:val="259"/>
        </w:trPr>
        <w:tc>
          <w:tcPr>
            <w:tcW w:w="5300" w:type="dxa"/>
            <w:vAlign w:val="bottom"/>
          </w:tcPr>
          <w:p>
            <w:pPr>
              <w:ind w:left="180"/>
              <w:spacing w:after="0"/>
              <w:rPr>
                <w:sz w:val="20"/>
                <w:szCs w:val="20"/>
                <w:color w:val="auto"/>
              </w:rPr>
            </w:pPr>
            <w:r>
              <w:rPr>
                <w:rFonts w:ascii="Arial" w:cs="Arial" w:eastAsia="Arial" w:hAnsi="Arial"/>
                <w:sz w:val="18"/>
                <w:szCs w:val="18"/>
                <w:color w:val="auto"/>
              </w:rPr>
              <w:t>Normalized tax provision at 25%</w:t>
            </w:r>
            <w:r>
              <w:rPr>
                <w:rFonts w:ascii="Arial" w:cs="Arial" w:eastAsia="Arial" w:hAnsi="Arial"/>
                <w:sz w:val="11"/>
                <w:szCs w:val="11"/>
                <w:color w:val="auto"/>
              </w:rPr>
              <w:t>1</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1"/>
        </w:trPr>
        <w:tc>
          <w:tcPr>
            <w:tcW w:w="5300" w:type="dxa"/>
            <w:vAlign w:val="bottom"/>
            <w:tcBorders>
              <w:bottom w:val="single" w:sz="8" w:color="E6E6E6"/>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Adjusted Income</w:t>
            </w:r>
          </w:p>
        </w:tc>
        <w:tc>
          <w:tcPr>
            <w:tcW w:w="860" w:type="dxa"/>
            <w:vAlign w:val="bottom"/>
            <w:tcBorders>
              <w:bottom w:val="single" w:sz="8" w:color="E6E6E6"/>
            </w:tcBorders>
            <w:shd w:val="clear" w:color="auto" w:fill="E6E6E6"/>
          </w:tcPr>
          <w:p>
            <w:pPr>
              <w:jc w:val="right"/>
              <w:ind w:right="63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185</w:t>
            </w:r>
          </w:p>
        </w:tc>
        <w:tc>
          <w:tcPr>
            <w:tcW w:w="380" w:type="dxa"/>
            <w:vAlign w:val="bottom"/>
            <w:tcBorders>
              <w:bottom w:val="single" w:sz="8" w:color="E6E6E6"/>
            </w:tcBorders>
            <w:gridSpan w:val="2"/>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419</w:t>
            </w:r>
          </w:p>
        </w:tc>
        <w:tc>
          <w:tcPr>
            <w:tcW w:w="460" w:type="dxa"/>
            <w:vAlign w:val="bottom"/>
            <w:tcBorders>
              <w:bottom w:val="single" w:sz="8" w:color="E6E6E6"/>
            </w:tcBorders>
            <w:gridSpan w:val="2"/>
            <w:shd w:val="clear" w:color="auto" w:fill="E6E6E6"/>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233</w:t>
            </w: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Diluted shares outstanding</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
        </w:trPr>
        <w:tc>
          <w:tcPr>
            <w:tcW w:w="5300" w:type="dxa"/>
            <w:vAlign w:val="bottom"/>
            <w:tcBorders>
              <w:bottom w:val="single" w:sz="8" w:color="E6E6E6"/>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00"/>
        </w:trPr>
        <w:tc>
          <w:tcPr>
            <w:tcW w:w="530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8"/>
                <w:szCs w:val="18"/>
                <w:b w:val="1"/>
                <w:bCs w:val="1"/>
                <w:color w:val="auto"/>
              </w:rPr>
              <w:t>Adjusted Diluted EPS</w:t>
            </w:r>
          </w:p>
        </w:tc>
        <w:tc>
          <w:tcPr>
            <w:tcW w:w="860" w:type="dxa"/>
            <w:vAlign w:val="bottom"/>
            <w:tcBorders>
              <w:bottom w:val="single" w:sz="8" w:color="auto"/>
            </w:tcBorders>
            <w:shd w:val="clear" w:color="auto" w:fill="E6E6E6"/>
          </w:tcPr>
          <w:p>
            <w:pPr>
              <w:jc w:val="right"/>
              <w:ind w:right="63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w w:val="96"/>
              </w:rPr>
              <w:t>2.65</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5.88</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-2802890</wp:posOffset>
            </wp:positionV>
            <wp:extent cx="260667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2">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-983615</wp:posOffset>
            </wp:positionV>
            <wp:extent cx="260667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3">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-602615</wp:posOffset>
            </wp:positionV>
            <wp:extent cx="260667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4">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-221615</wp:posOffset>
            </wp:positionV>
            <wp:extent cx="260667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5">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-43815</wp:posOffset>
            </wp:positionV>
            <wp:extent cx="2606675"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6">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We estimate a normalized effective tax rate of approximately 25%, reflecting the blended federal, state, and generally higher foreign tax rates</w:t>
      </w:r>
    </w:p>
    <w:p>
      <w:pPr>
        <w:spacing w:after="0" w:line="1"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applicable to our operations, though this rate may vary depending on our actual geographic mix of income and any unforeseen factors such as changes in tax legislation.</w:t>
      </w:r>
    </w:p>
    <w:p>
      <w:pPr>
        <w:sectPr>
          <w:pgSz w:w="11880" w:h="15480" w:orient="portrait"/>
          <w:cols w:equalWidth="0" w:num="1">
            <w:col w:w="9360"/>
          </w:cols>
          <w:pgMar w:left="1260" w:top="1197" w:right="1260" w:bottom="225" w:gutter="0" w:footer="0" w:header="0"/>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9360"/>
          </w:cols>
          <w:pgMar w:left="1260" w:top="1197" w:right="1260" w:bottom="225" w:gutter="0" w:footer="0" w:header="0"/>
          <w:type w:val="continuous"/>
        </w:sectPr>
      </w:pPr>
    </w:p>
    <w:bookmarkStart w:id="54" w:name="page55"/>
    <w:bookmarkEnd w:id="54"/>
    <w:p>
      <w:pPr>
        <w:spacing w:after="0"/>
        <w:rPr>
          <w:sz w:val="20"/>
          <w:szCs w:val="20"/>
          <w:color w:val="auto"/>
        </w:rPr>
      </w:pPr>
      <w:r>
        <w:rPr>
          <w:rFonts w:ascii="Arial" w:cs="Arial" w:eastAsia="Arial" w:hAnsi="Arial"/>
          <w:sz w:val="20"/>
          <w:szCs w:val="20"/>
          <w:b w:val="1"/>
          <w:bCs w:val="1"/>
          <w:color w:val="auto"/>
        </w:rPr>
        <w:t>OUR OPERATING RESULTS</w:t>
      </w:r>
    </w:p>
    <w:p>
      <w:pPr>
        <w:spacing w:after="0" w:line="25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conducts business through three operating segments: Siding, OSB, and LP South America (LPSA). In the fourth quarter of 2025, the Company determined that LPSA did not meet the reportable segment criteria and beginning with the fourth quarter of 2025, the financial information for the LPSA operating segment is included in Other. These changes had no impact on our consolidated results of operations or financial position. Prior period segment information has been recast to conform to our current presentation. Our other operating segments, Siding and OSB remain reportable operating segments. Other now comprises our South American operations and other products that are not individually significant. See “Note 15 - Segment Information” of the Notes to the Consolidated Financial Statements included in Item 8 of this annual report on Form 10-K for further information regarding our reportable segments. The results of operations for each of our reporting segments are discussed below, as are results of operations for Other.</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Siding</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Siding segment serves diverse end markets with a broad product portfolio of engineered wood siding, trim, soffit, and fascia. Our Siding is offered primed (LP</w:t>
      </w:r>
      <w:r>
        <w:rPr>
          <w:rFonts w:ascii="Arial" w:cs="Arial" w:eastAsia="Arial" w:hAnsi="Arial"/>
          <w:sz w:val="12"/>
          <w:szCs w:val="12"/>
          <w:color w:val="auto"/>
        </w:rPr>
        <w:t>®</w:t>
      </w:r>
      <w:r>
        <w:rPr>
          <w:rFonts w:ascii="Arial" w:cs="Arial" w:eastAsia="Arial" w:hAnsi="Arial"/>
          <w:sz w:val="19"/>
          <w:szCs w:val="19"/>
          <w:color w:val="auto"/>
        </w:rPr>
        <w:t xml:space="preserve"> SmartSide</w:t>
      </w:r>
      <w:r>
        <w:rPr>
          <w:rFonts w:ascii="Arial" w:cs="Arial" w:eastAsia="Arial" w:hAnsi="Arial"/>
          <w:sz w:val="12"/>
          <w:szCs w:val="12"/>
          <w:color w:val="auto"/>
        </w:rPr>
        <w:t>®</w:t>
      </w:r>
      <w:r>
        <w:rPr>
          <w:rFonts w:ascii="Arial" w:cs="Arial" w:eastAsia="Arial" w:hAnsi="Arial"/>
          <w:sz w:val="19"/>
          <w:szCs w:val="19"/>
          <w:color w:val="auto"/>
        </w:rPr>
        <w:t xml:space="preserve"> Trim &amp; Siding, LP BuilderSeries</w:t>
      </w:r>
      <w:r>
        <w:rPr>
          <w:rFonts w:ascii="Arial" w:cs="Arial" w:eastAsia="Arial" w:hAnsi="Arial"/>
          <w:sz w:val="12"/>
          <w:szCs w:val="12"/>
          <w:color w:val="auto"/>
        </w:rPr>
        <w:t>®</w:t>
      </w:r>
      <w:r>
        <w:rPr>
          <w:rFonts w:ascii="Arial" w:cs="Arial" w:eastAsia="Arial" w:hAnsi="Arial"/>
          <w:sz w:val="19"/>
          <w:szCs w:val="19"/>
          <w:color w:val="auto"/>
        </w:rPr>
        <w:t xml:space="preserve"> Lap Siding, and LP</w:t>
      </w:r>
      <w:r>
        <w:rPr>
          <w:rFonts w:ascii="Arial" w:cs="Arial" w:eastAsia="Arial" w:hAnsi="Arial"/>
          <w:sz w:val="12"/>
          <w:szCs w:val="12"/>
          <w:color w:val="auto"/>
        </w:rPr>
        <w:t>®</w:t>
      </w:r>
      <w:r>
        <w:rPr>
          <w:rFonts w:ascii="Arial" w:cs="Arial" w:eastAsia="Arial" w:hAnsi="Arial"/>
          <w:sz w:val="19"/>
          <w:szCs w:val="19"/>
          <w:color w:val="auto"/>
        </w:rPr>
        <w:t xml:space="preserve"> Outdoor Building Solutions</w:t>
      </w:r>
      <w:r>
        <w:rPr>
          <w:rFonts w:ascii="Arial" w:cs="Arial" w:eastAsia="Arial" w:hAnsi="Arial"/>
          <w:sz w:val="12"/>
          <w:szCs w:val="12"/>
          <w:color w:val="auto"/>
        </w:rPr>
        <w:t>®</w:t>
      </w:r>
      <w:r>
        <w:rPr>
          <w:rFonts w:ascii="Arial" w:cs="Arial" w:eastAsia="Arial" w:hAnsi="Arial"/>
          <w:sz w:val="19"/>
          <w:szCs w:val="19"/>
          <w:color w:val="auto"/>
        </w:rPr>
        <w:t>) and pre-finished (LP</w:t>
      </w:r>
      <w:r>
        <w:rPr>
          <w:rFonts w:ascii="Arial" w:cs="Arial" w:eastAsia="Arial" w:hAnsi="Arial"/>
          <w:sz w:val="12"/>
          <w:szCs w:val="12"/>
          <w:color w:val="auto"/>
        </w:rPr>
        <w:t>®</w:t>
      </w:r>
      <w:r>
        <w:rPr>
          <w:rFonts w:ascii="Arial" w:cs="Arial" w:eastAsia="Arial" w:hAnsi="Arial"/>
          <w:sz w:val="19"/>
          <w:szCs w:val="19"/>
          <w:color w:val="auto"/>
        </w:rPr>
        <w:t xml:space="preserve"> SmartSide</w:t>
      </w:r>
      <w:r>
        <w:rPr>
          <w:rFonts w:ascii="Arial" w:cs="Arial" w:eastAsia="Arial" w:hAnsi="Arial"/>
          <w:sz w:val="12"/>
          <w:szCs w:val="12"/>
          <w:color w:val="auto"/>
        </w:rPr>
        <w:t>®</w:t>
      </w:r>
      <w:r>
        <w:rPr>
          <w:rFonts w:ascii="Arial" w:cs="Arial" w:eastAsia="Arial" w:hAnsi="Arial"/>
          <w:sz w:val="19"/>
          <w:szCs w:val="19"/>
          <w:color w:val="auto"/>
        </w:rPr>
        <w:t xml:space="preserve"> ExpertFinish</w:t>
      </w:r>
      <w:r>
        <w:rPr>
          <w:rFonts w:ascii="Arial" w:cs="Arial" w:eastAsia="Arial" w:hAnsi="Arial"/>
          <w:sz w:val="12"/>
          <w:szCs w:val="12"/>
          <w:color w:val="auto"/>
        </w:rPr>
        <w:t>®</w:t>
      </w:r>
      <w:r>
        <w:rPr>
          <w:rFonts w:ascii="Arial" w:cs="Arial" w:eastAsia="Arial" w:hAnsi="Arial"/>
          <w:sz w:val="19"/>
          <w:szCs w:val="19"/>
          <w:color w:val="auto"/>
        </w:rPr>
        <w:t xml:space="preserve"> Trim &amp; Siding) to meet the needs of builders and installers in new construction and repair and remodeling applications.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Segment net sales and Adjusted EBITDA for this segment were as follows (dollar amounts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4"/>
              </w:rPr>
              <w:t>Year Ended December 31,</w:t>
            </w:r>
          </w:p>
        </w:tc>
        <w:tc>
          <w:tcPr>
            <w:tcW w:w="80" w:type="dxa"/>
            <w:vAlign w:val="bottom"/>
          </w:tcPr>
          <w:p>
            <w:pPr>
              <w:spacing w:after="0"/>
              <w:rPr>
                <w:sz w:val="21"/>
                <w:szCs w:val="21"/>
                <w:color w:val="auto"/>
              </w:rPr>
            </w:pP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Increase</w:t>
            </w:r>
          </w:p>
        </w:tc>
      </w:tr>
      <w:tr>
        <w:trPr>
          <w:trHeight w:val="247"/>
        </w:trPr>
        <w:tc>
          <w:tcPr>
            <w:tcW w:w="5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2025 - 2024</w:t>
            </w:r>
          </w:p>
        </w:tc>
      </w:tr>
      <w:tr>
        <w:trPr>
          <w:trHeight w:val="33"/>
        </w:trPr>
        <w:tc>
          <w:tcPr>
            <w:tcW w:w="5300" w:type="dxa"/>
            <w:vAlign w:val="bottom"/>
            <w:tcBorders>
              <w:bottom w:val="single" w:sz="8" w:color="E6E6E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E6E6E6"/>
            </w:tcBorders>
            <w:shd w:val="clear" w:color="auto" w:fill="E6E6E6"/>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1,689</w:t>
            </w:r>
          </w:p>
        </w:tc>
        <w:tc>
          <w:tcPr>
            <w:tcW w:w="380" w:type="dxa"/>
            <w:vAlign w:val="bottom"/>
            <w:tcBorders>
              <w:bottom w:val="single" w:sz="8" w:color="E6E6E6"/>
            </w:tcBorders>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1,558</w:t>
            </w:r>
          </w:p>
        </w:tc>
        <w:tc>
          <w:tcPr>
            <w:tcW w:w="138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rPr>
              <w:t>8 %</w:t>
            </w: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-366395</wp:posOffset>
            </wp:positionV>
            <wp:extent cx="260667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7">
                      <a:extLst>
                        <a:ext uri="{28A0092B-C50C-407E-A947-70E740481C1C}"/>
                      </a:extLst>
                    </a:blip>
                    <a:srcRect/>
                    <a:stretch>
                      <a:fillRect/>
                    </a:stretch>
                  </pic:blipFill>
                  <pic:spPr bwMode="auto">
                    <a:xfrm>
                      <a:off x="0" y="0"/>
                      <a:ext cx="2606675" cy="2540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Net sales in this segment by product line were as follows (dollar amounts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4"/>
              </w:rPr>
              <w:t>Year Ended December 31,</w:t>
            </w:r>
          </w:p>
        </w:tc>
        <w:tc>
          <w:tcPr>
            <w:tcW w:w="80" w:type="dxa"/>
            <w:vAlign w:val="bottom"/>
          </w:tcPr>
          <w:p>
            <w:pPr>
              <w:spacing w:after="0"/>
              <w:rPr>
                <w:sz w:val="21"/>
                <w:szCs w:val="21"/>
                <w:color w:val="auto"/>
              </w:rPr>
            </w:pP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Increase</w:t>
            </w:r>
          </w:p>
        </w:tc>
      </w:tr>
      <w:tr>
        <w:trPr>
          <w:trHeight w:val="247"/>
        </w:trPr>
        <w:tc>
          <w:tcPr>
            <w:tcW w:w="5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2025 - 2024</w:t>
            </w:r>
          </w:p>
        </w:tc>
      </w:tr>
      <w:tr>
        <w:trPr>
          <w:trHeight w:val="33"/>
        </w:trPr>
        <w:tc>
          <w:tcPr>
            <w:tcW w:w="5300" w:type="dxa"/>
            <w:vAlign w:val="bottom"/>
            <w:tcBorders>
              <w:bottom w:val="single" w:sz="8" w:color="E6E6E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Siding</w:t>
            </w:r>
          </w:p>
        </w:tc>
        <w:tc>
          <w:tcPr>
            <w:tcW w:w="240" w:type="dxa"/>
            <w:vAlign w:val="bottom"/>
            <w:tcBorders>
              <w:bottom w:val="single" w:sz="8" w:color="E6E6E6"/>
            </w:tcBorders>
            <w:shd w:val="clear" w:color="auto" w:fill="E6E6E6"/>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1,679</w:t>
            </w:r>
          </w:p>
        </w:tc>
        <w:tc>
          <w:tcPr>
            <w:tcW w:w="380" w:type="dxa"/>
            <w:vAlign w:val="bottom"/>
            <w:tcBorders>
              <w:bottom w:val="single" w:sz="8" w:color="E6E6E6"/>
            </w:tcBorders>
            <w:gridSpan w:val="2"/>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1,549</w:t>
            </w:r>
          </w:p>
        </w:tc>
        <w:tc>
          <w:tcPr>
            <w:tcW w:w="138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rPr>
              <w:t>8 %</w:t>
            </w: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32"/>
        </w:trPr>
        <w:tc>
          <w:tcPr>
            <w:tcW w:w="5300" w:type="dxa"/>
            <w:vAlign w:val="bottom"/>
            <w:tcBorders>
              <w:bottom w:val="single" w:sz="8" w:color="E6E6E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1300" w:type="dxa"/>
            <w:vAlign w:val="bottom"/>
            <w:tcBorders>
              <w:bottom w:val="single" w:sz="8" w:color="E6E6E6"/>
            </w:tcBorders>
          </w:tcPr>
          <w:p>
            <w:pPr>
              <w:spacing w:after="0"/>
              <w:rPr>
                <w:sz w:val="2"/>
                <w:szCs w:val="2"/>
                <w:color w:val="auto"/>
              </w:rPr>
            </w:pPr>
          </w:p>
        </w:tc>
      </w:tr>
      <w:tr>
        <w:trPr>
          <w:trHeight w:val="300"/>
        </w:trPr>
        <w:tc>
          <w:tcPr>
            <w:tcW w:w="5300" w:type="dxa"/>
            <w:vAlign w:val="bottom"/>
            <w:tcBorders>
              <w:bottom w:val="single" w:sz="8" w:color="E6E6E6"/>
            </w:tcBorders>
            <w:shd w:val="clear" w:color="auto" w:fill="E6E6E6"/>
          </w:tcPr>
          <w:p>
            <w:pPr>
              <w:ind w:left="4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E6E6E6"/>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1,689</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1,558</w:t>
            </w:r>
          </w:p>
        </w:tc>
        <w:tc>
          <w:tcPr>
            <w:tcW w:w="80" w:type="dxa"/>
            <w:vAlign w:val="bottom"/>
            <w:tcBorders>
              <w:bottom w:val="single" w:sz="8" w:color="E6E6E6"/>
            </w:tcBorders>
            <w:shd w:val="clear" w:color="auto" w:fill="E6E6E6"/>
          </w:tcPr>
          <w:p>
            <w:pPr>
              <w:spacing w:after="0"/>
              <w:rPr>
                <w:sz w:val="24"/>
                <w:szCs w:val="24"/>
                <w:color w:val="auto"/>
              </w:rPr>
            </w:pPr>
          </w:p>
        </w:tc>
        <w:tc>
          <w:tcPr>
            <w:tcW w:w="1300" w:type="dxa"/>
            <w:vAlign w:val="bottom"/>
            <w:tcBorders>
              <w:bottom w:val="single" w:sz="8" w:color="E6E6E6"/>
            </w:tcBorders>
            <w:shd w:val="clear" w:color="auto" w:fill="E6E6E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-602615</wp:posOffset>
            </wp:positionV>
            <wp:extent cx="260667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8">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-221615</wp:posOffset>
            </wp:positionV>
            <wp:extent cx="173037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9">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-43815</wp:posOffset>
            </wp:positionV>
            <wp:extent cx="173037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0">
                      <a:extLst>
                        <a:ext uri="{28A0092B-C50C-407E-A947-70E740481C1C}"/>
                      </a:extLst>
                    </a:blip>
                    <a:srcRect/>
                    <a:stretch>
                      <a:fillRect/>
                    </a:stretch>
                  </pic:blipFill>
                  <pic:spPr bwMode="auto">
                    <a:xfrm>
                      <a:off x="0" y="0"/>
                      <a:ext cx="1730375" cy="5080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Percent changes in average net sales price and unit shipments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80" w:type="dxa"/>
            <w:vAlign w:val="bottom"/>
          </w:tcPr>
          <w:p>
            <w:pPr>
              <w:spacing w:after="0"/>
              <w:rPr>
                <w:sz w:val="21"/>
                <w:szCs w:val="21"/>
                <w:color w:val="auto"/>
              </w:rPr>
            </w:pPr>
          </w:p>
        </w:tc>
        <w:tc>
          <w:tcPr>
            <w:tcW w:w="268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2025 versus 2024</w:t>
            </w:r>
          </w:p>
        </w:tc>
      </w:tr>
      <w:tr>
        <w:trPr>
          <w:trHeight w:val="176"/>
        </w:trPr>
        <w:tc>
          <w:tcPr>
            <w:tcW w:w="668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7"/>
              </w:rPr>
              <w:t>Unit</w:t>
            </w:r>
          </w:p>
        </w:tc>
      </w:tr>
      <w:tr>
        <w:trPr>
          <w:trHeight w:val="239"/>
        </w:trPr>
        <w:tc>
          <w:tcPr>
            <w:tcW w:w="6680" w:type="dxa"/>
            <w:vAlign w:val="bottom"/>
            <w:tcBorders>
              <w:bottom w:val="single" w:sz="8" w:color="E6E6E6"/>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Selling Price</w:t>
            </w:r>
          </w:p>
        </w:tc>
        <w:tc>
          <w:tcPr>
            <w:tcW w:w="80" w:type="dxa"/>
            <w:vAlign w:val="bottom"/>
            <w:tcBorders>
              <w:bottom w:val="single" w:sz="8" w:color="E6E6E6"/>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Shipments</w:t>
            </w:r>
          </w:p>
        </w:tc>
      </w:tr>
      <w:tr>
        <w:trPr>
          <w:trHeight w:val="275"/>
        </w:trPr>
        <w:tc>
          <w:tcPr>
            <w:tcW w:w="6680" w:type="dxa"/>
            <w:vAlign w:val="bottom"/>
            <w:shd w:val="clear" w:color="auto" w:fill="E6E6E6"/>
          </w:tcPr>
          <w:p>
            <w:pPr>
              <w:ind w:left="60"/>
              <w:spacing w:after="0"/>
              <w:rPr>
                <w:sz w:val="20"/>
                <w:szCs w:val="20"/>
                <w:color w:val="auto"/>
              </w:rPr>
            </w:pPr>
            <w:r>
              <w:rPr>
                <w:rFonts w:ascii="Arial" w:cs="Arial" w:eastAsia="Arial" w:hAnsi="Arial"/>
                <w:sz w:val="18"/>
                <w:szCs w:val="18"/>
                <w:color w:val="auto"/>
              </w:rPr>
              <w:t>Siding</w:t>
            </w:r>
          </w:p>
        </w:tc>
        <w:tc>
          <w:tcPr>
            <w:tcW w:w="13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4 %</w:t>
            </w:r>
          </w:p>
        </w:tc>
        <w:tc>
          <w:tcPr>
            <w:tcW w:w="1380" w:type="dxa"/>
            <w:vAlign w:val="bottom"/>
            <w:gridSpan w:val="2"/>
            <w:shd w:val="clear" w:color="auto" w:fill="E6E6E6"/>
          </w:tcPr>
          <w:p>
            <w:pPr>
              <w:jc w:val="right"/>
              <w:spacing w:after="0"/>
              <w:rPr>
                <w:sz w:val="20"/>
                <w:szCs w:val="20"/>
                <w:color w:val="auto"/>
              </w:rPr>
            </w:pPr>
            <w:r>
              <w:rPr>
                <w:rFonts w:ascii="Arial" w:cs="Arial" w:eastAsia="Arial" w:hAnsi="Arial"/>
                <w:sz w:val="18"/>
                <w:szCs w:val="18"/>
                <w:color w:val="auto"/>
              </w:rPr>
              <w:t>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-193040</wp:posOffset>
            </wp:positionV>
            <wp:extent cx="173037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1">
                      <a:extLst>
                        <a:ext uri="{28A0092B-C50C-407E-A947-70E740481C1C}"/>
                      </a:extLst>
                    </a:blip>
                    <a:srcRect/>
                    <a:stretch>
                      <a:fillRect/>
                    </a:stretch>
                  </pic:blipFill>
                  <pic:spPr bwMode="auto">
                    <a:xfrm>
                      <a:off x="0" y="0"/>
                      <a:ext cx="1730375" cy="25400"/>
                    </a:xfrm>
                    <a:prstGeom prst="rect">
                      <a:avLst/>
                    </a:prstGeom>
                    <a:noFill/>
                  </pic:spPr>
                </pic:pic>
              </a:graphicData>
            </a:graphic>
          </wp:anchor>
        </w:drawing>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Siding net sales increased for the year ended December 31, 2025 due to higher sales volumes and selling prices. Increases in the average sales price were primarily due to a combination of list price increases and favorable mix. ExpertFinish accounted for 10% of sales volume and 16% of net sales for the year ended December 31, 2025, contributing significantly to this favorable mix.</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the year ended December 31, 2025, Adjusted EBITDA increased $54 million compared to prior-year. This growth was driven by higher sales volume and higher selling prices of $91 million, partially offset by strategic investments in sales and marketing of $11 million, a $9 million increase of selling, general, and administrative expenses, $7 million of mill overhead and inventory absorption, and $7 million of tariff expenses.</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9360"/>
          </w:cols>
          <w:pgMar w:left="1260" w:top="1190" w:right="1260" w:bottom="225"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b w:val="1"/>
          <w:bCs w:val="1"/>
          <w:color w:val="auto"/>
        </w:rPr>
        <w:t>OSB</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OSB segment manufactures and distributes OSB structural panel products, including the innovative value-added OSB product portfolio known as LP</w:t>
      </w:r>
      <w:r>
        <w:rPr>
          <w:rFonts w:ascii="Arial" w:cs="Arial" w:eastAsia="Arial" w:hAnsi="Arial"/>
          <w:sz w:val="13"/>
          <w:szCs w:val="13"/>
          <w:color w:val="auto"/>
        </w:rPr>
        <w:t>®</w:t>
      </w:r>
      <w:r>
        <w:rPr>
          <w:rFonts w:ascii="Arial" w:cs="Arial" w:eastAsia="Arial" w:hAnsi="Arial"/>
          <w:sz w:val="20"/>
          <w:szCs w:val="20"/>
          <w:color w:val="auto"/>
        </w:rPr>
        <w:t xml:space="preserve"> Structural Solutions (which includes LP</w:t>
      </w:r>
      <w:r>
        <w:rPr>
          <w:rFonts w:ascii="Arial" w:cs="Arial" w:eastAsia="Arial" w:hAnsi="Arial"/>
          <w:sz w:val="13"/>
          <w:szCs w:val="13"/>
          <w:color w:val="auto"/>
        </w:rPr>
        <w:t>®</w:t>
      </w:r>
      <w:r>
        <w:rPr>
          <w:rFonts w:ascii="Arial" w:cs="Arial" w:eastAsia="Arial" w:hAnsi="Arial"/>
          <w:sz w:val="20"/>
          <w:szCs w:val="20"/>
          <w:color w:val="auto"/>
        </w:rPr>
        <w:t xml:space="preserve"> FlameBlock</w:t>
      </w:r>
      <w:r>
        <w:rPr>
          <w:rFonts w:ascii="Arial" w:cs="Arial" w:eastAsia="Arial" w:hAnsi="Arial"/>
          <w:sz w:val="13"/>
          <w:szCs w:val="13"/>
          <w:color w:val="auto"/>
        </w:rPr>
        <w:t>®</w:t>
      </w:r>
      <w:r>
        <w:rPr>
          <w:rFonts w:ascii="Arial" w:cs="Arial" w:eastAsia="Arial" w:hAnsi="Arial"/>
          <w:sz w:val="20"/>
          <w:szCs w:val="20"/>
          <w:color w:val="auto"/>
        </w:rPr>
        <w:t xml:space="preserve"> Fire-Rated Sheathing, LP WeatherLogic</w:t>
      </w:r>
      <w:r>
        <w:rPr>
          <w:rFonts w:ascii="Arial" w:cs="Arial" w:eastAsia="Arial" w:hAnsi="Arial"/>
          <w:sz w:val="13"/>
          <w:szCs w:val="13"/>
          <w:color w:val="auto"/>
        </w:rPr>
        <w:t>®</w:t>
      </w:r>
      <w:r>
        <w:rPr>
          <w:rFonts w:ascii="Arial" w:cs="Arial" w:eastAsia="Arial" w:hAnsi="Arial"/>
          <w:sz w:val="20"/>
          <w:szCs w:val="20"/>
          <w:color w:val="auto"/>
        </w:rPr>
        <w:t xml:space="preserve"> Air &amp; Water Barrier, LP</w:t>
      </w:r>
      <w:r>
        <w:rPr>
          <w:rFonts w:ascii="Arial" w:cs="Arial" w:eastAsia="Arial" w:hAnsi="Arial"/>
          <w:sz w:val="13"/>
          <w:szCs w:val="13"/>
          <w:color w:val="auto"/>
        </w:rPr>
        <w:t>®</w:t>
      </w:r>
      <w:r>
        <w:rPr>
          <w:rFonts w:ascii="Arial" w:cs="Arial" w:eastAsia="Arial" w:hAnsi="Arial"/>
          <w:sz w:val="20"/>
          <w:szCs w:val="20"/>
          <w:color w:val="auto"/>
        </w:rPr>
        <w:t xml:space="preserve"> TechShield</w:t>
      </w:r>
      <w:r>
        <w:rPr>
          <w:rFonts w:ascii="Arial" w:cs="Arial" w:eastAsia="Arial" w:hAnsi="Arial"/>
          <w:sz w:val="13"/>
          <w:szCs w:val="13"/>
          <w:color w:val="auto"/>
        </w:rPr>
        <w:t>®</w:t>
      </w:r>
      <w:r>
        <w:rPr>
          <w:rFonts w:ascii="Arial" w:cs="Arial" w:eastAsia="Arial" w:hAnsi="Arial"/>
          <w:sz w:val="20"/>
          <w:szCs w:val="20"/>
          <w:color w:val="auto"/>
        </w:rPr>
        <w:t xml:space="preserve"> Radiant Barrier, LP Legacy</w:t>
      </w:r>
      <w:r>
        <w:rPr>
          <w:rFonts w:ascii="Arial" w:cs="Arial" w:eastAsia="Arial" w:hAnsi="Arial"/>
          <w:sz w:val="13"/>
          <w:szCs w:val="13"/>
          <w:color w:val="auto"/>
        </w:rPr>
        <w:t>®</w:t>
      </w:r>
      <w:r>
        <w:rPr>
          <w:rFonts w:ascii="Arial" w:cs="Arial" w:eastAsia="Arial" w:hAnsi="Arial"/>
          <w:sz w:val="20"/>
          <w:szCs w:val="20"/>
          <w:color w:val="auto"/>
        </w:rPr>
        <w:t xml:space="preserve"> Premium Sub-Flooring, and LP</w:t>
      </w:r>
      <w:r>
        <w:rPr>
          <w:rFonts w:ascii="Arial" w:cs="Arial" w:eastAsia="Arial" w:hAnsi="Arial"/>
          <w:sz w:val="13"/>
          <w:szCs w:val="13"/>
          <w:color w:val="auto"/>
        </w:rPr>
        <w:t>®</w:t>
      </w:r>
      <w:r>
        <w:rPr>
          <w:rFonts w:ascii="Arial" w:cs="Arial" w:eastAsia="Arial" w:hAnsi="Arial"/>
          <w:sz w:val="20"/>
          <w:szCs w:val="20"/>
          <w:color w:val="auto"/>
        </w:rPr>
        <w:t xml:space="preserve"> TopNotch</w:t>
      </w:r>
      <w:r>
        <w:rPr>
          <w:rFonts w:ascii="Arial" w:cs="Arial" w:eastAsia="Arial" w:hAnsi="Arial"/>
          <w:sz w:val="13"/>
          <w:szCs w:val="13"/>
          <w:color w:val="auto"/>
        </w:rPr>
        <w:t>®</w:t>
      </w:r>
      <w:r>
        <w:rPr>
          <w:rFonts w:ascii="Arial" w:cs="Arial" w:eastAsia="Arial" w:hAnsi="Arial"/>
          <w:sz w:val="20"/>
          <w:szCs w:val="20"/>
          <w:color w:val="auto"/>
        </w:rPr>
        <w:t xml:space="preserve"> 350 Durable Sub-Flooring). Significant cost inputs to produce OSB (including approximate breakdown percentages for 2025) were as follows: wood fiber (26%), resin and wax (20%), labor and burden (20%), utilities (5%), and other manufacturing costs (29%).</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Segment net sales and Adjusted EBITDA for this segment were as follows (dollar amounts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00" w:type="dxa"/>
            <w:vAlign w:val="bottom"/>
          </w:tcPr>
          <w:p>
            <w:pPr>
              <w:spacing w:after="0"/>
              <w:rPr>
                <w:sz w:val="20"/>
                <w:szCs w:val="20"/>
                <w:color w:val="auto"/>
              </w:rPr>
            </w:pPr>
          </w:p>
        </w:tc>
        <w:tc>
          <w:tcPr>
            <w:tcW w:w="268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rPr>
              <w:t>Decrease</w:t>
            </w:r>
          </w:p>
        </w:tc>
      </w:tr>
      <w:tr>
        <w:trPr>
          <w:trHeight w:val="33"/>
        </w:trPr>
        <w:tc>
          <w:tcPr>
            <w:tcW w:w="5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7"/>
        </w:trPr>
        <w:tc>
          <w:tcPr>
            <w:tcW w:w="5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2025 - 2024</w:t>
            </w:r>
          </w:p>
        </w:tc>
      </w:tr>
      <w:tr>
        <w:trPr>
          <w:trHeight w:val="33"/>
        </w:trPr>
        <w:tc>
          <w:tcPr>
            <w:tcW w:w="530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Net sales</w:t>
            </w:r>
          </w:p>
        </w:tc>
        <w:tc>
          <w:tcPr>
            <w:tcW w:w="900" w:type="dxa"/>
            <w:vAlign w:val="bottom"/>
            <w:tcBorders>
              <w:bottom w:val="single" w:sz="8" w:color="E6E6E6"/>
            </w:tcBorders>
            <w:shd w:val="clear" w:color="auto" w:fill="E6E6E6"/>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9"/>
              </w:rPr>
              <w:t>832</w:t>
            </w:r>
          </w:p>
        </w:tc>
        <w:tc>
          <w:tcPr>
            <w:tcW w:w="380" w:type="dxa"/>
            <w:vAlign w:val="bottom"/>
            <w:tcBorders>
              <w:bottom w:val="single" w:sz="8" w:color="E6E6E6"/>
            </w:tcBorders>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1,184</w:t>
            </w:r>
          </w:p>
        </w:tc>
        <w:tc>
          <w:tcPr>
            <w:tcW w:w="138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rPr>
              <w:t>(30)%</w:t>
            </w: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Adjusted EBITDA</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-366395</wp:posOffset>
            </wp:positionV>
            <wp:extent cx="260667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2">
                      <a:extLst>
                        <a:ext uri="{28A0092B-C50C-407E-A947-70E740481C1C}"/>
                      </a:extLst>
                    </a:blip>
                    <a:srcRect/>
                    <a:stretch>
                      <a:fillRect/>
                    </a:stretch>
                  </pic:blipFill>
                  <pic:spPr bwMode="auto">
                    <a:xfrm>
                      <a:off x="0" y="0"/>
                      <a:ext cx="2606675" cy="2540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Net sales in this segment by product line were as follows (dollar amounts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4"/>
              </w:rPr>
              <w:t>Year Ended December 31,</w:t>
            </w:r>
          </w:p>
        </w:tc>
        <w:tc>
          <w:tcPr>
            <w:tcW w:w="8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rPr>
              <w:t>Decrease</w:t>
            </w:r>
          </w:p>
        </w:tc>
      </w:tr>
      <w:tr>
        <w:trPr>
          <w:trHeight w:val="33"/>
        </w:trPr>
        <w:tc>
          <w:tcPr>
            <w:tcW w:w="5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7"/>
        </w:trPr>
        <w:tc>
          <w:tcPr>
            <w:tcW w:w="5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2025 - 2024</w:t>
            </w:r>
          </w:p>
        </w:tc>
      </w:tr>
      <w:tr>
        <w:trPr>
          <w:trHeight w:val="33"/>
        </w:trPr>
        <w:tc>
          <w:tcPr>
            <w:tcW w:w="5300" w:type="dxa"/>
            <w:vAlign w:val="bottom"/>
            <w:tcBorders>
              <w:bottom w:val="single" w:sz="8" w:color="E6E6E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OSB - Structural Solutions</w:t>
            </w:r>
          </w:p>
        </w:tc>
        <w:tc>
          <w:tcPr>
            <w:tcW w:w="240" w:type="dxa"/>
            <w:vAlign w:val="bottom"/>
            <w:tcBorders>
              <w:bottom w:val="single" w:sz="8" w:color="E6E6E6"/>
            </w:tcBorders>
            <w:shd w:val="clear" w:color="auto" w:fill="E6E6E6"/>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472</w:t>
            </w:r>
          </w:p>
        </w:tc>
        <w:tc>
          <w:tcPr>
            <w:tcW w:w="380" w:type="dxa"/>
            <w:vAlign w:val="bottom"/>
            <w:tcBorders>
              <w:bottom w:val="single" w:sz="8" w:color="E6E6E6"/>
            </w:tcBorders>
            <w:gridSpan w:val="2"/>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650</w:t>
            </w:r>
          </w:p>
        </w:tc>
        <w:tc>
          <w:tcPr>
            <w:tcW w:w="138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rPr>
              <w:t>(27)%</w:t>
            </w: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OSB - Commodity</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42"/>
        </w:trPr>
        <w:tc>
          <w:tcPr>
            <w:tcW w:w="5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5"/>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20</w:t>
            </w:r>
          </w:p>
        </w:tc>
        <w:tc>
          <w:tcPr>
            <w:tcW w:w="138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rPr>
              <w:t>(33)%</w:t>
            </w:r>
          </w:p>
        </w:tc>
      </w:tr>
      <w:tr>
        <w:trPr>
          <w:trHeight w:val="260"/>
        </w:trPr>
        <w:tc>
          <w:tcPr>
            <w:tcW w:w="5300" w:type="dxa"/>
            <w:vAlign w:val="bottom"/>
            <w:tcBorders>
              <w:top w:val="single" w:sz="8" w:color="E6E6E6"/>
            </w:tcBorders>
          </w:tcPr>
          <w:p>
            <w:pPr>
              <w:ind w:left="4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80" w:type="dxa"/>
            <w:vAlign w:val="bottom"/>
            <w:tcBorders>
              <w:top w:val="single" w:sz="8" w:color="E6E6E6"/>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80" w:type="dxa"/>
            <w:vAlign w:val="bottom"/>
            <w:tcBorders>
              <w:top w:val="single" w:sz="8" w:color="E6E6E6"/>
            </w:tcBorders>
          </w:tcPr>
          <w:p>
            <w:pPr>
              <w:spacing w:after="0"/>
              <w:rPr>
                <w:sz w:val="22"/>
                <w:szCs w:val="22"/>
                <w:color w:val="auto"/>
              </w:rPr>
            </w:pPr>
          </w:p>
        </w:tc>
        <w:tc>
          <w:tcPr>
            <w:tcW w:w="1300" w:type="dxa"/>
            <w:vAlign w:val="bottom"/>
            <w:tcBorders>
              <w:top w:val="single" w:sz="8" w:color="E6E6E6"/>
            </w:tcBorders>
          </w:tcPr>
          <w:p>
            <w:pPr>
              <w:spacing w:after="0"/>
              <w:rPr>
                <w:sz w:val="22"/>
                <w:szCs w:val="22"/>
                <w:color w:val="auto"/>
              </w:rPr>
            </w:pPr>
          </w:p>
        </w:tc>
      </w:tr>
      <w:tr>
        <w:trPr>
          <w:trHeight w:val="20"/>
        </w:trPr>
        <w:tc>
          <w:tcPr>
            <w:tcW w:w="53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89"/>
        </w:trPr>
        <w:tc>
          <w:tcPr>
            <w:tcW w:w="6600" w:type="dxa"/>
            <w:vAlign w:val="bottom"/>
            <w:gridSpan w:val="3"/>
          </w:tcPr>
          <w:p>
            <w:pPr>
              <w:jc w:val="right"/>
              <w:ind w:right="170"/>
              <w:spacing w:after="0"/>
              <w:rPr>
                <w:sz w:val="20"/>
                <w:szCs w:val="20"/>
                <w:color w:val="auto"/>
              </w:rPr>
            </w:pPr>
            <w:r>
              <w:rPr>
                <w:rFonts w:ascii="Arial" w:cs="Arial" w:eastAsia="Arial" w:hAnsi="Arial"/>
                <w:sz w:val="20"/>
                <w:szCs w:val="20"/>
                <w:color w:val="auto"/>
                <w:w w:val="88"/>
              </w:rPr>
              <w:t>Percent changes in average net sales prices and unit shipments were as follows: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-1040130</wp:posOffset>
            </wp:positionV>
            <wp:extent cx="260667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3">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-468630</wp:posOffset>
            </wp:positionV>
            <wp:extent cx="173037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4">
                      <a:extLst>
                        <a:ext uri="{28A0092B-C50C-407E-A947-70E740481C1C}"/>
                      </a:extLst>
                    </a:blip>
                    <a:srcRect/>
                    <a:stretch>
                      <a:fillRect/>
                    </a:stretch>
                  </pic:blipFill>
                  <pic:spPr bwMode="auto">
                    <a:xfrm>
                      <a:off x="0" y="0"/>
                      <a:ext cx="1730375" cy="2540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80" w:type="dxa"/>
            <w:vAlign w:val="bottom"/>
          </w:tcPr>
          <w:p>
            <w:pPr>
              <w:spacing w:after="0"/>
              <w:rPr>
                <w:sz w:val="21"/>
                <w:szCs w:val="21"/>
                <w:color w:val="auto"/>
              </w:rPr>
            </w:pPr>
          </w:p>
        </w:tc>
        <w:tc>
          <w:tcPr>
            <w:tcW w:w="268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2025 versus 2024</w:t>
            </w:r>
          </w:p>
        </w:tc>
      </w:tr>
      <w:tr>
        <w:trPr>
          <w:trHeight w:val="164"/>
        </w:trPr>
        <w:tc>
          <w:tcPr>
            <w:tcW w:w="6680" w:type="dxa"/>
            <w:vAlign w:val="bottom"/>
          </w:tcPr>
          <w:p>
            <w:pPr>
              <w:spacing w:after="0"/>
              <w:rPr>
                <w:sz w:val="14"/>
                <w:szCs w:val="14"/>
                <w:color w:val="auto"/>
              </w:rPr>
            </w:pPr>
          </w:p>
        </w:tc>
        <w:tc>
          <w:tcPr>
            <w:tcW w:w="1300" w:type="dxa"/>
            <w:vAlign w:val="bottom"/>
          </w:tcPr>
          <w:p>
            <w:pPr>
              <w:jc w:val="right"/>
              <w:ind w:right="250"/>
              <w:spacing w:after="0" w:line="164" w:lineRule="exact"/>
              <w:rPr>
                <w:sz w:val="20"/>
                <w:szCs w:val="20"/>
                <w:color w:val="auto"/>
              </w:rPr>
            </w:pPr>
            <w:r>
              <w:rPr>
                <w:rFonts w:ascii="Arial" w:cs="Arial" w:eastAsia="Arial" w:hAnsi="Arial"/>
                <w:sz w:val="18"/>
                <w:szCs w:val="18"/>
                <w:b w:val="1"/>
                <w:bCs w:val="1"/>
                <w:color w:val="auto"/>
              </w:rPr>
              <w:t>Average</w:t>
            </w:r>
          </w:p>
        </w:tc>
        <w:tc>
          <w:tcPr>
            <w:tcW w:w="80" w:type="dxa"/>
            <w:vAlign w:val="bottom"/>
          </w:tcPr>
          <w:p>
            <w:pPr>
              <w:spacing w:after="0"/>
              <w:rPr>
                <w:sz w:val="14"/>
                <w:szCs w:val="14"/>
                <w:color w:val="auto"/>
              </w:rPr>
            </w:pPr>
          </w:p>
        </w:tc>
        <w:tc>
          <w:tcPr>
            <w:tcW w:w="1300" w:type="dxa"/>
            <w:vAlign w:val="bottom"/>
          </w:tcPr>
          <w:p>
            <w:pPr>
              <w:jc w:val="right"/>
              <w:ind w:right="390"/>
              <w:spacing w:after="0" w:line="164" w:lineRule="exact"/>
              <w:rPr>
                <w:sz w:val="20"/>
                <w:szCs w:val="20"/>
                <w:color w:val="auto"/>
              </w:rPr>
            </w:pPr>
            <w:r>
              <w:rPr>
                <w:rFonts w:ascii="Arial" w:cs="Arial" w:eastAsia="Arial" w:hAnsi="Arial"/>
                <w:sz w:val="18"/>
                <w:szCs w:val="18"/>
                <w:b w:val="1"/>
                <w:bCs w:val="1"/>
                <w:color w:val="auto"/>
              </w:rPr>
              <w:t>Unit</w:t>
            </w:r>
          </w:p>
        </w:tc>
      </w:tr>
      <w:tr>
        <w:trPr>
          <w:trHeight w:val="251"/>
        </w:trPr>
        <w:tc>
          <w:tcPr>
            <w:tcW w:w="6680" w:type="dxa"/>
            <w:vAlign w:val="bottom"/>
            <w:tcBorders>
              <w:bottom w:val="single" w:sz="8" w:color="E6E6E6"/>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Selling Price</w:t>
            </w:r>
          </w:p>
        </w:tc>
        <w:tc>
          <w:tcPr>
            <w:tcW w:w="80" w:type="dxa"/>
            <w:vAlign w:val="bottom"/>
            <w:tcBorders>
              <w:bottom w:val="single" w:sz="8" w:color="E6E6E6"/>
            </w:tcBorders>
          </w:tcPr>
          <w:p>
            <w:pPr>
              <w:spacing w:after="0"/>
              <w:rPr>
                <w:sz w:val="21"/>
                <w:szCs w:val="21"/>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Shipments</w:t>
            </w:r>
          </w:p>
        </w:tc>
      </w:tr>
      <w:tr>
        <w:trPr>
          <w:trHeight w:val="270"/>
        </w:trPr>
        <w:tc>
          <w:tcPr>
            <w:tcW w:w="6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OSB - Structural Solutions</w:t>
            </w:r>
          </w:p>
        </w:tc>
        <w:tc>
          <w:tcPr>
            <w:tcW w:w="1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(19)%</w:t>
            </w:r>
          </w:p>
        </w:tc>
        <w:tc>
          <w:tcPr>
            <w:tcW w:w="138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rPr>
              <w:t>(10)%</w:t>
            </w:r>
          </w:p>
        </w:tc>
      </w:tr>
      <w:tr>
        <w:trPr>
          <w:trHeight w:val="258"/>
        </w:trPr>
        <w:tc>
          <w:tcPr>
            <w:tcW w:w="6680" w:type="dxa"/>
            <w:vAlign w:val="bottom"/>
          </w:tcPr>
          <w:p>
            <w:pPr>
              <w:ind w:left="60"/>
              <w:spacing w:after="0"/>
              <w:rPr>
                <w:sz w:val="20"/>
                <w:szCs w:val="20"/>
                <w:color w:val="auto"/>
              </w:rPr>
            </w:pPr>
            <w:r>
              <w:rPr>
                <w:rFonts w:ascii="Arial" w:cs="Arial" w:eastAsia="Arial" w:hAnsi="Arial"/>
                <w:sz w:val="18"/>
                <w:szCs w:val="18"/>
                <w:color w:val="auto"/>
              </w:rPr>
              <w:t>OSB - Commodity</w:t>
            </w: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-366395</wp:posOffset>
            </wp:positionV>
            <wp:extent cx="173037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5">
                      <a:extLst>
                        <a:ext uri="{28A0092B-C50C-407E-A947-70E740481C1C}"/>
                      </a:extLst>
                    </a:blip>
                    <a:srcRect/>
                    <a:stretch>
                      <a:fillRect/>
                    </a:stretch>
                  </pic:blipFill>
                  <pic:spPr bwMode="auto">
                    <a:xfrm>
                      <a:off x="0" y="0"/>
                      <a:ext cx="1730375" cy="25400"/>
                    </a:xfrm>
                    <a:prstGeom prst="rect">
                      <a:avLst/>
                    </a:prstGeom>
                    <a:noFill/>
                  </pic:spPr>
                </pic:pic>
              </a:graphicData>
            </a:graphic>
          </wp:anchor>
        </w:drawing>
      </w:r>
    </w:p>
    <w:p>
      <w:pPr>
        <w:spacing w:after="0" w:line="179"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For the year ended December 31, 2025, net sales decreased by $352 million due to a $260 million decrease in OSB prices and an $84 million decrease in sales volumes.</w:t>
      </w:r>
    </w:p>
    <w:p>
      <w:pPr>
        <w:spacing w:after="0" w:line="5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Adjusted EBITDA for the year ended December 31, 2025 decreased year-over-year by $291 million, due to lower average prices and sales volumes.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w:t>
      </w:r>
    </w:p>
    <w:p>
      <w:pPr>
        <w:spacing w:after="0" w:line="1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other operations include our LPSA business that manufactures and distributes OSB structural panels and siding products in South America and certain export markets. Previously, all LPSA activity was presented as a separate reportable segment. Financial information related to LPSA is now included in Other. Additionally, Other includes unallocated corporate expenses, such as general administrative costs and stock-based compensation, along with other minor products, services, and closed operations that do not meet the criteria for discontinued operations.</w:t>
      </w:r>
    </w:p>
    <w:p>
      <w:pPr>
        <w:spacing w:after="0" w:line="5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For the year ended December 31, 2025, net sales and Adjusted EBITDA decreased year over year by $12 million and $15 million, respectively.</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360"/>
          </w:cols>
          <w:pgMar w:left="1260" w:top="1190" w:right="1260" w:bottom="225" w:gutter="0" w:footer="0" w:header="0"/>
          <w:type w:val="continuous"/>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GENERAL CORPORATE AND OTHER EXPENSE, NET</w:t>
      </w:r>
    </w:p>
    <w:p>
      <w:pPr>
        <w:spacing w:after="0" w:line="25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General corporate and other expenses are primarily comprised of corporate overhead unrelated to business activities such as wages and benefits, professional fees, insurance, and other expenses for corporate functions, including executive officers, public company activities, tax, internal audits, and other corporate functions. General corporate and other expense, net, was $51 million in 2025, as compared to $46 million in 2024. This increase was driven by an increase in stock compensation expense.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LOSS ON IMPAIRMENTS</w:t>
      </w:r>
    </w:p>
    <w:p>
      <w:pPr>
        <w:spacing w:after="0" w:line="25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During 2025, we recorded $44 million of non-cash, pre-tax impairment charges. These charges included $24 million related to equipment that will not be utilized in future operations, $13 million related to the expiration and non-renewal of certain timber licenses, $4 million related to property, plant, and equipment associated with a facility closure, and $2 million primarily related to an operating lease asset associated with a previously closed facility. During 2024, we recorded $5 million of non-cash, pre-tax impairment charges related to property, plant, and equipment that will not be utilized in future operations. See further discussion in “Note 11 - Impairment of Long-Lived Assets” and “Note 1 </w:t>
      </w:r>
      <w:r>
        <w:rPr>
          <w:rFonts w:ascii="Arial" w:cs="Arial" w:eastAsia="Arial" w:hAnsi="Arial"/>
          <w:sz w:val="19"/>
          <w:szCs w:val="19"/>
          <w:b w:val="1"/>
          <w:bCs w:val="1"/>
          <w:color w:val="auto"/>
        </w:rPr>
        <w:t>-</w:t>
      </w:r>
      <w:r>
        <w:rPr>
          <w:rFonts w:ascii="Arial" w:cs="Arial" w:eastAsia="Arial" w:hAnsi="Arial"/>
          <w:sz w:val="19"/>
          <w:szCs w:val="19"/>
          <w:color w:val="auto"/>
        </w:rPr>
        <w:t xml:space="preserve"> Summary of Significant Accounting Policies” of the Notes to the Consolidated Financial Statements included in Item 8 of this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OPERATING CREDITS AND CHARGES, NET</w:t>
      </w:r>
    </w:p>
    <w:p>
      <w:pPr>
        <w:spacing w:after="0" w:line="25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For a discussion of other operating credits and charges, net, see “Note 10 - Other Operating and Non-Operating Income (Expense)” of the Notes to the Consolidated Financial Statements included in Item 8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NON-OPERATING INCOME (EXPENSE)</w:t>
      </w:r>
    </w:p>
    <w:p>
      <w:pPr>
        <w:spacing w:after="0" w:line="25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For a discussion of non-operating income (expense), see “Note 10 - Other Operating and Non-Operating Income (Expense)” of the Notes to the Consolidated Financial Statements included in Item 8 of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5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recognized a tax provision of $50 million in 2025, as compared to $140 million in 2024. For 2025, the primary differences between the U.S. statutory rate of 21% and the effective rate was related to state and foreign income taxes, partially offset by changes in uncertain tax positions. For 2024, the primary difference between the U.S. statutory rate of 21% and the effective tax rate was related to state and foreign income taxes. See “Note 6 – Income Taxes” of the Notes to the Consolidated Financial Statements included in Item 8 of this annual report on Form 10-K for further discussion. We paid $42 million and $124 million of income taxes net of refunds in 2025 and 2024,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AND ENVIRONMENTAL MATTERS</w:t>
      </w:r>
    </w:p>
    <w:p>
      <w:pPr>
        <w:spacing w:after="0" w:line="25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For a discussion of legal and environmental matters involving us and the potential impact thereof on our financial position, results of operations, and cash flows, see Item 3 in this annual report on Form 10-K as well as “Note 12 - Commitments and Contingencies” of the Notes to the Consolidated Financial Statements included in Item 8 of this annual report on Form 10-K.</w:t>
      </w:r>
    </w:p>
    <w:p>
      <w:pPr>
        <w:sectPr>
          <w:pgSz w:w="11880" w:h="15480" w:orient="portrait"/>
          <w:cols w:equalWidth="0" w:num="1">
            <w:col w:w="9360"/>
          </w:cols>
          <w:pgMar w:left="1260" w:top="1190" w:right="1260" w:bottom="2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9360"/>
          </w:cols>
          <w:pgMar w:left="1260" w:top="1190" w:right="1260" w:bottom="227"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Our principal sources of liquidity are existing cash and investment balances, cash generated by our operations, and our ability to borrow under such credit facilities as we may have in effect from time to time. We assess our liquidity in terms of our ability to generate cash to fund our short- and long-term cash requirements. As such, we project our anticipated cash requirements as well as cash flows generated from operating activities to meet those needs. We anticipate long-term cash uses may also include strategic acquisitions. On a long-term basis, we will continue to rely on our credit facility for any long-term funding not provided by operating cash flows. We may also, from time to time, issue and sell equity, debt, or hybrid securities or engage in other capital market transactions.</w:t>
      </w:r>
    </w:p>
    <w:p>
      <w:pPr>
        <w:spacing w:after="0" w:line="6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repurchases may be commenced, suspended, discontinued, or resumed, and the method or methods of affecting any such repurchases may be changed at any time, or from time to time, without prior notice.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Activities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During 2025, we generated $382 million of cash from operations, as compared to $605 million in 2024. The decrease in cash provided by operations was primarily related to lower net income. At December 31, 2025 and 2024, we had working capital of $227 million and $216 million,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Investing Activities</w:t>
      </w:r>
    </w:p>
    <w:p>
      <w:pPr>
        <w:spacing w:after="0" w:line="13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During 2025, net cash used for investing activities was $291 million, as compared to $183 million in 2024. Capital expenditures for the year ended December 31, 2025, and 2024, were $291 million and $183 million, respectively, primarily related to siding conversion expenditures and growth and maintenance capital.</w:t>
      </w:r>
    </w:p>
    <w:p>
      <w:pPr>
        <w:spacing w:after="0" w:line="56"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During 2024, we received $16 million in proceeds from our share of the sale of certain assets from an equity method investment. We also paid $17 million for an equity method investment in South America.</w:t>
      </w:r>
    </w:p>
    <w:p>
      <w:pPr>
        <w:spacing w:after="0" w:line="5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Capital expenditures in 2026 are expected to be approximately $400 million. We expect to fund our short-term and long-term capital expenditures in 2026 through cash on hand, cash generated from operations, and available borrowing under our Amended Credit Facility, as necessary.</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Financing Activities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During 2025, cash used in financing activities was $141 million. We paid cash dividends of $78 million and $61 million to repurchase shares of LP common stock under the 2024 Share Repurchase Program during the year ended December 31, 2025. The remaining financing activities were primarily related to income tax withholding requirements associated with our employee stock-based compensation plans.</w:t>
      </w:r>
    </w:p>
    <w:p>
      <w:pPr>
        <w:spacing w:after="0" w:line="8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During 2024, cash used in financing activities was $292 million. We paid cash dividends of $74 million and $212 million to repurchase shares of LP common stock under the share repurchase programs authorized by LP's Board of Directors in 2022 and 2024, respectively, during the year ended December 31, 2024. The remaining financing activities were primarily related to income tax withholding requirements associated with our employee stock-based compensation plans.</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9360"/>
          </w:cols>
          <w:pgMar w:left="1260" w:top="1190" w:right="1260" w:bottom="225" w:gutter="0" w:footer="0" w:header="0"/>
          <w:type w:val="continuous"/>
        </w:sectPr>
      </w:pPr>
    </w:p>
    <w:bookmarkStart w:id="58" w:name="page59"/>
    <w:bookmarkEnd w:id="58"/>
    <w:p>
      <w:pPr>
        <w:spacing w:after="0"/>
        <w:rPr>
          <w:sz w:val="20"/>
          <w:szCs w:val="20"/>
          <w:color w:val="auto"/>
        </w:rPr>
      </w:pPr>
      <w:r>
        <w:rPr>
          <w:rFonts w:ascii="Arial" w:cs="Arial" w:eastAsia="Arial" w:hAnsi="Arial"/>
          <w:sz w:val="20"/>
          <w:szCs w:val="20"/>
          <w:b w:val="1"/>
          <w:bCs w:val="1"/>
          <w:color w:val="auto"/>
        </w:rPr>
        <w:t>CREDIT FACILITIES</w:t>
      </w:r>
    </w:p>
    <w:p>
      <w:pPr>
        <w:spacing w:after="0" w:line="13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November 2022, LP entered into a Second Amended and Restated Credit Agreement with American AgCredit, PCA, as administrative agent and sole lead arranger, CoBank, ACB, as letter of credit issuer, and certain other lender parties (the Credit Agreement), relating to its revolving credit facility. On March 26, 2025, LP entered into the First Amendment to Second Amended and Restated Credit Agreement (the First Amendment) with American AgCredit, PCA, as administrative agent, CoBank, ACB, as letter of credit issuer, and the lenders and voting participants party thereto, which amended the Credit Agreement (the Amended Credit Agreement) to (1) increase the aggregate principal amount for the credit facility (the Amended Credit Facility) from $550 million to $750 million, (2) increase the sub-limit for letters of credit from $60 million to $75 million, (3) change the interest rate for revolving borrowing, (4) change the capitalization ratio limit, and (5) extend the maturity date to March 26, 2032. As of December 31, 2025, we had no outstanding borrowings pursuant to the Amended Credit Facility.</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Amended Credit Agreement contains various restrictive covenants and customary events of default, the occurrence of which could result in the acceleration of our obligation to repay the indebtedness outstanding thereunder. The Amended Credit Agreement also contains certain financial covenants that, among other things, require us and our consolidated subsidiaries to have, as of the end of each fiscal quarter, a capitalization ratio (</w:t>
      </w:r>
      <w:r>
        <w:rPr>
          <w:rFonts w:ascii="Arial" w:cs="Arial" w:eastAsia="Arial" w:hAnsi="Arial"/>
          <w:sz w:val="19"/>
          <w:szCs w:val="19"/>
          <w:b w:val="1"/>
          <w:bCs w:val="1"/>
          <w:i w:val="1"/>
          <w:iCs w:val="1"/>
          <w:color w:val="auto"/>
        </w:rPr>
        <w:t>i.e.</w:t>
      </w:r>
      <w:r>
        <w:rPr>
          <w:rFonts w:ascii="Arial" w:cs="Arial" w:eastAsia="Arial" w:hAnsi="Arial"/>
          <w:sz w:val="19"/>
          <w:szCs w:val="19"/>
          <w:color w:val="auto"/>
        </w:rPr>
        <w:t>, funded debt less unrestricted cash to total capitalization) of no more than 65%. As of December 31, 2025, we were in compliance with all financial covenants under the Amended Credit Agreement.</w:t>
      </w:r>
    </w:p>
    <w:p>
      <w:pPr>
        <w:spacing w:after="0" w:line="6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May 2024, LP entered into a new letter of credit facility agreement (the LOC Facility Agreement), replacing the letter of credit facility agreement dated May 2020. The LOC Facility Agreement provides for the funding of letters of credit up to an aggregate outstanding amount of $20 million, which may be secured by certain cash collateral of LP (the Letter of Credit Facility). The LOC Facility Agreement provides for a letter of credit fee, due quarterly, ranging from 1.000% to 1.875% of the daily available amount to be drawn on each letter of credit issued under the Letter of Credit Facility. The LOC Facility Agreement contains similar affirmative, negative, and financial covenants as those set forth in the Amended Credit Agreement, including the capitalization ratio covenant. All amounts outstanding under the Letter of Credit Facility become due on April 15, 2029. As of December 31, 2025, we were in compliance with all financial covenants under the Letter of Credit Facility.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LIQUIDITY MATTERS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2029 Senior Notes</w:t>
      </w:r>
    </w:p>
    <w:p>
      <w:pPr>
        <w:spacing w:after="0" w:line="13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In March 2021, we issued the 3.625% Senior Notes due in 2029 in the aggregate principal amount of $350 million, which mature on March 15, 2029 (the 2029 Senior Notes). As of December 31, 2025, future interest payments associated with the 2029 Senior Notes totaled $41 million, with $13 million payable within 12 months of such date. For additional information regarding the 2029 Senior Notes, please see “Note 8 - Long-Term Debt” of the Notes to the Consolidated Financial Statements included in Item 8 of this annual report on Form 10-K.</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Contingency Reserves</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Contingency reserves, which represent an estimate of future cash needs for various contingencies (principally, environmental reserves), totaled $27 million at December 31, 2025, of which $1 million is estimated to be payable within one year of such date. There is inherent uncertainty concerning the reliability and precision of such estimates, and as such, the amounts ultimately paid in resolving these contingencies could exceed the current reserves by a material amount.</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have lease arrangements for real estate, mobile equipment at our manufacturing facilities, rail cars to transport our products, and a fleet of vehicles. As of December 31, 2025, we had fixed lease payment obligations of $32 million, with $10 million payable within 12 months of such date.</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Purchase Obligations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Our other purchase obligations primarily consist of obligations related to information technology infrastructure. As of December 31, 2025, we had other purchase obligations of $39 million, with $22 million payable within 12 months of such date.</w:t>
      </w:r>
    </w:p>
    <w:p>
      <w:pPr>
        <w:sectPr>
          <w:pgSz w:w="11880" w:h="15480" w:orient="portrait"/>
          <w:cols w:equalWidth="0" w:num="1">
            <w:col w:w="9360"/>
          </w:cols>
          <w:pgMar w:left="1260" w:top="1190" w:right="1260" w:bottom="223" w:gutter="0" w:footer="0" w:header="0"/>
        </w:sect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9360"/>
          </w:cols>
          <w:pgMar w:left="1260" w:top="1190" w:right="1260" w:bottom="223" w:gutter="0" w:footer="0" w:header="0"/>
          <w:type w:val="continuous"/>
        </w:sectPr>
      </w:pPr>
    </w:p>
    <w:bookmarkStart w:id="59" w:name="page60"/>
    <w:bookmarkEnd w:id="59"/>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As of December 31, 2025, we had standby letters of credit of $14 million outstanding related to collateral for environmental impact on owned properties, a deposit for forestry license, and insurance collateral, including workers’ compensation.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Potential Impairments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 xml:space="preserve">For a discussion of potential impairments, see “Note 11 - Impairment of Long-Lived Assets” and “Note 1 </w:t>
      </w:r>
      <w:r>
        <w:rPr>
          <w:rFonts w:ascii="Arial" w:cs="Arial" w:eastAsia="Arial" w:hAnsi="Arial"/>
          <w:sz w:val="20"/>
          <w:szCs w:val="20"/>
          <w:b w:val="1"/>
          <w:bCs w:val="1"/>
          <w:color w:val="auto"/>
        </w:rPr>
        <w:t>-</w:t>
      </w:r>
      <w:r>
        <w:rPr>
          <w:rFonts w:ascii="Arial" w:cs="Arial" w:eastAsia="Arial" w:hAnsi="Arial"/>
          <w:sz w:val="20"/>
          <w:szCs w:val="20"/>
          <w:color w:val="auto"/>
        </w:rPr>
        <w:t xml:space="preserve"> Summary of Significant Accounting Policies” of the Notes to the Consolidated Financial Statements included in Item 8 of this annual report on Form 10-K.</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PROSPECTIVE ACCOUNTING PRONOUNCEMENTS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For a discussion of prospective accounting pronouncements, see “Note 2 - Present and Prospective Accounting Pronouncements” of the Notes to the Consolidated Financial Statements included in Item 8 of this annual report on Form 10-K.</w:t>
      </w:r>
    </w:p>
    <w:p>
      <w:pPr>
        <w:spacing w:after="0" w:line="187"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5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We are exposed to fluctuations in foreign currency exchange rates, commodity prices and interest rates which could impact our results of operations and financial condition.</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Risk</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Each of our international operations has transactional foreign currency exposures related to buying and selling in currencies other than the local currencies in which it operates. Exposures are primarily related to the U.S. dollar relative to the Canadian dollar, the Brazilian real, the Chilean peso, and the Argentine Peso. We also have translation exposure resulting from translating the financial statements of foreign subsidiaries into U.S. dollars.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provided we may do so in the future.</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Commodity Price Risk</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Some of our products are sold as commodities, and therefore sales prices fluctuate daily based on market factors over which we have little or no control. The most significant commodity product we sell is OSB. Based upon an assumed North America annual production capacity in the OSB segment of 4.1 billion square feet (3/8” basis) or 3.5 billion square feet (7/16” basis), a $1 change in the annual average price per thousand square feet on 7/16” basis would change annual pre-tax profits by approximately $4 million.</w:t>
      </w:r>
    </w:p>
    <w:p>
      <w:pPr>
        <w:spacing w:after="0" w:line="84" w:lineRule="exact"/>
        <w:rPr>
          <w:sz w:val="20"/>
          <w:szCs w:val="20"/>
          <w:color w:val="auto"/>
        </w:rPr>
      </w:pPr>
    </w:p>
    <w:p>
      <w:pPr>
        <w:ind w:right="220"/>
        <w:spacing w:after="0" w:line="375" w:lineRule="auto"/>
        <w:rPr>
          <w:sz w:val="20"/>
          <w:szCs w:val="20"/>
          <w:color w:val="auto"/>
        </w:rPr>
      </w:pPr>
      <w:r>
        <w:rPr>
          <w:rFonts w:ascii="Arial" w:cs="Arial" w:eastAsia="Arial" w:hAnsi="Arial"/>
          <w:sz w:val="20"/>
          <w:szCs w:val="20"/>
          <w:color w:val="auto"/>
        </w:rPr>
        <w:t xml:space="preserve">We historically have not entered into material commodity futures and swaps, although we may do so in the future. </w:t>
      </w:r>
      <w:r>
        <w:rPr>
          <w:rFonts w:ascii="Arial" w:cs="Arial" w:eastAsia="Arial" w:hAnsi="Arial"/>
          <w:sz w:val="20"/>
          <w:szCs w:val="20"/>
          <w:b w:val="1"/>
          <w:bCs w:val="1"/>
          <w:i w:val="1"/>
          <w:iCs w:val="1"/>
          <w:color w:val="auto"/>
        </w:rPr>
        <w:t>Interest Rate Risk</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could be exposed to market risk associated with changes in interest rates on our variable rate credit facility. As of December 31, 2025, there were no outstanding borrowings pursuant to the Amended Credit Facility. We do not currently have any derivative or hedging arrangements, or other known exposures, to changes in interest rates. Based on our current amounts outstanding, a 100-basis point increase or decrease in market interest rates over a 12-month period would not result in a change to interest expense.</w:t>
      </w:r>
    </w:p>
    <w:p>
      <w:pPr>
        <w:sectPr>
          <w:pgSz w:w="11880" w:h="15480" w:orient="portrait"/>
          <w:cols w:equalWidth="0" w:num="1">
            <w:col w:w="9360"/>
          </w:cols>
          <w:pgMar w:left="1260" w:top="1190" w:right="12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9360"/>
          </w:cols>
          <w:pgMar w:left="1260" w:top="1190" w:right="1260" w:bottom="223" w:gutter="0" w:footer="0" w:header="0"/>
          <w:type w:val="continuous"/>
        </w:sectPr>
      </w:pPr>
    </w:p>
    <w:bookmarkStart w:id="60" w:name="page61"/>
    <w:bookmarkEnd w:id="60"/>
    <w:p>
      <w:pPr>
        <w:spacing w:after="0"/>
        <w:tabs>
          <w:tab w:leader="none" w:pos="142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251" w:lineRule="exact"/>
        <w:rPr>
          <w:sz w:val="20"/>
          <w:szCs w:val="20"/>
          <w:color w:val="auto"/>
        </w:rPr>
      </w:pPr>
    </w:p>
    <w:p>
      <w:pPr>
        <w:ind w:right="2500"/>
        <w:spacing w:after="0" w:line="503"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 xml:space="preserve">To the stockholders and the Board of Directors of Louisiana-Pacific Corporation </w:t>
      </w:r>
      <w:r>
        <w:rPr>
          <w:rFonts w:ascii="Arial" w:cs="Arial" w:eastAsia="Arial" w:hAnsi="Arial"/>
          <w:sz w:val="20"/>
          <w:szCs w:val="20"/>
          <w:b w:val="1"/>
          <w:bCs w:val="1"/>
          <w:color w:val="auto"/>
        </w:rPr>
        <w:t>Opinion on the Financial Statements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We have audited the accompanying consolidated balance sheets of Louisiana-Pacific Corporation and subsidiaries (the “Company”) as of December 31, 2025 and 2024, the related consolidated statements of income, comprehensive income, cash flows, and stockholders’ equity,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17, 2026, expressed an unqualified opinion on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5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257"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 Refer to Note 3 to the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 Description</w:t>
      </w:r>
    </w:p>
    <w:p>
      <w:pPr>
        <w:spacing w:after="0" w:line="253"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Company’s revenue consists of product sales and is recognized when obligations under the terms of a contract (i.e., purchase order) with the Company’s customers are satisfied. Revenue is measured as the amount of consideration the Company expects to receive in exchange for transferring goods.</w:t>
      </w:r>
    </w:p>
    <w:p>
      <w:pPr>
        <w:sectPr>
          <w:pgSz w:w="11880" w:h="15480" w:orient="portrait"/>
          <w:cols w:equalWidth="0" w:num="1">
            <w:col w:w="9360"/>
          </w:cols>
          <w:pgMar w:left="1260" w:top="1189" w:right="1260" w:bottom="224" w:gutter="0" w:footer="0" w:header="0"/>
        </w:sect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9360"/>
          </w:cols>
          <w:pgMar w:left="1260" w:top="1189" w:right="1260" w:bottom="224" w:gutter="0" w:footer="0" w:header="0"/>
          <w:type w:val="continuous"/>
        </w:sectPr>
      </w:pPr>
    </w:p>
    <w:bookmarkStart w:id="61" w:name="page62"/>
    <w:bookmarkEnd w:id="61"/>
    <w:p>
      <w:pPr>
        <w:jc w:val="both"/>
        <w:spacing w:after="0" w:line="266" w:lineRule="auto"/>
        <w:rPr>
          <w:sz w:val="20"/>
          <w:szCs w:val="20"/>
          <w:color w:val="auto"/>
        </w:rPr>
      </w:pPr>
      <w:r>
        <w:rPr>
          <w:rFonts w:ascii="Arial" w:cs="Arial" w:eastAsia="Arial" w:hAnsi="Arial"/>
          <w:sz w:val="20"/>
          <w:szCs w:val="20"/>
          <w:color w:val="auto"/>
        </w:rPr>
        <w:t>Auditing revenue required a significant extent of effort and the involvement of professionals with expertise in information technology (“IT”) necessary for us to identify, test, and evaluate the Company’s system and automated controls.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the Critical Audit Matter Was Addressed in the Audit</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Our audit procedures related to the Company’s revenue transactions included the following, among others:</w:t>
      </w:r>
    </w:p>
    <w:p>
      <w:pPr>
        <w:spacing w:after="0" w:line="262" w:lineRule="exact"/>
        <w:rPr>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With the assistance of our IT specialists, we:</w:t>
      </w:r>
    </w:p>
    <w:p>
      <w:pPr>
        <w:spacing w:after="0" w:line="50" w:lineRule="exact"/>
        <w:rPr>
          <w:rFonts w:ascii="Arial" w:cs="Arial" w:eastAsia="Arial" w:hAnsi="Arial"/>
          <w:sz w:val="20"/>
          <w:szCs w:val="20"/>
          <w:color w:val="auto"/>
        </w:rPr>
      </w:pPr>
    </w:p>
    <w:p>
      <w:pPr>
        <w:jc w:val="both"/>
        <w:ind w:left="1440" w:hanging="360"/>
        <w:spacing w:after="0" w:line="264" w:lineRule="auto"/>
        <w:tabs>
          <w:tab w:leader="none" w:pos="1440" w:val="left"/>
        </w:tabs>
        <w:numPr>
          <w:ilvl w:val="1"/>
          <w:numId w:val="9"/>
        </w:numPr>
        <w:rPr>
          <w:rFonts w:ascii="Arial" w:cs="Arial" w:eastAsia="Arial" w:hAnsi="Arial"/>
          <w:sz w:val="20"/>
          <w:szCs w:val="20"/>
          <w:color w:val="auto"/>
        </w:rPr>
      </w:pPr>
      <w:r>
        <w:rPr>
          <w:rFonts w:ascii="Arial" w:cs="Arial" w:eastAsia="Arial" w:hAnsi="Arial"/>
          <w:sz w:val="20"/>
          <w:szCs w:val="20"/>
          <w:color w:val="auto"/>
        </w:rPr>
        <w:t>Identified the significant system used to process revenue transactions and tested the general IT controls over the system, including testing of user access controls, change management controls, and IT operations controls.</w:t>
      </w:r>
    </w:p>
    <w:p>
      <w:pPr>
        <w:spacing w:after="0" w:line="1" w:lineRule="exact"/>
        <w:rPr>
          <w:rFonts w:ascii="Arial" w:cs="Arial" w:eastAsia="Arial" w:hAnsi="Arial"/>
          <w:sz w:val="20"/>
          <w:szCs w:val="20"/>
          <w:color w:val="auto"/>
        </w:rPr>
      </w:pPr>
    </w:p>
    <w:p>
      <w:pPr>
        <w:ind w:left="1440" w:hanging="360"/>
        <w:spacing w:after="0" w:line="271" w:lineRule="auto"/>
        <w:tabs>
          <w:tab w:leader="none" w:pos="1440" w:val="left"/>
        </w:tabs>
        <w:numPr>
          <w:ilvl w:val="1"/>
          <w:numId w:val="9"/>
        </w:numPr>
        <w:rPr>
          <w:rFonts w:ascii="Arial" w:cs="Arial" w:eastAsia="Arial" w:hAnsi="Arial"/>
          <w:sz w:val="20"/>
          <w:szCs w:val="20"/>
          <w:color w:val="auto"/>
        </w:rPr>
      </w:pPr>
      <w:r>
        <w:rPr>
          <w:rFonts w:ascii="Arial" w:cs="Arial" w:eastAsia="Arial" w:hAnsi="Arial"/>
          <w:sz w:val="20"/>
          <w:szCs w:val="20"/>
          <w:color w:val="auto"/>
        </w:rPr>
        <w:t>Performed testing of automated controls within the relevant revenue streams, as well as the controls designated to ensure the accuracy and completeness of revenue.</w:t>
      </w:r>
    </w:p>
    <w:p>
      <w:pPr>
        <w:ind w:left="720" w:hanging="360"/>
        <w:spacing w:after="0" w:line="271"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tested the design and operating effectiveness of internal controls within the relevant revenue business processes.</w:t>
      </w:r>
    </w:p>
    <w:p>
      <w:pPr>
        <w:ind w:left="720" w:hanging="360"/>
        <w:spacing w:after="0" w:line="271"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With the assistance of our data specialists, we created data visualizations to evaluate recorded revenue and evaluate trends in the transactional revenue data.</w:t>
      </w:r>
    </w:p>
    <w:p>
      <w:pPr>
        <w:ind w:left="720" w:hanging="360"/>
        <w:spacing w:after="0" w:line="301"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 sample of revenue transactions, we performed detail transaction testing by agreeing the amounts recognized to source documents and testing the mathematical accuracy of the recorded revenue.</w:t>
      </w:r>
    </w:p>
    <w:p>
      <w:pPr>
        <w:jc w:val="both"/>
        <w:ind w:left="720" w:hanging="360"/>
        <w:spacing w:after="0" w:line="266"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With the assistance of our data specialists, we performed a reconciliation of all automated revenue transactions recorded in the system, and for a sample of revenue transactions within the population, traced the transaction from the testing performed to the respective journal entry data.</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Nashville, Tennessee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February 17, 2026</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1997.</w:t>
      </w:r>
    </w:p>
    <w:p>
      <w:pPr>
        <w:sectPr>
          <w:pgSz w:w="11880" w:h="15480" w:orient="portrait"/>
          <w:cols w:equalWidth="0" w:num="1">
            <w:col w:w="9360"/>
          </w:cols>
          <w:pgMar w:left="1260" w:top="1197" w:right="12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9360"/>
          </w:cols>
          <w:pgMar w:left="1260" w:top="1197" w:right="1260" w:bottom="223" w:gutter="0" w:footer="0" w:header="0"/>
          <w:type w:val="continuous"/>
        </w:sectPr>
      </w:pPr>
    </w:p>
    <w:bookmarkStart w:id="62" w:name="page63"/>
    <w:bookmarkEnd w:id="62"/>
    <w:p>
      <w:pPr>
        <w:ind w:left="3180"/>
        <w:spacing w:after="0"/>
        <w:rPr>
          <w:sz w:val="20"/>
          <w:szCs w:val="20"/>
          <w:color w:val="auto"/>
        </w:rPr>
      </w:pPr>
      <w:r>
        <w:rPr>
          <w:rFonts w:ascii="Arial" w:cs="Arial" w:eastAsia="Arial" w:hAnsi="Arial"/>
          <w:sz w:val="20"/>
          <w:szCs w:val="20"/>
          <w:b w:val="1"/>
          <w:bCs w:val="1"/>
          <w:color w:val="auto"/>
        </w:rPr>
        <w:t>Consolidated Statements of Income</w:t>
      </w:r>
    </w:p>
    <w:p>
      <w:pPr>
        <w:spacing w:after="0" w:line="17"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Amounts in millions, except per share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10"/>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0"/>
                <w:szCs w:val="20"/>
                <w:color w:val="auto"/>
              </w:rPr>
            </w:pPr>
          </w:p>
        </w:tc>
      </w:tr>
      <w:tr>
        <w:trPr>
          <w:trHeight w:val="33"/>
        </w:trPr>
        <w:tc>
          <w:tcPr>
            <w:tcW w:w="5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7"/>
        </w:trPr>
        <w:tc>
          <w:tcPr>
            <w:tcW w:w="5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33"/>
        </w:trPr>
        <w:tc>
          <w:tcPr>
            <w:tcW w:w="534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E6E6E6"/>
            </w:tcBorders>
            <w:gridSpan w:val="2"/>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2,708</w:t>
            </w:r>
          </w:p>
        </w:tc>
        <w:tc>
          <w:tcPr>
            <w:tcW w:w="360" w:type="dxa"/>
            <w:vAlign w:val="bottom"/>
            <w:tcBorders>
              <w:bottom w:val="single" w:sz="8" w:color="E6E6E6"/>
            </w:tcBorders>
            <w:gridSpan w:val="4"/>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2,941</w:t>
            </w:r>
          </w:p>
        </w:tc>
        <w:tc>
          <w:tcPr>
            <w:tcW w:w="440" w:type="dxa"/>
            <w:vAlign w:val="bottom"/>
            <w:tcBorders>
              <w:bottom w:val="single" w:sz="8" w:color="E6E6E6"/>
            </w:tcBorders>
            <w:gridSpan w:val="4"/>
            <w:shd w:val="clear" w:color="auto" w:fill="E6E6E6"/>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2,581</w:t>
            </w:r>
          </w:p>
        </w:tc>
      </w:tr>
      <w:tr>
        <w:trPr>
          <w:trHeight w:val="258"/>
        </w:trPr>
        <w:tc>
          <w:tcPr>
            <w:tcW w:w="5340" w:type="dxa"/>
            <w:vAlign w:val="bottom"/>
          </w:tcPr>
          <w:p>
            <w:pPr>
              <w:ind w:left="300"/>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32"/>
        </w:trPr>
        <w:tc>
          <w:tcPr>
            <w:tcW w:w="534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4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589</w:t>
            </w: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832</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593</w:t>
            </w:r>
          </w:p>
        </w:tc>
      </w:tr>
      <w:tr>
        <w:trPr>
          <w:trHeight w:val="258"/>
        </w:trPr>
        <w:tc>
          <w:tcPr>
            <w:tcW w:w="5340" w:type="dxa"/>
            <w:vAlign w:val="bottom"/>
          </w:tcPr>
          <w:p>
            <w:pPr>
              <w:ind w:left="30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42"/>
        </w:trPr>
        <w:tc>
          <w:tcPr>
            <w:tcW w:w="5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4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18"/>
                <w:szCs w:val="18"/>
                <w:color w:val="auto"/>
              </w:rPr>
              <w:t>Loss on impairments</w:t>
            </w: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(30)</w:t>
            </w:r>
          </w:p>
        </w:tc>
      </w:tr>
      <w:tr>
        <w:trPr>
          <w:trHeight w:val="258"/>
        </w:trPr>
        <w:tc>
          <w:tcPr>
            <w:tcW w:w="5340" w:type="dxa"/>
            <w:vAlign w:val="bottom"/>
          </w:tcPr>
          <w:p>
            <w:pPr>
              <w:ind w:left="300"/>
              <w:spacing w:after="0"/>
              <w:rPr>
                <w:sz w:val="20"/>
                <w:szCs w:val="20"/>
                <w:color w:val="auto"/>
              </w:rPr>
            </w:pPr>
            <w:r>
              <w:rPr>
                <w:rFonts w:ascii="Arial" w:cs="Arial" w:eastAsia="Arial" w:hAnsi="Arial"/>
                <w:sz w:val="18"/>
                <w:szCs w:val="18"/>
                <w:color w:val="auto"/>
              </w:rPr>
              <w:t>Other operating credits and charges, net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
        </w:trPr>
        <w:tc>
          <w:tcPr>
            <w:tcW w:w="534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Income from operations</w:t>
            </w:r>
          </w:p>
        </w:tc>
        <w:tc>
          <w:tcPr>
            <w:tcW w:w="2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209</w:t>
            </w: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530</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287</w:t>
            </w:r>
          </w:p>
        </w:tc>
      </w:tr>
      <w:tr>
        <w:trPr>
          <w:trHeight w:val="258"/>
        </w:trPr>
        <w:tc>
          <w:tcPr>
            <w:tcW w:w="534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2"/>
        </w:trPr>
        <w:tc>
          <w:tcPr>
            <w:tcW w:w="5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4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18"/>
                <w:szCs w:val="18"/>
                <w:color w:val="auto"/>
              </w:rPr>
              <w:t>Investment income</w:t>
            </w: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18</w:t>
            </w:r>
          </w:p>
        </w:tc>
      </w:tr>
      <w:tr>
        <w:trPr>
          <w:trHeight w:val="259"/>
        </w:trPr>
        <w:tc>
          <w:tcPr>
            <w:tcW w:w="5340" w:type="dxa"/>
            <w:vAlign w:val="bottom"/>
          </w:tcPr>
          <w:p>
            <w:pPr>
              <w:ind w:left="300"/>
              <w:spacing w:after="0"/>
              <w:rPr>
                <w:sz w:val="20"/>
                <w:szCs w:val="20"/>
                <w:color w:val="auto"/>
              </w:rPr>
            </w:pPr>
            <w:r>
              <w:rPr>
                <w:rFonts w:ascii="Arial" w:cs="Arial" w:eastAsia="Arial" w:hAnsi="Arial"/>
                <w:sz w:val="18"/>
                <w:szCs w:val="18"/>
                <w:color w:val="auto"/>
              </w:rPr>
              <w:t>Other non-operating (expense) income</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
        </w:trPr>
        <w:tc>
          <w:tcPr>
            <w:tcW w:w="534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Income before income taxes</w:t>
            </w:r>
          </w:p>
        </w:tc>
        <w:tc>
          <w:tcPr>
            <w:tcW w:w="2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195</w:t>
            </w:r>
          </w:p>
        </w:tc>
        <w:tc>
          <w:tcPr>
            <w:tcW w:w="6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547</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2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248</w:t>
            </w:r>
          </w:p>
        </w:tc>
      </w:tr>
      <w:tr>
        <w:trPr>
          <w:trHeight w:val="258"/>
        </w:trPr>
        <w:tc>
          <w:tcPr>
            <w:tcW w:w="5340" w:type="dxa"/>
            <w:vAlign w:val="bottom"/>
          </w:tcPr>
          <w:p>
            <w:pPr>
              <w:ind w:left="30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2"/>
        </w:trPr>
        <w:tc>
          <w:tcPr>
            <w:tcW w:w="5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5"/>
        </w:trPr>
        <w:tc>
          <w:tcPr>
            <w:tcW w:w="534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18"/>
                <w:szCs w:val="18"/>
                <w:color w:val="auto"/>
              </w:rPr>
              <w:t>Equity in unconsolidated affiliates</w:t>
            </w: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r>
      <w:tr>
        <w:trPr>
          <w:trHeight w:val="260"/>
        </w:trPr>
        <w:tc>
          <w:tcPr>
            <w:tcW w:w="5340" w:type="dxa"/>
            <w:vAlign w:val="bottom"/>
            <w:tcBorders>
              <w:top w:val="single" w:sz="8" w:color="E6E6E6"/>
            </w:tcBorders>
          </w:tcPr>
          <w:p>
            <w:pPr>
              <w:ind w:left="6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80" w:type="dxa"/>
            <w:vAlign w:val="bottom"/>
            <w:tcBorders>
              <w:top w:val="single" w:sz="8" w:color="E6E6E6"/>
            </w:tcBorders>
            <w:gridSpan w:val="2"/>
          </w:tcPr>
          <w:p>
            <w:pPr>
              <w:spacing w:after="0"/>
              <w:rPr>
                <w:sz w:val="22"/>
                <w:szCs w:val="22"/>
                <w:color w:val="auto"/>
              </w:rPr>
            </w:pPr>
          </w:p>
        </w:tc>
        <w:tc>
          <w:tcPr>
            <w:tcW w:w="28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420</w:t>
            </w:r>
          </w:p>
        </w:tc>
        <w:tc>
          <w:tcPr>
            <w:tcW w:w="100" w:type="dxa"/>
            <w:vAlign w:val="bottom"/>
            <w:tcBorders>
              <w:top w:val="single" w:sz="8" w:color="E6E6E6"/>
            </w:tcBorders>
            <w:gridSpan w:val="2"/>
          </w:tcPr>
          <w:p>
            <w:pPr>
              <w:spacing w:after="0"/>
              <w:rPr>
                <w:sz w:val="22"/>
                <w:szCs w:val="22"/>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r>
      <w:tr>
        <w:trPr>
          <w:trHeight w:val="20"/>
        </w:trPr>
        <w:tc>
          <w:tcPr>
            <w:tcW w:w="5340" w:type="dxa"/>
            <w:vAlign w:val="bottom"/>
            <w:tcBorders>
              <w:bottom w:val="single" w:sz="8" w:color="E6E6E6"/>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53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920" w:type="dxa"/>
            <w:vAlign w:val="bottom"/>
            <w:shd w:val="clear" w:color="auto" w:fill="E6E6E6"/>
          </w:tcPr>
          <w:p>
            <w:pPr>
              <w:spacing w:after="0"/>
              <w:rPr>
                <w:sz w:val="23"/>
                <w:szCs w:val="23"/>
                <w:color w:val="auto"/>
              </w:rPr>
            </w:pPr>
          </w:p>
        </w:tc>
      </w:tr>
      <w:tr>
        <w:trPr>
          <w:trHeight w:val="257"/>
        </w:trPr>
        <w:tc>
          <w:tcPr>
            <w:tcW w:w="5340" w:type="dxa"/>
            <w:vAlign w:val="bottom"/>
          </w:tcPr>
          <w:p>
            <w:pPr>
              <w:ind w:left="60"/>
              <w:spacing w:after="0"/>
              <w:rPr>
                <w:sz w:val="20"/>
                <w:szCs w:val="20"/>
                <w:color w:val="auto"/>
              </w:rPr>
            </w:pPr>
            <w:r>
              <w:rPr>
                <w:rFonts w:ascii="Arial" w:cs="Arial" w:eastAsia="Arial" w:hAnsi="Arial"/>
                <w:sz w:val="18"/>
                <w:szCs w:val="18"/>
                <w:b w:val="1"/>
                <w:bCs w:val="1"/>
                <w:color w:val="auto"/>
              </w:rPr>
              <w:t>Net income per share of common stock:</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43"/>
        </w:trPr>
        <w:tc>
          <w:tcPr>
            <w:tcW w:w="5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310"/>
        </w:trPr>
        <w:tc>
          <w:tcPr>
            <w:tcW w:w="5340" w:type="dxa"/>
            <w:vAlign w:val="bottom"/>
            <w:shd w:val="clear" w:color="auto" w:fill="E6E6E6"/>
          </w:tcPr>
          <w:p>
            <w:pPr>
              <w:ind w:left="420"/>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2.09</w:t>
            </w:r>
          </w:p>
        </w:tc>
        <w:tc>
          <w:tcPr>
            <w:tcW w:w="360" w:type="dxa"/>
            <w:vAlign w:val="bottom"/>
            <w:gridSpan w:val="4"/>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5.91</w:t>
            </w:r>
          </w:p>
        </w:tc>
        <w:tc>
          <w:tcPr>
            <w:tcW w:w="440" w:type="dxa"/>
            <w:vAlign w:val="bottom"/>
            <w:gridSpan w:val="4"/>
            <w:shd w:val="clear" w:color="auto" w:fill="E6E6E6"/>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2.47</w:t>
            </w:r>
          </w:p>
        </w:tc>
      </w:tr>
      <w:tr>
        <w:trPr>
          <w:trHeight w:val="240"/>
        </w:trPr>
        <w:tc>
          <w:tcPr>
            <w:tcW w:w="5340" w:type="dxa"/>
            <w:vAlign w:val="bottom"/>
            <w:tcBorders>
              <w:top w:val="single" w:sz="8" w:color="E6E6E6"/>
            </w:tcBorders>
          </w:tcPr>
          <w:p>
            <w:pPr>
              <w:ind w:left="420"/>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E6E6E6"/>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w:t>
            </w:r>
          </w:p>
        </w:tc>
        <w:tc>
          <w:tcPr>
            <w:tcW w:w="100" w:type="dxa"/>
            <w:vAlign w:val="bottom"/>
            <w:tcBorders>
              <w:top w:val="single" w:sz="8" w:color="E6E6E6"/>
            </w:tcBorders>
            <w:gridSpan w:val="3"/>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w:t>
            </w:r>
          </w:p>
        </w:tc>
        <w:tc>
          <w:tcPr>
            <w:tcW w:w="120" w:type="dxa"/>
            <w:vAlign w:val="bottom"/>
            <w:tcBorders>
              <w:top w:val="single" w:sz="8" w:color="E6E6E6"/>
            </w:tcBorders>
            <w:gridSpan w:val="3"/>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w:t>
            </w:r>
          </w:p>
        </w:tc>
      </w:tr>
      <w:tr>
        <w:trPr>
          <w:trHeight w:val="20"/>
        </w:trPr>
        <w:tc>
          <w:tcPr>
            <w:tcW w:w="534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0"/>
        </w:trPr>
        <w:tc>
          <w:tcPr>
            <w:tcW w:w="53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920" w:type="dxa"/>
            <w:vAlign w:val="bottom"/>
            <w:shd w:val="clear" w:color="auto" w:fill="E6E6E6"/>
          </w:tcPr>
          <w:p>
            <w:pPr>
              <w:spacing w:after="0"/>
              <w:rPr>
                <w:sz w:val="23"/>
                <w:szCs w:val="23"/>
                <w:color w:val="auto"/>
              </w:rPr>
            </w:pPr>
          </w:p>
        </w:tc>
      </w:tr>
      <w:tr>
        <w:trPr>
          <w:trHeight w:val="180"/>
        </w:trPr>
        <w:tc>
          <w:tcPr>
            <w:tcW w:w="5340" w:type="dxa"/>
            <w:vAlign w:val="bottom"/>
          </w:tcPr>
          <w:p>
            <w:pPr>
              <w:ind w:left="60"/>
              <w:spacing w:after="0" w:line="181" w:lineRule="exact"/>
              <w:rPr>
                <w:sz w:val="20"/>
                <w:szCs w:val="20"/>
                <w:color w:val="auto"/>
              </w:rPr>
            </w:pPr>
            <w:r>
              <w:rPr>
                <w:rFonts w:ascii="Arial" w:cs="Arial" w:eastAsia="Arial" w:hAnsi="Arial"/>
                <w:sz w:val="18"/>
                <w:szCs w:val="18"/>
                <w:b w:val="1"/>
                <w:bCs w:val="1"/>
                <w:color w:val="auto"/>
                <w:w w:val="92"/>
              </w:rPr>
              <w:t>Average shares of common stock used to compute net income per</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7"/>
        </w:trPr>
        <w:tc>
          <w:tcPr>
            <w:tcW w:w="5340" w:type="dxa"/>
            <w:vAlign w:val="bottom"/>
          </w:tcPr>
          <w:p>
            <w:pPr>
              <w:ind w:left="60"/>
              <w:spacing w:after="0"/>
              <w:rPr>
                <w:sz w:val="20"/>
                <w:szCs w:val="20"/>
                <w:color w:val="auto"/>
              </w:rPr>
            </w:pPr>
            <w:r>
              <w:rPr>
                <w:rFonts w:ascii="Arial" w:cs="Arial" w:eastAsia="Arial" w:hAnsi="Arial"/>
                <w:sz w:val="18"/>
                <w:szCs w:val="18"/>
                <w:b w:val="1"/>
                <w:bCs w:val="1"/>
                <w:color w:val="auto"/>
              </w:rPr>
              <w:t>share: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338"/>
        </w:trPr>
        <w:tc>
          <w:tcPr>
            <w:tcW w:w="5340" w:type="dxa"/>
            <w:vAlign w:val="bottom"/>
            <w:tcBorders>
              <w:bottom w:val="single" w:sz="8" w:color="E6E6E6"/>
            </w:tcBorders>
            <w:shd w:val="clear" w:color="auto" w:fill="E6E6E6"/>
          </w:tcPr>
          <w:p>
            <w:pPr>
              <w:ind w:left="420"/>
              <w:spacing w:after="0"/>
              <w:rPr>
                <w:sz w:val="20"/>
                <w:szCs w:val="20"/>
                <w:color w:val="auto"/>
              </w:rPr>
            </w:pPr>
            <w:r>
              <w:rPr>
                <w:rFonts w:ascii="Arial" w:cs="Arial" w:eastAsia="Arial" w:hAnsi="Arial"/>
                <w:sz w:val="18"/>
                <w:szCs w:val="18"/>
                <w:color w:val="auto"/>
              </w:rPr>
              <w:t>Basic</w:t>
            </w: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70</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71</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72</w:t>
            </w:r>
          </w:p>
        </w:tc>
      </w:tr>
      <w:tr>
        <w:trPr>
          <w:trHeight w:val="220"/>
        </w:trPr>
        <w:tc>
          <w:tcPr>
            <w:tcW w:w="5340" w:type="dxa"/>
            <w:vAlign w:val="bottom"/>
          </w:tcPr>
          <w:p>
            <w:pPr>
              <w:ind w:left="42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r>
      <w:tr>
        <w:trPr>
          <w:trHeight w:val="20"/>
        </w:trPr>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3378200</wp:posOffset>
            </wp:positionH>
            <wp:positionV relativeFrom="paragraph">
              <wp:posOffset>-4307840</wp:posOffset>
            </wp:positionV>
            <wp:extent cx="257810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6">
                      <a:extLst>
                        <a:ext uri="{28A0092B-C50C-407E-A947-70E740481C1C}"/>
                      </a:extLst>
                    </a:blip>
                    <a:srcRect/>
                    <a:stretch>
                      <a:fillRect/>
                    </a:stretch>
                  </pic:blipFill>
                  <pic:spPr bwMode="auto">
                    <a:xfrm>
                      <a:off x="0" y="0"/>
                      <a:ext cx="2578100" cy="25400"/>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-3926840</wp:posOffset>
            </wp:positionV>
            <wp:extent cx="257810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7">
                      <a:extLst>
                        <a:ext uri="{28A0092B-C50C-407E-A947-70E740481C1C}"/>
                      </a:extLst>
                    </a:blip>
                    <a:srcRect/>
                    <a:stretch>
                      <a:fillRect/>
                    </a:stretch>
                  </pic:blipFill>
                  <pic:spPr bwMode="auto">
                    <a:xfrm>
                      <a:off x="0" y="0"/>
                      <a:ext cx="2578100" cy="25400"/>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-3164840</wp:posOffset>
            </wp:positionV>
            <wp:extent cx="257810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8">
                      <a:extLst>
                        <a:ext uri="{28A0092B-C50C-407E-A947-70E740481C1C}"/>
                      </a:extLst>
                    </a:blip>
                    <a:srcRect/>
                    <a:stretch>
                      <a:fillRect/>
                    </a:stretch>
                  </pic:blipFill>
                  <pic:spPr bwMode="auto">
                    <a:xfrm>
                      <a:off x="0" y="0"/>
                      <a:ext cx="2578100" cy="25400"/>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-2402840</wp:posOffset>
            </wp:positionV>
            <wp:extent cx="257810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9">
                      <a:extLst>
                        <a:ext uri="{28A0092B-C50C-407E-A947-70E740481C1C}"/>
                      </a:extLst>
                    </a:blip>
                    <a:srcRect/>
                    <a:stretch>
                      <a:fillRect/>
                    </a:stretch>
                  </pic:blipFill>
                  <pic:spPr bwMode="auto">
                    <a:xfrm>
                      <a:off x="0" y="0"/>
                      <a:ext cx="2578100" cy="25400"/>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-1831340</wp:posOffset>
            </wp:positionV>
            <wp:extent cx="257810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90">
                      <a:extLst>
                        <a:ext uri="{28A0092B-C50C-407E-A947-70E740481C1C}"/>
                      </a:extLst>
                    </a:blip>
                    <a:srcRect/>
                    <a:stretch>
                      <a:fillRect/>
                    </a:stretch>
                  </pic:blipFill>
                  <pic:spPr bwMode="auto">
                    <a:xfrm>
                      <a:off x="0" y="0"/>
                      <a:ext cx="2578100" cy="25400"/>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-1653540</wp:posOffset>
            </wp:positionV>
            <wp:extent cx="2578100"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1">
                      <a:extLst>
                        <a:ext uri="{28A0092B-C50C-407E-A947-70E740481C1C}"/>
                      </a:extLst>
                    </a:blip>
                    <a:srcRect/>
                    <a:stretch>
                      <a:fillRect/>
                    </a:stretch>
                  </pic:blipFill>
                  <pic:spPr bwMode="auto">
                    <a:xfrm>
                      <a:off x="0" y="0"/>
                      <a:ext cx="2578100" cy="50800"/>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-1082040</wp:posOffset>
            </wp:positionV>
            <wp:extent cx="2578100"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2">
                      <a:extLst>
                        <a:ext uri="{28A0092B-C50C-407E-A947-70E740481C1C}"/>
                      </a:extLst>
                    </a:blip>
                    <a:srcRect/>
                    <a:stretch>
                      <a:fillRect/>
                    </a:stretch>
                  </pic:blipFill>
                  <pic:spPr bwMode="auto">
                    <a:xfrm>
                      <a:off x="0" y="0"/>
                      <a:ext cx="2578100" cy="50800"/>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-891540</wp:posOffset>
            </wp:positionV>
            <wp:extent cx="2578100"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3">
                      <a:extLst>
                        <a:ext uri="{28A0092B-C50C-407E-A947-70E740481C1C}"/>
                      </a:extLst>
                    </a:blip>
                    <a:srcRect/>
                    <a:stretch>
                      <a:fillRect/>
                    </a:stretch>
                  </pic:blipFill>
                  <pic:spPr bwMode="auto">
                    <a:xfrm>
                      <a:off x="0" y="0"/>
                      <a:ext cx="2578100" cy="50800"/>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-234315</wp:posOffset>
            </wp:positionV>
            <wp:extent cx="2578100"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4">
                      <a:extLst>
                        <a:ext uri="{28A0092B-C50C-407E-A947-70E740481C1C}"/>
                      </a:extLst>
                    </a:blip>
                    <a:srcRect/>
                    <a:stretch>
                      <a:fillRect/>
                    </a:stretch>
                  </pic:blipFill>
                  <pic:spPr bwMode="auto">
                    <a:xfrm>
                      <a:off x="0" y="0"/>
                      <a:ext cx="2578100" cy="5080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Notes to the Consolidated Financial Statements.</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9360"/>
          </w:cols>
          <w:pgMar w:left="1260" w:top="1190" w:right="1260" w:bottom="225"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Amounts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20" w:type="dxa"/>
            <w:vAlign w:val="bottom"/>
            <w:gridSpan w:val="6"/>
          </w:tcPr>
          <w:p>
            <w:pPr>
              <w:jc w:val="right"/>
              <w:spacing w:after="0"/>
              <w:rPr>
                <w:sz w:val="20"/>
                <w:szCs w:val="20"/>
                <w:color w:val="auto"/>
              </w:rPr>
            </w:pPr>
            <w:r>
              <w:rPr>
                <w:rFonts w:ascii="Arial" w:cs="Arial" w:eastAsia="Arial" w:hAnsi="Arial"/>
                <w:sz w:val="18"/>
                <w:szCs w:val="18"/>
                <w:b w:val="1"/>
                <w:bCs w:val="1"/>
                <w:color w:val="auto"/>
                <w:w w:val="95"/>
              </w:rPr>
              <w:t>Year Ended December 31,</w:t>
            </w:r>
          </w:p>
        </w:tc>
        <w:tc>
          <w:tcPr>
            <w:tcW w:w="920" w:type="dxa"/>
            <w:vAlign w:val="bottom"/>
          </w:tcPr>
          <w:p>
            <w:pPr>
              <w:spacing w:after="0"/>
              <w:rPr>
                <w:sz w:val="20"/>
                <w:szCs w:val="20"/>
                <w:color w:val="auto"/>
              </w:rPr>
            </w:pPr>
          </w:p>
        </w:tc>
      </w:tr>
      <w:tr>
        <w:trPr>
          <w:trHeight w:val="33"/>
        </w:trPr>
        <w:tc>
          <w:tcPr>
            <w:tcW w:w="5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7"/>
        </w:trPr>
        <w:tc>
          <w:tcPr>
            <w:tcW w:w="5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33"/>
        </w:trPr>
        <w:tc>
          <w:tcPr>
            <w:tcW w:w="5340" w:type="dxa"/>
            <w:vAlign w:val="bottom"/>
            <w:tcBorders>
              <w:bottom w:val="single" w:sz="8" w:color="E6E6E6"/>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Net income</w:t>
            </w:r>
          </w:p>
        </w:tc>
        <w:tc>
          <w:tcPr>
            <w:tcW w:w="880" w:type="dxa"/>
            <w:vAlign w:val="bottom"/>
            <w:tcBorders>
              <w:bottom w:val="single" w:sz="8" w:color="E6E6E6"/>
            </w:tcBorders>
            <w:shd w:val="clear" w:color="auto" w:fill="E6E6E6"/>
          </w:tcPr>
          <w:p>
            <w:pPr>
              <w:jc w:val="right"/>
              <w:ind w:right="65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w w:val="99"/>
              </w:rPr>
              <w:t>146</w:t>
            </w:r>
          </w:p>
        </w:tc>
        <w:tc>
          <w:tcPr>
            <w:tcW w:w="380" w:type="dxa"/>
            <w:vAlign w:val="bottom"/>
            <w:tcBorders>
              <w:bottom w:val="single" w:sz="8" w:color="E6E6E6"/>
            </w:tcBorders>
            <w:gridSpan w:val="2"/>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420</w:t>
            </w:r>
          </w:p>
        </w:tc>
        <w:tc>
          <w:tcPr>
            <w:tcW w:w="460" w:type="dxa"/>
            <w:vAlign w:val="bottom"/>
            <w:tcBorders>
              <w:bottom w:val="single" w:sz="8" w:color="E6E6E6"/>
            </w:tcBorders>
            <w:gridSpan w:val="2"/>
            <w:shd w:val="clear" w:color="auto" w:fill="E6E6E6"/>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178</w:t>
            </w:r>
          </w:p>
        </w:tc>
      </w:tr>
      <w:tr>
        <w:trPr>
          <w:trHeight w:val="258"/>
        </w:trPr>
        <w:tc>
          <w:tcPr>
            <w:tcW w:w="5340" w:type="dxa"/>
            <w:vAlign w:val="bottom"/>
          </w:tcPr>
          <w:p>
            <w:pPr>
              <w:ind w:left="60"/>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42"/>
        </w:trPr>
        <w:tc>
          <w:tcPr>
            <w:tcW w:w="5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4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18"/>
                <w:szCs w:val="18"/>
                <w:color w:val="auto"/>
              </w:rPr>
              <w:t>Foreign currency translation adjustments</w:t>
            </w:r>
          </w:p>
        </w:tc>
        <w:tc>
          <w:tcPr>
            <w:tcW w:w="8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9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w:t>
            </w:r>
          </w:p>
        </w:tc>
      </w:tr>
      <w:tr>
        <w:trPr>
          <w:trHeight w:val="258"/>
        </w:trPr>
        <w:tc>
          <w:tcPr>
            <w:tcW w:w="5340" w:type="dxa"/>
            <w:vAlign w:val="bottom"/>
          </w:tcPr>
          <w:p>
            <w:pPr>
              <w:ind w:left="300"/>
              <w:spacing w:after="0"/>
              <w:rPr>
                <w:sz w:val="20"/>
                <w:szCs w:val="20"/>
                <w:color w:val="auto"/>
              </w:rPr>
            </w:pPr>
            <w:r>
              <w:rPr>
                <w:rFonts w:ascii="Arial" w:cs="Arial" w:eastAsia="Arial" w:hAnsi="Arial"/>
                <w:sz w:val="18"/>
                <w:szCs w:val="18"/>
                <w:color w:val="auto"/>
              </w:rPr>
              <w:t>Changes in defined benefit pension plans</w:t>
            </w:r>
          </w:p>
        </w:tc>
        <w:tc>
          <w:tcPr>
            <w:tcW w:w="8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
        </w:trPr>
        <w:tc>
          <w:tcPr>
            <w:tcW w:w="5340" w:type="dxa"/>
            <w:vAlign w:val="bottom"/>
            <w:tcBorders>
              <w:bottom w:val="single" w:sz="8" w:color="E6E6E6"/>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5"/>
        </w:trPr>
        <w:tc>
          <w:tcPr>
            <w:tcW w:w="5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9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10</w:t>
            </w:r>
          </w:p>
        </w:tc>
      </w:tr>
      <w:tr>
        <w:trPr>
          <w:trHeight w:val="260"/>
        </w:trPr>
        <w:tc>
          <w:tcPr>
            <w:tcW w:w="5340" w:type="dxa"/>
            <w:vAlign w:val="bottom"/>
            <w:tcBorders>
              <w:top w:val="single" w:sz="8" w:color="E6E6E6"/>
            </w:tcBorders>
          </w:tcPr>
          <w:p>
            <w:pPr>
              <w:ind w:left="60"/>
              <w:spacing w:after="0"/>
              <w:rPr>
                <w:sz w:val="20"/>
                <w:szCs w:val="20"/>
                <w:color w:val="auto"/>
              </w:rPr>
            </w:pPr>
            <w:r>
              <w:rPr>
                <w:rFonts w:ascii="Arial" w:cs="Arial" w:eastAsia="Arial" w:hAnsi="Arial"/>
                <w:sz w:val="18"/>
                <w:szCs w:val="18"/>
                <w:b w:val="1"/>
                <w:bCs w:val="1"/>
                <w:color w:val="auto"/>
              </w:rPr>
              <w:t>Comprehensive income</w:t>
            </w:r>
          </w:p>
        </w:tc>
        <w:tc>
          <w:tcPr>
            <w:tcW w:w="8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170</w:t>
            </w:r>
          </w:p>
        </w:tc>
        <w:tc>
          <w:tcPr>
            <w:tcW w:w="80" w:type="dxa"/>
            <w:vAlign w:val="bottom"/>
            <w:tcBorders>
              <w:top w:val="single" w:sz="8" w:color="E6E6E6"/>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w:t>
            </w:r>
          </w:p>
        </w:tc>
        <w:tc>
          <w:tcPr>
            <w:tcW w:w="80" w:type="dxa"/>
            <w:vAlign w:val="bottom"/>
            <w:tcBorders>
              <w:top w:val="single" w:sz="8" w:color="E6E6E6"/>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w:t>
            </w:r>
          </w:p>
        </w:tc>
      </w:tr>
      <w:tr>
        <w:trPr>
          <w:trHeight w:val="20"/>
        </w:trPr>
        <w:tc>
          <w:tcPr>
            <w:tcW w:w="5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-1364615</wp:posOffset>
            </wp:positionV>
            <wp:extent cx="17589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5">
                      <a:extLst>
                        <a:ext uri="{28A0092B-C50C-407E-A947-70E740481C1C}"/>
                      </a:extLst>
                    </a:blip>
                    <a:srcRect/>
                    <a:stretch>
                      <a:fillRect/>
                    </a:stretch>
                  </pic:blipFill>
                  <pic:spPr bwMode="auto">
                    <a:xfrm>
                      <a:off x="0" y="0"/>
                      <a:ext cx="1758950" cy="2540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-1174115</wp:posOffset>
            </wp:positionV>
            <wp:extent cx="257810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96">
                      <a:extLst>
                        <a:ext uri="{28A0092B-C50C-407E-A947-70E740481C1C}"/>
                      </a:extLst>
                    </a:blip>
                    <a:srcRect/>
                    <a:stretch>
                      <a:fillRect/>
                    </a:stretch>
                  </pic:blipFill>
                  <pic:spPr bwMode="auto">
                    <a:xfrm>
                      <a:off x="0" y="0"/>
                      <a:ext cx="2578100" cy="2540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-412115</wp:posOffset>
            </wp:positionV>
            <wp:extent cx="257810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97">
                      <a:extLst>
                        <a:ext uri="{28A0092B-C50C-407E-A947-70E740481C1C}"/>
                      </a:extLst>
                    </a:blip>
                    <a:srcRect/>
                    <a:stretch>
                      <a:fillRect/>
                    </a:stretch>
                  </pic:blipFill>
                  <pic:spPr bwMode="auto">
                    <a:xfrm>
                      <a:off x="0" y="0"/>
                      <a:ext cx="2578100" cy="2540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-221615</wp:posOffset>
            </wp:positionV>
            <wp:extent cx="257810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8">
                      <a:extLst>
                        <a:ext uri="{28A0092B-C50C-407E-A947-70E740481C1C}"/>
                      </a:extLst>
                    </a:blip>
                    <a:srcRect/>
                    <a:stretch>
                      <a:fillRect/>
                    </a:stretch>
                  </pic:blipFill>
                  <pic:spPr bwMode="auto">
                    <a:xfrm>
                      <a:off x="0" y="0"/>
                      <a:ext cx="2578100" cy="25400"/>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Notes to the Consolidated Financial Statements.</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9360"/>
          </w:cols>
          <w:pgMar w:left="1260" w:top="1190" w:right="1260" w:bottom="225" w:gutter="0" w:footer="0" w:header="0"/>
          <w:type w:val="continuous"/>
        </w:sectPr>
      </w:pPr>
    </w:p>
    <w:bookmarkStart w:id="64" w:name="page65"/>
    <w:bookmarkEnd w:id="64"/>
    <w:p>
      <w:pPr>
        <w:jc w:val="center"/>
        <w:ind w:right="20"/>
        <w:spacing w:after="0"/>
        <w:rPr>
          <w:sz w:val="20"/>
          <w:szCs w:val="20"/>
          <w:color w:val="auto"/>
        </w:rPr>
      </w:pPr>
      <w:r>
        <w:rPr>
          <w:rFonts w:ascii="Arial" w:cs="Arial" w:eastAsia="Arial" w:hAnsi="Arial"/>
          <w:sz w:val="20"/>
          <w:szCs w:val="20"/>
          <w:b w:val="1"/>
          <w:bCs w:val="1"/>
          <w:color w:val="auto"/>
        </w:rPr>
        <w:t>Consolidated Balance Sheets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Amounts in millions, except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8"/>
        </w:trPr>
        <w:tc>
          <w:tcPr>
            <w:tcW w:w="72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724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2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72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7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72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8"/>
                <w:szCs w:val="18"/>
                <w:color w:val="auto"/>
                <w:w w:val="98"/>
              </w:rPr>
              <w:t>Receivables, net of allowance for doubtful accounts of $1 at December 31, 2025 and 2024</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24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7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72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240" w:type="dxa"/>
            <w:vAlign w:val="bottom"/>
            <w:tcBorders>
              <w:top w:val="single" w:sz="8" w:color="E6E6E6"/>
            </w:tcBorders>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809</w:t>
            </w:r>
          </w:p>
        </w:tc>
        <w:tc>
          <w:tcPr>
            <w:tcW w:w="80" w:type="dxa"/>
            <w:vAlign w:val="bottom"/>
            <w:tcBorders>
              <w:top w:val="single" w:sz="8" w:color="E6E6E6"/>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7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7240" w:type="dxa"/>
            <w:vAlign w:val="bottom"/>
            <w:shd w:val="clear" w:color="auto" w:fill="E6E6E6"/>
          </w:tcPr>
          <w:p>
            <w:pPr>
              <w:spacing w:after="0"/>
              <w:rPr>
                <w:sz w:val="9"/>
                <w:szCs w:val="9"/>
                <w:color w:val="auto"/>
              </w:rPr>
            </w:pPr>
          </w:p>
        </w:tc>
        <w:tc>
          <w:tcPr>
            <w:tcW w:w="300" w:type="dxa"/>
            <w:vAlign w:val="bottom"/>
            <w:shd w:val="clear" w:color="auto" w:fill="E6E6E6"/>
          </w:tcPr>
          <w:p>
            <w:pPr>
              <w:spacing w:after="0"/>
              <w:rPr>
                <w:sz w:val="9"/>
                <w:szCs w:val="9"/>
                <w:color w:val="auto"/>
              </w:rPr>
            </w:pPr>
          </w:p>
        </w:tc>
        <w:tc>
          <w:tcPr>
            <w:tcW w:w="1000" w:type="dxa"/>
            <w:vAlign w:val="bottom"/>
            <w:shd w:val="clear" w:color="auto" w:fill="E6E6E6"/>
          </w:tcPr>
          <w:p>
            <w:pPr>
              <w:spacing w:after="0"/>
              <w:rPr>
                <w:sz w:val="9"/>
                <w:szCs w:val="9"/>
                <w:color w:val="auto"/>
              </w:rPr>
            </w:pPr>
          </w:p>
        </w:tc>
        <w:tc>
          <w:tcPr>
            <w:tcW w:w="80" w:type="dxa"/>
            <w:vAlign w:val="bottom"/>
            <w:shd w:val="clear" w:color="auto" w:fill="E6E6E6"/>
          </w:tcPr>
          <w:p>
            <w:pPr>
              <w:spacing w:after="0"/>
              <w:rPr>
                <w:sz w:val="9"/>
                <w:szCs w:val="9"/>
                <w:color w:val="auto"/>
              </w:rPr>
            </w:pPr>
          </w:p>
        </w:tc>
        <w:tc>
          <w:tcPr>
            <w:tcW w:w="300" w:type="dxa"/>
            <w:vAlign w:val="bottom"/>
            <w:shd w:val="clear" w:color="auto" w:fill="E6E6E6"/>
          </w:tcPr>
          <w:p>
            <w:pPr>
              <w:spacing w:after="0"/>
              <w:rPr>
                <w:sz w:val="9"/>
                <w:szCs w:val="9"/>
                <w:color w:val="auto"/>
              </w:rPr>
            </w:pPr>
          </w:p>
        </w:tc>
        <w:tc>
          <w:tcPr>
            <w:tcW w:w="1000" w:type="dxa"/>
            <w:vAlign w:val="bottom"/>
            <w:shd w:val="clear" w:color="auto" w:fill="E6E6E6"/>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724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7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72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8"/>
                <w:szCs w:val="18"/>
                <w:color w:val="auto"/>
              </w:rPr>
              <w:t>Timber and timberlands</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240" w:type="dxa"/>
            <w:vAlign w:val="bottom"/>
          </w:tcPr>
          <w:p>
            <w:pPr>
              <w:ind w:left="160"/>
              <w:spacing w:after="0"/>
              <w:rPr>
                <w:sz w:val="20"/>
                <w:szCs w:val="20"/>
                <w:color w:val="auto"/>
              </w:rPr>
            </w:pPr>
            <w:r>
              <w:rPr>
                <w:rFonts w:ascii="Arial" w:cs="Arial" w:eastAsia="Arial" w:hAnsi="Arial"/>
                <w:sz w:val="18"/>
                <w:szCs w:val="18"/>
                <w:color w:val="auto"/>
              </w:rPr>
              <w:t>Operating lease assets, net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7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72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8"/>
                <w:szCs w:val="18"/>
                <w:color w:val="auto"/>
              </w:rPr>
              <w:t>Goodwill and intangible assets</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240" w:type="dxa"/>
            <w:vAlign w:val="bottom"/>
          </w:tcPr>
          <w:p>
            <w:pPr>
              <w:ind w:left="160"/>
              <w:spacing w:after="0"/>
              <w:rPr>
                <w:sz w:val="20"/>
                <w:szCs w:val="20"/>
                <w:color w:val="auto"/>
              </w:rPr>
            </w:pPr>
            <w:r>
              <w:rPr>
                <w:rFonts w:ascii="Arial" w:cs="Arial" w:eastAsia="Arial" w:hAnsi="Arial"/>
                <w:sz w:val="18"/>
                <w:szCs w:val="18"/>
                <w:color w:val="auto"/>
              </w:rPr>
              <w:t>Investments in and advances to affiliates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7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72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240" w:type="dxa"/>
            <w:vAlign w:val="bottom"/>
          </w:tcPr>
          <w:p>
            <w:pPr>
              <w:ind w:left="16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724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7240" w:type="dxa"/>
            <w:vAlign w:val="bottom"/>
            <w:shd w:val="clear" w:color="auto" w:fill="E6E6E6"/>
          </w:tcPr>
          <w:p>
            <w:pPr>
              <w:ind w:left="40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2,627</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2,556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7240" w:type="dxa"/>
            <w:vAlign w:val="bottom"/>
            <w:tcBorders>
              <w:top w:val="single" w:sz="8" w:color="E6E6E6"/>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80" w:type="dxa"/>
            <w:vAlign w:val="bottom"/>
            <w:tcBorders>
              <w:top w:val="single" w:sz="8" w:color="E6E6E6"/>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0"/>
        </w:trPr>
        <w:tc>
          <w:tcPr>
            <w:tcW w:w="72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24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7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72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240" w:type="dxa"/>
            <w:vAlign w:val="bottom"/>
            <w:tcBorders>
              <w:top w:val="single" w:sz="8" w:color="E6E6E6"/>
            </w:tcBorders>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291</w:t>
            </w:r>
          </w:p>
        </w:tc>
        <w:tc>
          <w:tcPr>
            <w:tcW w:w="80" w:type="dxa"/>
            <w:vAlign w:val="bottom"/>
            <w:tcBorders>
              <w:top w:val="single" w:sz="8" w:color="E6E6E6"/>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7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7240" w:type="dxa"/>
            <w:vAlign w:val="bottom"/>
            <w:shd w:val="clear" w:color="auto" w:fill="E6E6E6"/>
          </w:tcPr>
          <w:p>
            <w:pPr>
              <w:spacing w:after="0"/>
              <w:rPr>
                <w:sz w:val="9"/>
                <w:szCs w:val="9"/>
                <w:color w:val="auto"/>
              </w:rPr>
            </w:pPr>
          </w:p>
        </w:tc>
        <w:tc>
          <w:tcPr>
            <w:tcW w:w="300" w:type="dxa"/>
            <w:vAlign w:val="bottom"/>
            <w:shd w:val="clear" w:color="auto" w:fill="E6E6E6"/>
          </w:tcPr>
          <w:p>
            <w:pPr>
              <w:spacing w:after="0"/>
              <w:rPr>
                <w:sz w:val="9"/>
                <w:szCs w:val="9"/>
                <w:color w:val="auto"/>
              </w:rPr>
            </w:pPr>
          </w:p>
        </w:tc>
        <w:tc>
          <w:tcPr>
            <w:tcW w:w="1000" w:type="dxa"/>
            <w:vAlign w:val="bottom"/>
            <w:shd w:val="clear" w:color="auto" w:fill="E6E6E6"/>
          </w:tcPr>
          <w:p>
            <w:pPr>
              <w:spacing w:after="0"/>
              <w:rPr>
                <w:sz w:val="9"/>
                <w:szCs w:val="9"/>
                <w:color w:val="auto"/>
              </w:rPr>
            </w:pPr>
          </w:p>
        </w:tc>
        <w:tc>
          <w:tcPr>
            <w:tcW w:w="80" w:type="dxa"/>
            <w:vAlign w:val="bottom"/>
            <w:shd w:val="clear" w:color="auto" w:fill="E6E6E6"/>
          </w:tcPr>
          <w:p>
            <w:pPr>
              <w:spacing w:after="0"/>
              <w:rPr>
                <w:sz w:val="9"/>
                <w:szCs w:val="9"/>
                <w:color w:val="auto"/>
              </w:rPr>
            </w:pPr>
          </w:p>
        </w:tc>
        <w:tc>
          <w:tcPr>
            <w:tcW w:w="300" w:type="dxa"/>
            <w:vAlign w:val="bottom"/>
            <w:shd w:val="clear" w:color="auto" w:fill="E6E6E6"/>
          </w:tcPr>
          <w:p>
            <w:pPr>
              <w:spacing w:after="0"/>
              <w:rPr>
                <w:sz w:val="9"/>
                <w:szCs w:val="9"/>
                <w:color w:val="auto"/>
              </w:rPr>
            </w:pPr>
          </w:p>
        </w:tc>
        <w:tc>
          <w:tcPr>
            <w:tcW w:w="1000" w:type="dxa"/>
            <w:vAlign w:val="bottom"/>
            <w:shd w:val="clear" w:color="auto" w:fill="E6E6E6"/>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724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7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72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240" w:type="dxa"/>
            <w:vAlign w:val="bottom"/>
          </w:tcPr>
          <w:p>
            <w:pPr>
              <w:ind w:left="160"/>
              <w:spacing w:after="0"/>
              <w:rPr>
                <w:sz w:val="20"/>
                <w:szCs w:val="20"/>
                <w:color w:val="auto"/>
              </w:rPr>
            </w:pPr>
            <w:r>
              <w:rPr>
                <w:rFonts w:ascii="Arial" w:cs="Arial" w:eastAsia="Arial" w:hAnsi="Arial"/>
                <w:sz w:val="18"/>
                <w:szCs w:val="18"/>
                <w:color w:val="auto"/>
              </w:rPr>
              <w:t>Non-current operating lease liabilities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7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72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8"/>
                <w:szCs w:val="18"/>
                <w:color w:val="auto"/>
              </w:rPr>
              <w:t>Contingency reserves, excluding current portion</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24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724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240" w:type="dxa"/>
            <w:vAlign w:val="bottom"/>
            <w:tcBorders>
              <w:bottom w:val="single" w:sz="8" w:color="E6E6E6"/>
            </w:tcBorders>
            <w:shd w:val="clear" w:color="auto" w:fill="E6E6E6"/>
          </w:tcPr>
          <w:p>
            <w:pPr>
              <w:ind w:left="40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896</w:t>
            </w:r>
          </w:p>
        </w:tc>
        <w:tc>
          <w:tcPr>
            <w:tcW w:w="8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885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7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72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Commitments and contingencies (Note 12)</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72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240" w:type="dxa"/>
            <w:vAlign w:val="bottom"/>
          </w:tcPr>
          <w:p>
            <w:pPr>
              <w:ind w:left="40"/>
              <w:spacing w:after="0"/>
              <w:rPr>
                <w:sz w:val="20"/>
                <w:szCs w:val="20"/>
                <w:color w:val="auto"/>
              </w:rPr>
            </w:pPr>
            <w:r>
              <w:rPr>
                <w:rFonts w:ascii="Arial" w:cs="Arial" w:eastAsia="Arial" w:hAnsi="Arial"/>
                <w:sz w:val="18"/>
                <w:szCs w:val="18"/>
                <w:color w:val="auto"/>
              </w:rPr>
              <w:t>Preferred stock, $1 par value; 15 shares authorized, no shares issued</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7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240" w:type="dxa"/>
            <w:vAlign w:val="bottom"/>
            <w:shd w:val="clear" w:color="auto" w:fill="E6E6E6"/>
          </w:tcPr>
          <w:p>
            <w:pPr>
              <w:ind w:left="40"/>
              <w:spacing w:after="0"/>
              <w:rPr>
                <w:sz w:val="20"/>
                <w:szCs w:val="20"/>
                <w:color w:val="auto"/>
              </w:rPr>
            </w:pPr>
            <w:r>
              <w:rPr>
                <w:rFonts w:ascii="Arial" w:cs="Arial" w:eastAsia="Arial" w:hAnsi="Arial"/>
                <w:sz w:val="18"/>
                <w:szCs w:val="18"/>
                <w:color w:val="auto"/>
                <w:w w:val="92"/>
              </w:rPr>
              <w:t>Common stock, $1 par value; 200 shares authorized; 85 shares issued, and 70 shares issued and</w:t>
            </w:r>
          </w:p>
        </w:tc>
        <w:tc>
          <w:tcPr>
            <w:tcW w:w="300" w:type="dxa"/>
            <w:vAlign w:val="bottom"/>
            <w:shd w:val="clear" w:color="auto" w:fill="E6E6E6"/>
          </w:tcPr>
          <w:p>
            <w:pPr>
              <w:spacing w:after="0"/>
              <w:rPr>
                <w:sz w:val="19"/>
                <w:szCs w:val="19"/>
                <w:color w:val="auto"/>
              </w:rPr>
            </w:pPr>
          </w:p>
        </w:tc>
        <w:tc>
          <w:tcPr>
            <w:tcW w:w="10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240" w:type="dxa"/>
            <w:vAlign w:val="bottom"/>
            <w:shd w:val="clear" w:color="auto" w:fill="E6E6E6"/>
          </w:tcPr>
          <w:p>
            <w:pPr>
              <w:ind w:left="40"/>
              <w:spacing w:after="0" w:line="180" w:lineRule="exact"/>
              <w:rPr>
                <w:sz w:val="20"/>
                <w:szCs w:val="20"/>
                <w:color w:val="auto"/>
              </w:rPr>
            </w:pPr>
            <w:r>
              <w:rPr>
                <w:rFonts w:ascii="Arial" w:cs="Arial" w:eastAsia="Arial" w:hAnsi="Arial"/>
                <w:sz w:val="18"/>
                <w:szCs w:val="18"/>
                <w:color w:val="auto"/>
                <w:w w:val="93"/>
              </w:rPr>
              <w:t>outstanding, respectively, as of December 31, 2025; 86 shares issued and 70 shares issued and</w:t>
            </w:r>
          </w:p>
        </w:tc>
        <w:tc>
          <w:tcPr>
            <w:tcW w:w="300" w:type="dxa"/>
            <w:vAlign w:val="bottom"/>
            <w:shd w:val="clear" w:color="auto" w:fill="E6E6E6"/>
          </w:tcPr>
          <w:p>
            <w:pPr>
              <w:spacing w:after="0"/>
              <w:rPr>
                <w:sz w:val="15"/>
                <w:szCs w:val="15"/>
                <w:color w:val="auto"/>
              </w:rPr>
            </w:pPr>
          </w:p>
        </w:tc>
        <w:tc>
          <w:tcPr>
            <w:tcW w:w="1000" w:type="dxa"/>
            <w:vAlign w:val="bottom"/>
            <w:vMerge w:val="continue"/>
            <w:shd w:val="clear" w:color="auto" w:fill="E6E6E6"/>
          </w:tcPr>
          <w:p>
            <w:pPr>
              <w:spacing w:after="0"/>
              <w:rPr>
                <w:sz w:val="15"/>
                <w:szCs w:val="15"/>
                <w:color w:val="auto"/>
              </w:rPr>
            </w:pPr>
          </w:p>
        </w:tc>
        <w:tc>
          <w:tcPr>
            <w:tcW w:w="80" w:type="dxa"/>
            <w:vAlign w:val="bottom"/>
            <w:shd w:val="clear" w:color="auto" w:fill="E6E6E6"/>
          </w:tcPr>
          <w:p>
            <w:pPr>
              <w:spacing w:after="0"/>
              <w:rPr>
                <w:sz w:val="15"/>
                <w:szCs w:val="15"/>
                <w:color w:val="auto"/>
              </w:rPr>
            </w:pPr>
          </w:p>
        </w:tc>
        <w:tc>
          <w:tcPr>
            <w:tcW w:w="300" w:type="dxa"/>
            <w:vAlign w:val="bottom"/>
            <w:shd w:val="clear" w:color="auto" w:fill="E6E6E6"/>
          </w:tcPr>
          <w:p>
            <w:pPr>
              <w:spacing w:after="0"/>
              <w:rPr>
                <w:sz w:val="15"/>
                <w:szCs w:val="15"/>
                <w:color w:val="auto"/>
              </w:rPr>
            </w:pPr>
          </w:p>
        </w:tc>
        <w:tc>
          <w:tcPr>
            <w:tcW w:w="1000" w:type="dxa"/>
            <w:vAlign w:val="bottom"/>
            <w:vMerge w:val="continue"/>
            <w:shd w:val="clear" w:color="auto" w:fill="E6E6E6"/>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7240" w:type="dxa"/>
            <w:vAlign w:val="bottom"/>
            <w:shd w:val="clear" w:color="auto" w:fill="E6E6E6"/>
          </w:tcPr>
          <w:p>
            <w:pPr>
              <w:ind w:left="40"/>
              <w:spacing w:after="0"/>
              <w:rPr>
                <w:sz w:val="20"/>
                <w:szCs w:val="20"/>
                <w:color w:val="auto"/>
              </w:rPr>
            </w:pPr>
            <w:r>
              <w:rPr>
                <w:rFonts w:ascii="Arial" w:cs="Arial" w:eastAsia="Arial" w:hAnsi="Arial"/>
                <w:sz w:val="18"/>
                <w:szCs w:val="18"/>
                <w:color w:val="auto"/>
              </w:rPr>
              <w:t>outstanding, respectively, as of December 31, 2024</w:t>
            </w:r>
          </w:p>
        </w:tc>
        <w:tc>
          <w:tcPr>
            <w:tcW w:w="300" w:type="dxa"/>
            <w:vAlign w:val="bottom"/>
            <w:shd w:val="clear" w:color="auto" w:fill="E6E6E6"/>
          </w:tcPr>
          <w:p>
            <w:pPr>
              <w:spacing w:after="0"/>
              <w:rPr>
                <w:sz w:val="20"/>
                <w:szCs w:val="20"/>
                <w:color w:val="auto"/>
              </w:rPr>
            </w:pPr>
          </w:p>
        </w:tc>
        <w:tc>
          <w:tcPr>
            <w:tcW w:w="100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000" w:type="dxa"/>
            <w:vAlign w:val="bottom"/>
            <w:shd w:val="clear" w:color="auto" w:fill="E6E6E6"/>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7240" w:type="dxa"/>
            <w:vAlign w:val="bottom"/>
            <w:shd w:val="clear" w:color="auto" w:fill="E6E6E6"/>
          </w:tcPr>
          <w:p>
            <w:pPr>
              <w:spacing w:after="0"/>
              <w:rPr>
                <w:sz w:val="5"/>
                <w:szCs w:val="5"/>
                <w:color w:val="auto"/>
              </w:rPr>
            </w:pPr>
          </w:p>
        </w:tc>
        <w:tc>
          <w:tcPr>
            <w:tcW w:w="300" w:type="dxa"/>
            <w:vAlign w:val="bottom"/>
            <w:shd w:val="clear" w:color="auto" w:fill="E6E6E6"/>
          </w:tcPr>
          <w:p>
            <w:pPr>
              <w:spacing w:after="0"/>
              <w:rPr>
                <w:sz w:val="5"/>
                <w:szCs w:val="5"/>
                <w:color w:val="auto"/>
              </w:rPr>
            </w:pPr>
          </w:p>
        </w:tc>
        <w:tc>
          <w:tcPr>
            <w:tcW w:w="1000" w:type="dxa"/>
            <w:vAlign w:val="bottom"/>
            <w:shd w:val="clear" w:color="auto" w:fill="E6E6E6"/>
          </w:tcPr>
          <w:p>
            <w:pPr>
              <w:spacing w:after="0"/>
              <w:rPr>
                <w:sz w:val="5"/>
                <w:szCs w:val="5"/>
                <w:color w:val="auto"/>
              </w:rPr>
            </w:pPr>
          </w:p>
        </w:tc>
        <w:tc>
          <w:tcPr>
            <w:tcW w:w="80" w:type="dxa"/>
            <w:vAlign w:val="bottom"/>
            <w:shd w:val="clear" w:color="auto" w:fill="E6E6E6"/>
          </w:tcPr>
          <w:p>
            <w:pPr>
              <w:spacing w:after="0"/>
              <w:rPr>
                <w:sz w:val="5"/>
                <w:szCs w:val="5"/>
                <w:color w:val="auto"/>
              </w:rPr>
            </w:pPr>
          </w:p>
        </w:tc>
        <w:tc>
          <w:tcPr>
            <w:tcW w:w="300" w:type="dxa"/>
            <w:vAlign w:val="bottom"/>
            <w:shd w:val="clear" w:color="auto" w:fill="E6E6E6"/>
          </w:tcPr>
          <w:p>
            <w:pPr>
              <w:spacing w:after="0"/>
              <w:rPr>
                <w:sz w:val="5"/>
                <w:szCs w:val="5"/>
                <w:color w:val="auto"/>
              </w:rPr>
            </w:pPr>
          </w:p>
        </w:tc>
        <w:tc>
          <w:tcPr>
            <w:tcW w:w="1000" w:type="dxa"/>
            <w:vAlign w:val="bottom"/>
            <w:shd w:val="clear" w:color="auto" w:fill="E6E6E6"/>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72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7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72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1,621</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1,615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240" w:type="dxa"/>
            <w:vAlign w:val="bottom"/>
          </w:tcPr>
          <w:p>
            <w:pPr>
              <w:ind w:left="40"/>
              <w:spacing w:after="0"/>
              <w:rPr>
                <w:sz w:val="20"/>
                <w:szCs w:val="20"/>
                <w:color w:val="auto"/>
              </w:rPr>
            </w:pPr>
            <w:r>
              <w:rPr>
                <w:rFonts w:ascii="Arial" w:cs="Arial" w:eastAsia="Arial" w:hAnsi="Arial"/>
                <w:sz w:val="18"/>
                <w:szCs w:val="18"/>
                <w:color w:val="auto"/>
                <w:w w:val="92"/>
              </w:rPr>
              <w:t>Treasury stock, 15 shares and 16 shares at cost as of December 31, 2025 and 2024, respectively</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7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72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Accumulated comprehensive loss</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240" w:type="dxa"/>
            <w:vAlign w:val="bottom"/>
            <w:tcBorders>
              <w:top w:val="single" w:sz="8" w:color="E6E6E6"/>
            </w:tcBorders>
          </w:tcPr>
          <w:p>
            <w:pPr>
              <w:ind w:left="40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1,731</w:t>
            </w:r>
          </w:p>
        </w:tc>
        <w:tc>
          <w:tcPr>
            <w:tcW w:w="80" w:type="dxa"/>
            <w:vAlign w:val="bottom"/>
            <w:tcBorders>
              <w:top w:val="single" w:sz="8" w:color="E6E6E6"/>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724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7240" w:type="dxa"/>
            <w:vAlign w:val="bottom"/>
            <w:shd w:val="clear" w:color="auto" w:fill="E6E6E6"/>
          </w:tcPr>
          <w:p>
            <w:pPr>
              <w:ind w:left="40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2,627</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2,556</w:t>
            </w:r>
          </w:p>
        </w:tc>
        <w:tc>
          <w:tcPr>
            <w:tcW w:w="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0" w:type="dxa"/>
            <w:vAlign w:val="bottom"/>
          </w:tcPr>
          <w:p>
            <w:pPr>
              <w:spacing w:after="0"/>
              <w:rPr>
                <w:sz w:val="1"/>
                <w:szCs w:val="1"/>
                <w:color w:val="auto"/>
              </w:rPr>
            </w:pPr>
          </w:p>
        </w:tc>
      </w:tr>
      <w:tr>
        <w:trPr>
          <w:trHeight w:val="390"/>
        </w:trPr>
        <w:tc>
          <w:tcPr>
            <w:tcW w:w="7240" w:type="dxa"/>
            <w:vAlign w:val="bottom"/>
            <w:tcBorders>
              <w:top w:val="single" w:sz="8" w:color="E6E6E6"/>
            </w:tcBorders>
          </w:tcPr>
          <w:p>
            <w:pPr>
              <w:ind w:left="2900"/>
              <w:spacing w:after="0"/>
              <w:rPr>
                <w:sz w:val="20"/>
                <w:szCs w:val="20"/>
                <w:color w:val="auto"/>
              </w:rPr>
            </w:pPr>
            <w:r>
              <w:rPr>
                <w:rFonts w:ascii="Arial" w:cs="Arial" w:eastAsia="Arial" w:hAnsi="Arial"/>
                <w:sz w:val="20"/>
                <w:szCs w:val="20"/>
                <w:color w:val="auto"/>
                <w:w w:val="92"/>
              </w:rPr>
              <w:t>See Notes to the Consolidated Financial Statements.</w:t>
            </w: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E6E6E6"/>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4581525</wp:posOffset>
            </wp:positionH>
            <wp:positionV relativeFrom="paragraph">
              <wp:posOffset>-7346315</wp:posOffset>
            </wp:positionV>
            <wp:extent cx="173037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99">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-6393815</wp:posOffset>
            </wp:positionV>
            <wp:extent cx="173037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00">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-4803140</wp:posOffset>
            </wp:positionV>
            <wp:extent cx="173037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01">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-4625340</wp:posOffset>
            </wp:positionV>
            <wp:extent cx="1730375" cy="508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2">
                      <a:extLst>
                        <a:ext uri="{28A0092B-C50C-407E-A947-70E740481C1C}"/>
                      </a:extLst>
                    </a:blip>
                    <a:srcRect/>
                    <a:stretch>
                      <a:fillRect/>
                    </a:stretch>
                  </pic:blipFill>
                  <pic:spPr bwMode="auto">
                    <a:xfrm>
                      <a:off x="0" y="0"/>
                      <a:ext cx="1730375" cy="50800"/>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-3974465</wp:posOffset>
            </wp:positionV>
            <wp:extent cx="173037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03">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-2764790</wp:posOffset>
            </wp:positionV>
            <wp:extent cx="173037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04">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-659765</wp:posOffset>
            </wp:positionV>
            <wp:extent cx="173037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05">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-469265</wp:posOffset>
            </wp:positionV>
            <wp:extent cx="173037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06">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4581525</wp:posOffset>
            </wp:positionH>
            <wp:positionV relativeFrom="paragraph">
              <wp:posOffset>-291465</wp:posOffset>
            </wp:positionV>
            <wp:extent cx="1730375"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07">
                      <a:extLst>
                        <a:ext uri="{28A0092B-C50C-407E-A947-70E740481C1C}"/>
                      </a:extLst>
                    </a:blip>
                    <a:srcRect/>
                    <a:stretch>
                      <a:fillRect/>
                    </a:stretch>
                  </pic:blipFill>
                  <pic:spPr bwMode="auto">
                    <a:xfrm>
                      <a:off x="0" y="0"/>
                      <a:ext cx="1730375" cy="50800"/>
                    </a:xfrm>
                    <a:prstGeom prst="rect">
                      <a:avLst/>
                    </a:prstGeom>
                    <a:noFill/>
                  </pic:spPr>
                </pic:pic>
              </a:graphicData>
            </a:graphic>
          </wp:anchor>
        </w:drawing>
      </w:r>
    </w:p>
    <w:p>
      <w:pPr>
        <w:sectPr>
          <w:pgSz w:w="11880" w:h="15480" w:orient="portrait"/>
          <w:cols w:equalWidth="0" w:num="1">
            <w:col w:w="9980"/>
          </w:cols>
          <w:pgMar w:left="960" w:top="605" w:right="94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9980"/>
          </w:cols>
          <w:pgMar w:left="960" w:top="605" w:right="940" w:bottom="225" w:gutter="0" w:footer="0" w:header="0"/>
          <w:type w:val="continuous"/>
        </w:sectPr>
      </w:pPr>
    </w:p>
    <w:bookmarkStart w:id="65" w:name="page66"/>
    <w:bookmarkEnd w:id="65"/>
    <w:p>
      <w:pPr>
        <w:jc w:val="center"/>
        <w:ind w:right="-59"/>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Amounts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0" w:type="dxa"/>
            <w:vAlign w:val="bottom"/>
            <w:shd w:val="clear" w:color="auto" w:fill="E6E6E6"/>
          </w:tcPr>
          <w:p>
            <w:pPr>
              <w:spacing w:after="0"/>
              <w:rPr>
                <w:sz w:val="22"/>
                <w:szCs w:val="22"/>
                <w:color w:val="auto"/>
              </w:rPr>
            </w:pPr>
          </w:p>
        </w:tc>
        <w:tc>
          <w:tcPr>
            <w:tcW w:w="532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146</w:t>
            </w:r>
          </w:p>
        </w:tc>
        <w:tc>
          <w:tcPr>
            <w:tcW w:w="360" w:type="dxa"/>
            <w:vAlign w:val="bottom"/>
            <w:gridSpan w:val="2"/>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420</w:t>
            </w:r>
          </w:p>
        </w:tc>
        <w:tc>
          <w:tcPr>
            <w:tcW w:w="440" w:type="dxa"/>
            <w:vAlign w:val="bottom"/>
            <w:gridSpan w:val="2"/>
            <w:shd w:val="clear" w:color="auto" w:fill="E6E6E6"/>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Adjustments to net income: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0" w:type="dxa"/>
            <w:vAlign w:val="bottom"/>
            <w:shd w:val="clear" w:color="auto" w:fill="E6E6E6"/>
          </w:tcPr>
          <w:p>
            <w:pPr>
              <w:spacing w:after="0"/>
              <w:rPr>
                <w:sz w:val="23"/>
                <w:szCs w:val="23"/>
                <w:color w:val="auto"/>
              </w:rPr>
            </w:pPr>
          </w:p>
        </w:tc>
        <w:tc>
          <w:tcPr>
            <w:tcW w:w="5320" w:type="dxa"/>
            <w:vAlign w:val="bottom"/>
            <w:gridSpan w:val="2"/>
            <w:shd w:val="clear" w:color="auto" w:fill="E6E6E6"/>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E6E6E6"/>
          </w:tcPr>
          <w:p>
            <w:pPr>
              <w:spacing w:after="0"/>
              <w:rPr>
                <w:sz w:val="23"/>
                <w:szCs w:val="23"/>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E6E6E6"/>
          </w:tcPr>
          <w:p>
            <w:pPr>
              <w:spacing w:after="0"/>
              <w:rPr>
                <w:sz w:val="23"/>
                <w:szCs w:val="23"/>
                <w:color w:val="auto"/>
              </w:rPr>
            </w:pPr>
          </w:p>
        </w:tc>
        <w:tc>
          <w:tcPr>
            <w:tcW w:w="380" w:type="dxa"/>
            <w:vAlign w:val="bottom"/>
            <w:shd w:val="clear" w:color="auto" w:fill="E6E6E6"/>
          </w:tcPr>
          <w:p>
            <w:pPr>
              <w:spacing w:after="0"/>
              <w:rPr>
                <w:sz w:val="23"/>
                <w:szCs w:val="23"/>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5320" w:type="dxa"/>
            <w:vAlign w:val="bottom"/>
            <w:gridSpan w:val="2"/>
          </w:tcPr>
          <w:p>
            <w:pPr>
              <w:ind w:left="120"/>
              <w:spacing w:after="0"/>
              <w:rPr>
                <w:sz w:val="20"/>
                <w:szCs w:val="20"/>
                <w:color w:val="auto"/>
              </w:rPr>
            </w:pPr>
            <w:r>
              <w:rPr>
                <w:rFonts w:ascii="Arial" w:cs="Arial" w:eastAsia="Arial" w:hAnsi="Arial"/>
                <w:sz w:val="18"/>
                <w:szCs w:val="18"/>
                <w:color w:val="auto"/>
              </w:rPr>
              <w:t>Impairment of goodwill and long-lived assets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4"/>
        </w:trPr>
        <w:tc>
          <w:tcPr>
            <w:tcW w:w="60" w:type="dxa"/>
            <w:vAlign w:val="bottom"/>
            <w:shd w:val="clear" w:color="auto" w:fill="E6E6E6"/>
          </w:tcPr>
          <w:p>
            <w:pPr>
              <w:spacing w:after="0"/>
              <w:rPr>
                <w:sz w:val="22"/>
                <w:szCs w:val="22"/>
                <w:color w:val="auto"/>
              </w:rPr>
            </w:pPr>
          </w:p>
        </w:tc>
        <w:tc>
          <w:tcPr>
            <w:tcW w:w="5320" w:type="dxa"/>
            <w:vAlign w:val="bottom"/>
            <w:gridSpan w:val="2"/>
            <w:shd w:val="clear" w:color="auto" w:fill="E6E6E6"/>
          </w:tcPr>
          <w:p>
            <w:pPr>
              <w:ind w:left="1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E6E6E6"/>
          </w:tcPr>
          <w:p>
            <w:pPr>
              <w:spacing w:after="0"/>
              <w:rPr>
                <w:sz w:val="22"/>
                <w:szCs w:val="22"/>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5320" w:type="dxa"/>
            <w:vAlign w:val="bottom"/>
            <w:gridSpan w:val="2"/>
          </w:tcPr>
          <w:p>
            <w:pPr>
              <w:ind w:left="120"/>
              <w:spacing w:after="0"/>
              <w:rPr>
                <w:sz w:val="20"/>
                <w:szCs w:val="20"/>
                <w:color w:val="auto"/>
              </w:rPr>
            </w:pPr>
            <w:r>
              <w:rPr>
                <w:rFonts w:ascii="Arial" w:cs="Arial" w:eastAsia="Arial" w:hAnsi="Arial"/>
                <w:sz w:val="18"/>
                <w:szCs w:val="18"/>
                <w:color w:val="auto"/>
              </w:rPr>
              <w:t>Pension loss due to settlement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4"/>
        </w:trPr>
        <w:tc>
          <w:tcPr>
            <w:tcW w:w="60" w:type="dxa"/>
            <w:vAlign w:val="bottom"/>
            <w:shd w:val="clear" w:color="auto" w:fill="E6E6E6"/>
          </w:tcPr>
          <w:p>
            <w:pPr>
              <w:spacing w:after="0"/>
              <w:rPr>
                <w:sz w:val="22"/>
                <w:szCs w:val="22"/>
                <w:color w:val="auto"/>
              </w:rPr>
            </w:pPr>
          </w:p>
        </w:tc>
        <w:tc>
          <w:tcPr>
            <w:tcW w:w="5320" w:type="dxa"/>
            <w:vAlign w:val="bottom"/>
            <w:gridSpan w:val="2"/>
            <w:shd w:val="clear" w:color="auto" w:fill="E6E6E6"/>
          </w:tcPr>
          <w:p>
            <w:pPr>
              <w:ind w:left="120"/>
              <w:spacing w:after="0"/>
              <w:rPr>
                <w:sz w:val="20"/>
                <w:szCs w:val="20"/>
                <w:color w:val="auto"/>
              </w:rPr>
            </w:pPr>
            <w:r>
              <w:rPr>
                <w:rFonts w:ascii="Arial" w:cs="Arial" w:eastAsia="Arial" w:hAnsi="Arial"/>
                <w:sz w:val="18"/>
                <w:szCs w:val="18"/>
                <w:color w:val="auto"/>
              </w:rPr>
              <w:t>Deferred taxes</w:t>
            </w:r>
          </w:p>
        </w:tc>
        <w:tc>
          <w:tcPr>
            <w:tcW w:w="300" w:type="dxa"/>
            <w:vAlign w:val="bottom"/>
            <w:shd w:val="clear" w:color="auto" w:fill="E6E6E6"/>
          </w:tcPr>
          <w:p>
            <w:pPr>
              <w:spacing w:after="0"/>
              <w:rPr>
                <w:sz w:val="22"/>
                <w:szCs w:val="22"/>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5320" w:type="dxa"/>
            <w:vAlign w:val="bottom"/>
            <w:gridSpan w:val="2"/>
          </w:tcPr>
          <w:p>
            <w:pPr>
              <w:ind w:left="120"/>
              <w:spacing w:after="0"/>
              <w:rPr>
                <w:sz w:val="20"/>
                <w:szCs w:val="20"/>
                <w:color w:val="auto"/>
              </w:rPr>
            </w:pPr>
            <w:r>
              <w:rPr>
                <w:rFonts w:ascii="Arial" w:cs="Arial" w:eastAsia="Arial" w:hAnsi="Arial"/>
                <w:sz w:val="18"/>
                <w:szCs w:val="18"/>
                <w:color w:val="auto"/>
              </w:rPr>
              <w:t>Foreign currency remeasurement and transaction losses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64"/>
        </w:trPr>
        <w:tc>
          <w:tcPr>
            <w:tcW w:w="60" w:type="dxa"/>
            <w:vAlign w:val="bottom"/>
            <w:shd w:val="clear" w:color="auto" w:fill="E6E6E6"/>
          </w:tcPr>
          <w:p>
            <w:pPr>
              <w:spacing w:after="0"/>
              <w:rPr>
                <w:sz w:val="22"/>
                <w:szCs w:val="22"/>
                <w:color w:val="auto"/>
              </w:rPr>
            </w:pPr>
          </w:p>
        </w:tc>
        <w:tc>
          <w:tcPr>
            <w:tcW w:w="5320" w:type="dxa"/>
            <w:vAlign w:val="bottom"/>
            <w:gridSpan w:val="2"/>
            <w:shd w:val="clear" w:color="auto" w:fill="E6E6E6"/>
          </w:tcPr>
          <w:p>
            <w:pPr>
              <w:ind w:left="120"/>
              <w:spacing w:after="0"/>
              <w:rPr>
                <w:sz w:val="20"/>
                <w:szCs w:val="20"/>
                <w:color w:val="auto"/>
              </w:rPr>
            </w:pPr>
            <w:r>
              <w:rPr>
                <w:rFonts w:ascii="Arial" w:cs="Arial" w:eastAsia="Arial" w:hAnsi="Arial"/>
                <w:sz w:val="18"/>
                <w:szCs w:val="18"/>
                <w:color w:val="auto"/>
              </w:rPr>
              <w:t>Other adjustments, net</w:t>
            </w:r>
          </w:p>
        </w:tc>
        <w:tc>
          <w:tcPr>
            <w:tcW w:w="300" w:type="dxa"/>
            <w:vAlign w:val="bottom"/>
            <w:shd w:val="clear" w:color="auto" w:fill="E6E6E6"/>
          </w:tcPr>
          <w:p>
            <w:pPr>
              <w:spacing w:after="0"/>
              <w:rPr>
                <w:sz w:val="22"/>
                <w:szCs w:val="22"/>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w w:val="95"/>
              </w:rPr>
              <w:t>Changes in assets and liabilities (net of acquisitions and divestitures):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 w:type="dxa"/>
            <w:vAlign w:val="bottom"/>
            <w:shd w:val="clear" w:color="auto" w:fill="E6E6E6"/>
          </w:tcPr>
          <w:p>
            <w:pPr>
              <w:spacing w:after="0"/>
              <w:rPr>
                <w:sz w:val="22"/>
                <w:szCs w:val="22"/>
                <w:color w:val="auto"/>
              </w:rPr>
            </w:pPr>
          </w:p>
        </w:tc>
        <w:tc>
          <w:tcPr>
            <w:tcW w:w="5320" w:type="dxa"/>
            <w:vAlign w:val="bottom"/>
            <w:gridSpan w:val="2"/>
            <w:shd w:val="clear" w:color="auto" w:fill="E6E6E6"/>
          </w:tcPr>
          <w:p>
            <w:pPr>
              <w:ind w:left="12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E6E6E6"/>
          </w:tcPr>
          <w:p>
            <w:pPr>
              <w:spacing w:after="0"/>
              <w:rPr>
                <w:sz w:val="22"/>
                <w:szCs w:val="22"/>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5320" w:type="dxa"/>
            <w:vAlign w:val="bottom"/>
            <w:gridSpan w:val="2"/>
          </w:tcPr>
          <w:p>
            <w:pPr>
              <w:ind w:left="1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64"/>
        </w:trPr>
        <w:tc>
          <w:tcPr>
            <w:tcW w:w="60" w:type="dxa"/>
            <w:vAlign w:val="bottom"/>
            <w:shd w:val="clear" w:color="auto" w:fill="E6E6E6"/>
          </w:tcPr>
          <w:p>
            <w:pPr>
              <w:spacing w:after="0"/>
              <w:rPr>
                <w:sz w:val="22"/>
                <w:szCs w:val="22"/>
                <w:color w:val="auto"/>
              </w:rPr>
            </w:pPr>
          </w:p>
        </w:tc>
        <w:tc>
          <w:tcPr>
            <w:tcW w:w="5320" w:type="dxa"/>
            <w:vAlign w:val="bottom"/>
            <w:gridSpan w:val="2"/>
            <w:shd w:val="clear" w:color="auto" w:fill="E6E6E6"/>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E6E6E6"/>
          </w:tcPr>
          <w:p>
            <w:pPr>
              <w:spacing w:after="0"/>
              <w:rPr>
                <w:sz w:val="22"/>
                <w:szCs w:val="22"/>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5320" w:type="dxa"/>
            <w:vAlign w:val="bottom"/>
            <w:gridSpan w:val="2"/>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60" w:type="dxa"/>
            <w:vAlign w:val="bottom"/>
            <w:tcBorders>
              <w:bottom w:val="single" w:sz="8" w:color="E6E6E6"/>
            </w:tcBorders>
            <w:shd w:val="clear" w:color="auto" w:fill="E6E6E6"/>
          </w:tcPr>
          <w:p>
            <w:pPr>
              <w:spacing w:after="0"/>
              <w:rPr>
                <w:sz w:val="23"/>
                <w:szCs w:val="23"/>
                <w:color w:val="auto"/>
              </w:rPr>
            </w:pPr>
          </w:p>
        </w:tc>
        <w:tc>
          <w:tcPr>
            <w:tcW w:w="5320" w:type="dxa"/>
            <w:vAlign w:val="bottom"/>
            <w:tcBorders>
              <w:bottom w:val="single" w:sz="8" w:color="E6E6E6"/>
            </w:tcBorders>
            <w:gridSpan w:val="2"/>
            <w:shd w:val="clear" w:color="auto" w:fill="E6E6E6"/>
          </w:tcPr>
          <w:p>
            <w:pPr>
              <w:ind w:left="120"/>
              <w:spacing w:after="0"/>
              <w:rPr>
                <w:sz w:val="20"/>
                <w:szCs w:val="20"/>
                <w:color w:val="auto"/>
              </w:rPr>
            </w:pPr>
            <w:r>
              <w:rPr>
                <w:rFonts w:ascii="Arial" w:cs="Arial" w:eastAsia="Arial" w:hAnsi="Arial"/>
                <w:sz w:val="18"/>
                <w:szCs w:val="18"/>
                <w:color w:val="auto"/>
              </w:rPr>
              <w:t>Income taxes payable, net of receivables</w:t>
            </w:r>
          </w:p>
        </w:tc>
        <w:tc>
          <w:tcPr>
            <w:tcW w:w="300" w:type="dxa"/>
            <w:vAlign w:val="bottom"/>
            <w:tcBorders>
              <w:bottom w:val="single" w:sz="8" w:color="auto"/>
            </w:tcBorders>
            <w:shd w:val="clear" w:color="auto" w:fill="E6E6E6"/>
          </w:tcPr>
          <w:p>
            <w:pPr>
              <w:spacing w:after="0"/>
              <w:rPr>
                <w:sz w:val="23"/>
                <w:szCs w:val="23"/>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auto"/>
            </w:tcBorders>
            <w:shd w:val="clear" w:color="auto" w:fill="E6E6E6"/>
          </w:tcPr>
          <w:p>
            <w:pPr>
              <w:spacing w:after="0"/>
              <w:rPr>
                <w:sz w:val="23"/>
                <w:szCs w:val="23"/>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9"/>
        </w:trPr>
        <w:tc>
          <w:tcPr>
            <w:tcW w:w="60" w:type="dxa"/>
            <w:vAlign w:val="bottom"/>
            <w:tcBorders>
              <w:bottom w:val="single" w:sz="8" w:color="E6E6E6"/>
            </w:tcBorders>
          </w:tcPr>
          <w:p>
            <w:pPr>
              <w:spacing w:after="0"/>
              <w:rPr>
                <w:sz w:val="19"/>
                <w:szCs w:val="19"/>
                <w:color w:val="auto"/>
              </w:rPr>
            </w:pPr>
          </w:p>
        </w:tc>
        <w:tc>
          <w:tcPr>
            <w:tcW w:w="5320" w:type="dxa"/>
            <w:vAlign w:val="bottom"/>
            <w:tcBorders>
              <w:bottom w:val="single" w:sz="8" w:color="E6E6E6"/>
            </w:tcBorders>
            <w:gridSpan w:val="2"/>
          </w:tcPr>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w:t>
            </w:r>
          </w:p>
        </w:tc>
        <w:tc>
          <w:tcPr>
            <w:tcW w:w="6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60" w:type="dxa"/>
            <w:vAlign w:val="bottom"/>
            <w:tcBorders>
              <w:bottom w:val="single" w:sz="8" w:color="E6E6E6"/>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w:t>
            </w:r>
          </w:p>
        </w:tc>
        <w:tc>
          <w:tcPr>
            <w:tcW w:w="0" w:type="dxa"/>
            <w:vAlign w:val="bottom"/>
          </w:tcPr>
          <w:p>
            <w:pPr>
              <w:spacing w:after="0"/>
              <w:rPr>
                <w:sz w:val="1"/>
                <w:szCs w:val="1"/>
                <w:color w:val="auto"/>
              </w:rPr>
            </w:pPr>
          </w:p>
        </w:tc>
      </w:tr>
      <w:tr>
        <w:trPr>
          <w:trHeight w:val="245"/>
        </w:trPr>
        <w:tc>
          <w:tcPr>
            <w:tcW w:w="60" w:type="dxa"/>
            <w:vAlign w:val="bottom"/>
            <w:shd w:val="clear" w:color="auto" w:fill="E6E6E6"/>
          </w:tcPr>
          <w:p>
            <w:pPr>
              <w:spacing w:after="0"/>
              <w:rPr>
                <w:sz w:val="21"/>
                <w:szCs w:val="21"/>
                <w:color w:val="auto"/>
              </w:rPr>
            </w:pPr>
          </w:p>
        </w:tc>
        <w:tc>
          <w:tcPr>
            <w:tcW w:w="5320" w:type="dxa"/>
            <w:vAlign w:val="bottom"/>
            <w:gridSpan w:val="2"/>
            <w:shd w:val="clear" w:color="auto" w:fill="E6E6E6"/>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00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9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5320" w:type="dxa"/>
            <w:vAlign w:val="bottom"/>
            <w:gridSpan w:val="2"/>
          </w:tcPr>
          <w:p>
            <w:pPr>
              <w:ind w:left="120"/>
              <w:spacing w:after="0"/>
              <w:rPr>
                <w:sz w:val="20"/>
                <w:szCs w:val="20"/>
                <w:color w:val="auto"/>
              </w:rPr>
            </w:pPr>
            <w:r>
              <w:rPr>
                <w:rFonts w:ascii="Arial" w:cs="Arial" w:eastAsia="Arial" w:hAnsi="Arial"/>
                <w:sz w:val="18"/>
                <w:szCs w:val="18"/>
                <w:color w:val="auto"/>
              </w:rPr>
              <w:t>Property, plant, and equipment additions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64"/>
        </w:trPr>
        <w:tc>
          <w:tcPr>
            <w:tcW w:w="60" w:type="dxa"/>
            <w:vAlign w:val="bottom"/>
            <w:shd w:val="clear" w:color="auto" w:fill="E6E6E6"/>
          </w:tcPr>
          <w:p>
            <w:pPr>
              <w:spacing w:after="0"/>
              <w:rPr>
                <w:sz w:val="22"/>
                <w:szCs w:val="22"/>
                <w:color w:val="auto"/>
              </w:rPr>
            </w:pPr>
          </w:p>
        </w:tc>
        <w:tc>
          <w:tcPr>
            <w:tcW w:w="5320" w:type="dxa"/>
            <w:vAlign w:val="bottom"/>
            <w:gridSpan w:val="2"/>
            <w:shd w:val="clear" w:color="auto" w:fill="E6E6E6"/>
          </w:tcPr>
          <w:p>
            <w:pPr>
              <w:ind w:left="120"/>
              <w:spacing w:after="0"/>
              <w:rPr>
                <w:sz w:val="20"/>
                <w:szCs w:val="20"/>
                <w:color w:val="auto"/>
              </w:rPr>
            </w:pPr>
            <w:r>
              <w:rPr>
                <w:rFonts w:ascii="Arial" w:cs="Arial" w:eastAsia="Arial" w:hAnsi="Arial"/>
                <w:sz w:val="18"/>
                <w:szCs w:val="18"/>
                <w:color w:val="auto"/>
              </w:rPr>
              <w:t>Acquisition of facility assets</w:t>
            </w:r>
          </w:p>
        </w:tc>
        <w:tc>
          <w:tcPr>
            <w:tcW w:w="300" w:type="dxa"/>
            <w:vAlign w:val="bottom"/>
            <w:shd w:val="clear" w:color="auto" w:fill="E6E6E6"/>
          </w:tcPr>
          <w:p>
            <w:pPr>
              <w:spacing w:after="0"/>
              <w:rPr>
                <w:sz w:val="22"/>
                <w:szCs w:val="22"/>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5320" w:type="dxa"/>
            <w:vAlign w:val="bottom"/>
            <w:gridSpan w:val="2"/>
          </w:tcPr>
          <w:p>
            <w:pPr>
              <w:ind w:left="120"/>
              <w:spacing w:after="0"/>
              <w:rPr>
                <w:sz w:val="20"/>
                <w:szCs w:val="20"/>
                <w:color w:val="auto"/>
              </w:rPr>
            </w:pPr>
            <w:r>
              <w:rPr>
                <w:rFonts w:ascii="Arial" w:cs="Arial" w:eastAsia="Arial" w:hAnsi="Arial"/>
                <w:sz w:val="18"/>
                <w:szCs w:val="18"/>
                <w:color w:val="auto"/>
              </w:rPr>
              <w:t>Proceeds from sale of assets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4"/>
        </w:trPr>
        <w:tc>
          <w:tcPr>
            <w:tcW w:w="60" w:type="dxa"/>
            <w:vAlign w:val="bottom"/>
            <w:shd w:val="clear" w:color="auto" w:fill="E6E6E6"/>
          </w:tcPr>
          <w:p>
            <w:pPr>
              <w:spacing w:after="0"/>
              <w:rPr>
                <w:sz w:val="22"/>
                <w:szCs w:val="22"/>
                <w:color w:val="auto"/>
              </w:rPr>
            </w:pPr>
          </w:p>
        </w:tc>
        <w:tc>
          <w:tcPr>
            <w:tcW w:w="5320" w:type="dxa"/>
            <w:vAlign w:val="bottom"/>
            <w:gridSpan w:val="2"/>
            <w:shd w:val="clear" w:color="auto" w:fill="E6E6E6"/>
          </w:tcPr>
          <w:p>
            <w:pPr>
              <w:ind w:left="120"/>
              <w:spacing w:after="0"/>
              <w:rPr>
                <w:sz w:val="20"/>
                <w:szCs w:val="20"/>
                <w:color w:val="auto"/>
              </w:rPr>
            </w:pPr>
            <w:r>
              <w:rPr>
                <w:rFonts w:ascii="Arial" w:cs="Arial" w:eastAsia="Arial" w:hAnsi="Arial"/>
                <w:sz w:val="18"/>
                <w:szCs w:val="18"/>
                <w:color w:val="auto"/>
              </w:rPr>
              <w:t>Investment in affiliates</w:t>
            </w:r>
          </w:p>
        </w:tc>
        <w:tc>
          <w:tcPr>
            <w:tcW w:w="300" w:type="dxa"/>
            <w:vAlign w:val="bottom"/>
            <w:shd w:val="clear" w:color="auto" w:fill="E6E6E6"/>
          </w:tcPr>
          <w:p>
            <w:pPr>
              <w:spacing w:after="0"/>
              <w:rPr>
                <w:sz w:val="22"/>
                <w:szCs w:val="22"/>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60" w:type="dxa"/>
            <w:vAlign w:val="bottom"/>
            <w:tcBorders>
              <w:bottom w:val="single" w:sz="8" w:color="E6E6E6"/>
            </w:tcBorders>
          </w:tcPr>
          <w:p>
            <w:pPr>
              <w:spacing w:after="0"/>
              <w:rPr>
                <w:sz w:val="21"/>
                <w:szCs w:val="21"/>
                <w:color w:val="auto"/>
              </w:rPr>
            </w:pPr>
          </w:p>
        </w:tc>
        <w:tc>
          <w:tcPr>
            <w:tcW w:w="5320" w:type="dxa"/>
            <w:vAlign w:val="bottom"/>
            <w:tcBorders>
              <w:bottom w:val="single" w:sz="8" w:color="E6E6E6"/>
            </w:tcBorders>
            <w:gridSpan w:val="2"/>
          </w:tcPr>
          <w:p>
            <w:pPr>
              <w:ind w:left="120"/>
              <w:spacing w:after="0"/>
              <w:rPr>
                <w:sz w:val="20"/>
                <w:szCs w:val="20"/>
                <w:color w:val="auto"/>
              </w:rPr>
            </w:pPr>
            <w:r>
              <w:rPr>
                <w:rFonts w:ascii="Arial" w:cs="Arial" w:eastAsia="Arial" w:hAnsi="Arial"/>
                <w:sz w:val="18"/>
                <w:szCs w:val="18"/>
                <w:color w:val="auto"/>
              </w:rPr>
              <w:t>Other investing activities, net</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E6E6E6"/>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5"/>
        </w:trPr>
        <w:tc>
          <w:tcPr>
            <w:tcW w:w="60" w:type="dxa"/>
            <w:vAlign w:val="bottom"/>
            <w:tcBorders>
              <w:bottom w:val="single" w:sz="8" w:color="E6E6E6"/>
            </w:tcBorders>
            <w:shd w:val="clear" w:color="auto" w:fill="E6E6E6"/>
          </w:tcPr>
          <w:p>
            <w:pPr>
              <w:spacing w:after="0"/>
              <w:rPr>
                <w:sz w:val="22"/>
                <w:szCs w:val="22"/>
                <w:color w:val="auto"/>
              </w:rPr>
            </w:pPr>
          </w:p>
        </w:tc>
        <w:tc>
          <w:tcPr>
            <w:tcW w:w="532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300" w:type="dxa"/>
            <w:vAlign w:val="bottom"/>
            <w:tcBorders>
              <w:bottom w:val="single" w:sz="8" w:color="auto"/>
            </w:tcBorders>
            <w:shd w:val="clear" w:color="auto" w:fill="E6E6E6"/>
          </w:tcPr>
          <w:p>
            <w:pPr>
              <w:spacing w:after="0"/>
              <w:rPr>
                <w:sz w:val="22"/>
                <w:szCs w:val="22"/>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(291)</w:t>
            </w:r>
          </w:p>
        </w:tc>
        <w:tc>
          <w:tcPr>
            <w:tcW w:w="6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auto"/>
            </w:tcBorders>
            <w:shd w:val="clear" w:color="auto" w:fill="E6E6E6"/>
          </w:tcPr>
          <w:p>
            <w:pPr>
              <w:spacing w:after="0"/>
              <w:rPr>
                <w:sz w:val="22"/>
                <w:szCs w:val="22"/>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(183)</w:t>
            </w:r>
          </w:p>
        </w:tc>
        <w:tc>
          <w:tcPr>
            <w:tcW w:w="60" w:type="dxa"/>
            <w:vAlign w:val="bottom"/>
            <w:tcBorders>
              <w:bottom w:val="single" w:sz="8" w:color="E6E6E6"/>
            </w:tcBorders>
            <w:shd w:val="clear" w:color="auto" w:fill="E6E6E6"/>
          </w:tcPr>
          <w:p>
            <w:pPr>
              <w:spacing w:after="0"/>
              <w:rPr>
                <w:sz w:val="22"/>
                <w:szCs w:val="22"/>
                <w:color w:val="auto"/>
              </w:rPr>
            </w:pPr>
          </w:p>
        </w:tc>
        <w:tc>
          <w:tcPr>
            <w:tcW w:w="380" w:type="dxa"/>
            <w:vAlign w:val="bottom"/>
            <w:tcBorders>
              <w:bottom w:val="single" w:sz="8" w:color="auto"/>
            </w:tcBorders>
            <w:shd w:val="clear" w:color="auto" w:fill="E6E6E6"/>
          </w:tcPr>
          <w:p>
            <w:pPr>
              <w:spacing w:after="0"/>
              <w:rPr>
                <w:sz w:val="22"/>
                <w:szCs w:val="22"/>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(376)</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 w:type="dxa"/>
            <w:vAlign w:val="bottom"/>
            <w:shd w:val="clear" w:color="auto" w:fill="E6E6E6"/>
          </w:tcPr>
          <w:p>
            <w:pPr>
              <w:spacing w:after="0"/>
              <w:rPr>
                <w:sz w:val="22"/>
                <w:szCs w:val="22"/>
                <w:color w:val="auto"/>
              </w:rPr>
            </w:pPr>
          </w:p>
        </w:tc>
        <w:tc>
          <w:tcPr>
            <w:tcW w:w="5320" w:type="dxa"/>
            <w:vAlign w:val="bottom"/>
            <w:gridSpan w:val="2"/>
            <w:shd w:val="clear" w:color="auto" w:fill="E6E6E6"/>
          </w:tcPr>
          <w:p>
            <w:pPr>
              <w:ind w:left="120"/>
              <w:spacing w:after="0"/>
              <w:rPr>
                <w:sz w:val="20"/>
                <w:szCs w:val="20"/>
                <w:color w:val="auto"/>
              </w:rPr>
            </w:pPr>
            <w:r>
              <w:rPr>
                <w:rFonts w:ascii="Arial" w:cs="Arial" w:eastAsia="Arial" w:hAnsi="Arial"/>
                <w:sz w:val="18"/>
                <w:szCs w:val="18"/>
                <w:color w:val="auto"/>
              </w:rPr>
              <w:t>Repayment of long-term debt</w:t>
            </w:r>
          </w:p>
        </w:tc>
        <w:tc>
          <w:tcPr>
            <w:tcW w:w="300" w:type="dxa"/>
            <w:vAlign w:val="bottom"/>
            <w:shd w:val="clear" w:color="auto" w:fill="E6E6E6"/>
          </w:tcPr>
          <w:p>
            <w:pPr>
              <w:spacing w:after="0"/>
              <w:rPr>
                <w:sz w:val="22"/>
                <w:szCs w:val="22"/>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5320" w:type="dxa"/>
            <w:vAlign w:val="bottom"/>
            <w:gridSpan w:val="2"/>
          </w:tcPr>
          <w:p>
            <w:pPr>
              <w:ind w:left="120"/>
              <w:spacing w:after="0"/>
              <w:rPr>
                <w:sz w:val="20"/>
                <w:szCs w:val="20"/>
                <w:color w:val="auto"/>
              </w:rPr>
            </w:pPr>
            <w:r>
              <w:rPr>
                <w:rFonts w:ascii="Arial" w:cs="Arial" w:eastAsia="Arial" w:hAnsi="Arial"/>
                <w:sz w:val="18"/>
                <w:szCs w:val="18"/>
                <w:color w:val="auto"/>
              </w:rPr>
              <w:t>Borrowing of long-term debt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64"/>
        </w:trPr>
        <w:tc>
          <w:tcPr>
            <w:tcW w:w="60" w:type="dxa"/>
            <w:vAlign w:val="bottom"/>
            <w:shd w:val="clear" w:color="auto" w:fill="E6E6E6"/>
          </w:tcPr>
          <w:p>
            <w:pPr>
              <w:spacing w:after="0"/>
              <w:rPr>
                <w:sz w:val="22"/>
                <w:szCs w:val="22"/>
                <w:color w:val="auto"/>
              </w:rPr>
            </w:pPr>
          </w:p>
        </w:tc>
        <w:tc>
          <w:tcPr>
            <w:tcW w:w="5320" w:type="dxa"/>
            <w:vAlign w:val="bottom"/>
            <w:gridSpan w:val="2"/>
            <w:shd w:val="clear" w:color="auto" w:fill="E6E6E6"/>
          </w:tcPr>
          <w:p>
            <w:pPr>
              <w:ind w:left="120"/>
              <w:spacing w:after="0"/>
              <w:rPr>
                <w:sz w:val="20"/>
                <w:szCs w:val="20"/>
                <w:color w:val="auto"/>
              </w:rPr>
            </w:pPr>
            <w:r>
              <w:rPr>
                <w:rFonts w:ascii="Arial" w:cs="Arial" w:eastAsia="Arial" w:hAnsi="Arial"/>
                <w:sz w:val="18"/>
                <w:szCs w:val="18"/>
                <w:color w:val="auto"/>
              </w:rPr>
              <w:t>Payment of cash dividends</w:t>
            </w:r>
          </w:p>
        </w:tc>
        <w:tc>
          <w:tcPr>
            <w:tcW w:w="300" w:type="dxa"/>
            <w:vAlign w:val="bottom"/>
            <w:shd w:val="clear" w:color="auto" w:fill="E6E6E6"/>
          </w:tcPr>
          <w:p>
            <w:pPr>
              <w:spacing w:after="0"/>
              <w:rPr>
                <w:sz w:val="22"/>
                <w:szCs w:val="22"/>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E6E6E6"/>
          </w:tcPr>
          <w:p>
            <w:pPr>
              <w:spacing w:after="0"/>
              <w:rPr>
                <w:sz w:val="22"/>
                <w:szCs w:val="22"/>
                <w:color w:val="auto"/>
              </w:rPr>
            </w:pPr>
          </w:p>
        </w:tc>
        <w:tc>
          <w:tcPr>
            <w:tcW w:w="380" w:type="dxa"/>
            <w:vAlign w:val="bottom"/>
            <w:shd w:val="clear" w:color="auto" w:fill="E6E6E6"/>
          </w:tcPr>
          <w:p>
            <w:pPr>
              <w:spacing w:after="0"/>
              <w:rPr>
                <w:sz w:val="22"/>
                <w:szCs w:val="22"/>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5320" w:type="dxa"/>
            <w:vAlign w:val="bottom"/>
            <w:gridSpan w:val="2"/>
          </w:tcPr>
          <w:p>
            <w:pPr>
              <w:ind w:left="120"/>
              <w:spacing w:after="0"/>
              <w:rPr>
                <w:sz w:val="20"/>
                <w:szCs w:val="20"/>
                <w:color w:val="auto"/>
              </w:rPr>
            </w:pPr>
            <w:r>
              <w:rPr>
                <w:rFonts w:ascii="Arial" w:cs="Arial" w:eastAsia="Arial" w:hAnsi="Arial"/>
                <w:sz w:val="18"/>
                <w:szCs w:val="18"/>
                <w:color w:val="auto"/>
              </w:rPr>
              <w:t>Purchase of stock</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 w:type="dxa"/>
            <w:vAlign w:val="bottom"/>
            <w:tcBorders>
              <w:bottom w:val="single" w:sz="8" w:color="E6E6E6"/>
            </w:tcBorders>
            <w:shd w:val="clear" w:color="auto" w:fill="E6E6E6"/>
          </w:tcPr>
          <w:p>
            <w:pPr>
              <w:spacing w:after="0"/>
              <w:rPr>
                <w:sz w:val="23"/>
                <w:szCs w:val="23"/>
                <w:color w:val="auto"/>
              </w:rPr>
            </w:pPr>
          </w:p>
        </w:tc>
        <w:tc>
          <w:tcPr>
            <w:tcW w:w="5320" w:type="dxa"/>
            <w:vAlign w:val="bottom"/>
            <w:tcBorders>
              <w:bottom w:val="single" w:sz="8" w:color="E6E6E6"/>
            </w:tcBorders>
            <w:gridSpan w:val="2"/>
            <w:shd w:val="clear" w:color="auto" w:fill="E6E6E6"/>
          </w:tcPr>
          <w:p>
            <w:pPr>
              <w:ind w:left="120"/>
              <w:spacing w:after="0"/>
              <w:rPr>
                <w:sz w:val="20"/>
                <w:szCs w:val="20"/>
                <w:color w:val="auto"/>
              </w:rPr>
            </w:pPr>
            <w:r>
              <w:rPr>
                <w:rFonts w:ascii="Arial" w:cs="Arial" w:eastAsia="Arial" w:hAnsi="Arial"/>
                <w:sz w:val="18"/>
                <w:szCs w:val="18"/>
                <w:color w:val="auto"/>
              </w:rPr>
              <w:t>Other financing activities</w:t>
            </w:r>
          </w:p>
        </w:tc>
        <w:tc>
          <w:tcPr>
            <w:tcW w:w="300" w:type="dxa"/>
            <w:vAlign w:val="bottom"/>
            <w:tcBorders>
              <w:bottom w:val="single" w:sz="8" w:color="auto"/>
            </w:tcBorders>
            <w:shd w:val="clear" w:color="auto" w:fill="E6E6E6"/>
          </w:tcPr>
          <w:p>
            <w:pPr>
              <w:spacing w:after="0"/>
              <w:rPr>
                <w:sz w:val="23"/>
                <w:szCs w:val="23"/>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auto"/>
            </w:tcBorders>
            <w:shd w:val="clear" w:color="auto" w:fill="E6E6E6"/>
          </w:tcPr>
          <w:p>
            <w:pPr>
              <w:spacing w:after="0"/>
              <w:rPr>
                <w:sz w:val="23"/>
                <w:szCs w:val="23"/>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9"/>
        </w:trPr>
        <w:tc>
          <w:tcPr>
            <w:tcW w:w="60" w:type="dxa"/>
            <w:vAlign w:val="bottom"/>
            <w:tcBorders>
              <w:bottom w:val="single" w:sz="8" w:color="E6E6E6"/>
            </w:tcBorders>
          </w:tcPr>
          <w:p>
            <w:pPr>
              <w:spacing w:after="0"/>
              <w:rPr>
                <w:sz w:val="19"/>
                <w:szCs w:val="19"/>
                <w:color w:val="auto"/>
              </w:rPr>
            </w:pPr>
          </w:p>
        </w:tc>
        <w:tc>
          <w:tcPr>
            <w:tcW w:w="5320" w:type="dxa"/>
            <w:vAlign w:val="bottom"/>
            <w:tcBorders>
              <w:bottom w:val="single" w:sz="8" w:color="E6E6E6"/>
            </w:tcBorders>
            <w:gridSpan w:val="2"/>
          </w:tcPr>
          <w:p>
            <w:pPr>
              <w:spacing w:after="0"/>
              <w:rPr>
                <w:sz w:val="20"/>
                <w:szCs w:val="20"/>
                <w:color w:val="auto"/>
              </w:rPr>
            </w:pPr>
            <w:r>
              <w:rPr>
                <w:rFonts w:ascii="Arial" w:cs="Arial" w:eastAsia="Arial" w:hAnsi="Arial"/>
                <w:sz w:val="18"/>
                <w:szCs w:val="18"/>
                <w:b w:val="1"/>
                <w:bCs w:val="1"/>
                <w:i w:val="1"/>
                <w:iCs w:val="1"/>
                <w:color w:val="auto"/>
              </w:rPr>
              <w:t>Net cash used in financing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6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w:t>
            </w:r>
          </w:p>
        </w:tc>
        <w:tc>
          <w:tcPr>
            <w:tcW w:w="60" w:type="dxa"/>
            <w:vAlign w:val="bottom"/>
            <w:tcBorders>
              <w:bottom w:val="single" w:sz="8" w:color="E6E6E6"/>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174"/>
        </w:trPr>
        <w:tc>
          <w:tcPr>
            <w:tcW w:w="60" w:type="dxa"/>
            <w:vAlign w:val="bottom"/>
            <w:shd w:val="clear" w:color="auto" w:fill="E6E6E6"/>
          </w:tcPr>
          <w:p>
            <w:pPr>
              <w:spacing w:after="0"/>
              <w:rPr>
                <w:sz w:val="15"/>
                <w:szCs w:val="15"/>
                <w:color w:val="auto"/>
              </w:rPr>
            </w:pPr>
          </w:p>
        </w:tc>
        <w:tc>
          <w:tcPr>
            <w:tcW w:w="5320" w:type="dxa"/>
            <w:vAlign w:val="bottom"/>
            <w:gridSpan w:val="2"/>
            <w:shd w:val="clear" w:color="auto" w:fill="E6E6E6"/>
          </w:tcPr>
          <w:p>
            <w:pPr>
              <w:spacing w:after="0" w:line="174" w:lineRule="exact"/>
              <w:rPr>
                <w:sz w:val="20"/>
                <w:szCs w:val="20"/>
                <w:color w:val="auto"/>
              </w:rPr>
            </w:pPr>
            <w:r>
              <w:rPr>
                <w:rFonts w:ascii="Arial" w:cs="Arial" w:eastAsia="Arial" w:hAnsi="Arial"/>
                <w:sz w:val="18"/>
                <w:szCs w:val="18"/>
                <w:color w:val="auto"/>
                <w:w w:val="97"/>
              </w:rPr>
              <w:t>EFFECT OF EXCHANGE RATE ON CASH, CASH EQUIVALENTS,</w:t>
            </w:r>
          </w:p>
        </w:tc>
        <w:tc>
          <w:tcPr>
            <w:tcW w:w="300" w:type="dxa"/>
            <w:vAlign w:val="bottom"/>
            <w:shd w:val="clear" w:color="auto" w:fill="E6E6E6"/>
          </w:tcPr>
          <w:p>
            <w:pPr>
              <w:spacing w:after="0"/>
              <w:rPr>
                <w:sz w:val="15"/>
                <w:szCs w:val="15"/>
                <w:color w:val="auto"/>
              </w:rPr>
            </w:pPr>
          </w:p>
        </w:tc>
        <w:tc>
          <w:tcPr>
            <w:tcW w:w="98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E6E6E6"/>
          </w:tcPr>
          <w:p>
            <w:pPr>
              <w:spacing w:after="0"/>
              <w:rPr>
                <w:sz w:val="15"/>
                <w:szCs w:val="15"/>
                <w:color w:val="auto"/>
              </w:rPr>
            </w:pPr>
          </w:p>
        </w:tc>
        <w:tc>
          <w:tcPr>
            <w:tcW w:w="300" w:type="dxa"/>
            <w:vAlign w:val="bottom"/>
            <w:shd w:val="clear" w:color="auto" w:fill="E6E6E6"/>
          </w:tcPr>
          <w:p>
            <w:pPr>
              <w:spacing w:after="0"/>
              <w:rPr>
                <w:sz w:val="15"/>
                <w:szCs w:val="15"/>
                <w:color w:val="auto"/>
              </w:rPr>
            </w:pPr>
          </w:p>
        </w:tc>
        <w:tc>
          <w:tcPr>
            <w:tcW w:w="10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E6E6E6"/>
          </w:tcPr>
          <w:p>
            <w:pPr>
              <w:spacing w:after="0"/>
              <w:rPr>
                <w:sz w:val="15"/>
                <w:szCs w:val="15"/>
                <w:color w:val="auto"/>
              </w:rPr>
            </w:pPr>
          </w:p>
        </w:tc>
        <w:tc>
          <w:tcPr>
            <w:tcW w:w="380" w:type="dxa"/>
            <w:vAlign w:val="bottom"/>
            <w:shd w:val="clear" w:color="auto" w:fill="E6E6E6"/>
          </w:tcPr>
          <w:p>
            <w:pPr>
              <w:spacing w:after="0"/>
              <w:rPr>
                <w:sz w:val="15"/>
                <w:szCs w:val="15"/>
                <w:color w:val="auto"/>
              </w:rPr>
            </w:pP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44"/>
        </w:trPr>
        <w:tc>
          <w:tcPr>
            <w:tcW w:w="60" w:type="dxa"/>
            <w:vAlign w:val="bottom"/>
            <w:shd w:val="clear" w:color="auto" w:fill="E6E6E6"/>
          </w:tcPr>
          <w:p>
            <w:pPr>
              <w:spacing w:after="0"/>
              <w:rPr>
                <w:sz w:val="12"/>
                <w:szCs w:val="12"/>
                <w:color w:val="auto"/>
              </w:rPr>
            </w:pPr>
          </w:p>
        </w:tc>
        <w:tc>
          <w:tcPr>
            <w:tcW w:w="5320" w:type="dxa"/>
            <w:vAlign w:val="bottom"/>
            <w:gridSpan w:val="2"/>
            <w:vMerge w:val="restart"/>
            <w:shd w:val="clear" w:color="auto" w:fill="E6E6E6"/>
          </w:tcPr>
          <w:p>
            <w:pPr>
              <w:spacing w:after="0"/>
              <w:rPr>
                <w:sz w:val="20"/>
                <w:szCs w:val="20"/>
                <w:color w:val="auto"/>
              </w:rPr>
            </w:pPr>
            <w:r>
              <w:rPr>
                <w:rFonts w:ascii="Arial" w:cs="Arial" w:eastAsia="Arial" w:hAnsi="Arial"/>
                <w:sz w:val="18"/>
                <w:szCs w:val="18"/>
                <w:color w:val="auto"/>
              </w:rPr>
              <w:t>AND RESTRICTED CASH</w:t>
            </w:r>
          </w:p>
        </w:tc>
        <w:tc>
          <w:tcPr>
            <w:tcW w:w="300" w:type="dxa"/>
            <w:vAlign w:val="bottom"/>
            <w:shd w:val="clear" w:color="auto" w:fill="E6E6E6"/>
          </w:tcPr>
          <w:p>
            <w:pPr>
              <w:spacing w:after="0"/>
              <w:rPr>
                <w:sz w:val="12"/>
                <w:szCs w:val="12"/>
                <w:color w:val="auto"/>
              </w:rPr>
            </w:pPr>
          </w:p>
        </w:tc>
        <w:tc>
          <w:tcPr>
            <w:tcW w:w="980" w:type="dxa"/>
            <w:vAlign w:val="bottom"/>
            <w:vMerge w:val="continue"/>
            <w:shd w:val="clear" w:color="auto" w:fill="E6E6E6"/>
          </w:tcPr>
          <w:p>
            <w:pPr>
              <w:spacing w:after="0"/>
              <w:rPr>
                <w:sz w:val="12"/>
                <w:szCs w:val="12"/>
                <w:color w:val="auto"/>
              </w:rPr>
            </w:pPr>
          </w:p>
        </w:tc>
        <w:tc>
          <w:tcPr>
            <w:tcW w:w="60" w:type="dxa"/>
            <w:vAlign w:val="bottom"/>
            <w:shd w:val="clear" w:color="auto" w:fill="E6E6E6"/>
          </w:tcPr>
          <w:p>
            <w:pPr>
              <w:spacing w:after="0"/>
              <w:rPr>
                <w:sz w:val="12"/>
                <w:szCs w:val="12"/>
                <w:color w:val="auto"/>
              </w:rPr>
            </w:pPr>
          </w:p>
        </w:tc>
        <w:tc>
          <w:tcPr>
            <w:tcW w:w="300" w:type="dxa"/>
            <w:vAlign w:val="bottom"/>
            <w:shd w:val="clear" w:color="auto" w:fill="E6E6E6"/>
          </w:tcPr>
          <w:p>
            <w:pPr>
              <w:spacing w:after="0"/>
              <w:rPr>
                <w:sz w:val="12"/>
                <w:szCs w:val="12"/>
                <w:color w:val="auto"/>
              </w:rPr>
            </w:pPr>
          </w:p>
        </w:tc>
        <w:tc>
          <w:tcPr>
            <w:tcW w:w="1000" w:type="dxa"/>
            <w:vAlign w:val="bottom"/>
            <w:vMerge w:val="continue"/>
            <w:shd w:val="clear" w:color="auto" w:fill="E6E6E6"/>
          </w:tcPr>
          <w:p>
            <w:pPr>
              <w:spacing w:after="0"/>
              <w:rPr>
                <w:sz w:val="12"/>
                <w:szCs w:val="12"/>
                <w:color w:val="auto"/>
              </w:rPr>
            </w:pPr>
          </w:p>
        </w:tc>
        <w:tc>
          <w:tcPr>
            <w:tcW w:w="60" w:type="dxa"/>
            <w:vAlign w:val="bottom"/>
            <w:shd w:val="clear" w:color="auto" w:fill="E6E6E6"/>
          </w:tcPr>
          <w:p>
            <w:pPr>
              <w:spacing w:after="0"/>
              <w:rPr>
                <w:sz w:val="12"/>
                <w:szCs w:val="12"/>
                <w:color w:val="auto"/>
              </w:rPr>
            </w:pPr>
          </w:p>
        </w:tc>
        <w:tc>
          <w:tcPr>
            <w:tcW w:w="380" w:type="dxa"/>
            <w:vAlign w:val="bottom"/>
            <w:shd w:val="clear" w:color="auto" w:fill="E6E6E6"/>
          </w:tcPr>
          <w:p>
            <w:pPr>
              <w:spacing w:after="0"/>
              <w:rPr>
                <w:sz w:val="12"/>
                <w:szCs w:val="12"/>
                <w:color w:val="auto"/>
              </w:rPr>
            </w:pPr>
          </w:p>
        </w:tc>
        <w:tc>
          <w:tcPr>
            <w:tcW w:w="900" w:type="dxa"/>
            <w:vAlign w:val="bottom"/>
            <w:vMerge w:val="continue"/>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0" w:type="dxa"/>
            <w:vAlign w:val="bottom"/>
            <w:tcBorders>
              <w:bottom w:val="single" w:sz="8" w:color="E6E6E6"/>
            </w:tcBorders>
            <w:shd w:val="clear" w:color="auto" w:fill="E6E6E6"/>
          </w:tcPr>
          <w:p>
            <w:pPr>
              <w:spacing w:after="0"/>
              <w:rPr>
                <w:sz w:val="9"/>
                <w:szCs w:val="9"/>
                <w:color w:val="auto"/>
              </w:rPr>
            </w:pPr>
          </w:p>
        </w:tc>
        <w:tc>
          <w:tcPr>
            <w:tcW w:w="5320" w:type="dxa"/>
            <w:vAlign w:val="bottom"/>
            <w:tcBorders>
              <w:bottom w:val="single" w:sz="8" w:color="E6E6E6"/>
            </w:tcBorders>
            <w:gridSpan w:val="2"/>
            <w:vMerge w:val="continue"/>
            <w:shd w:val="clear" w:color="auto" w:fill="E6E6E6"/>
          </w:tcPr>
          <w:p>
            <w:pPr>
              <w:spacing w:after="0"/>
              <w:rPr>
                <w:sz w:val="9"/>
                <w:szCs w:val="9"/>
                <w:color w:val="auto"/>
              </w:rPr>
            </w:pPr>
          </w:p>
        </w:tc>
        <w:tc>
          <w:tcPr>
            <w:tcW w:w="300" w:type="dxa"/>
            <w:vAlign w:val="bottom"/>
            <w:tcBorders>
              <w:bottom w:val="single" w:sz="8" w:color="auto"/>
            </w:tcBorders>
            <w:shd w:val="clear" w:color="auto" w:fill="E6E6E6"/>
          </w:tcPr>
          <w:p>
            <w:pPr>
              <w:spacing w:after="0"/>
              <w:rPr>
                <w:sz w:val="9"/>
                <w:szCs w:val="9"/>
                <w:color w:val="auto"/>
              </w:rPr>
            </w:pPr>
          </w:p>
        </w:tc>
        <w:tc>
          <w:tcPr>
            <w:tcW w:w="980" w:type="dxa"/>
            <w:vAlign w:val="bottom"/>
            <w:tcBorders>
              <w:bottom w:val="single" w:sz="8" w:color="auto"/>
            </w:tcBorders>
            <w:shd w:val="clear" w:color="auto" w:fill="E6E6E6"/>
          </w:tcPr>
          <w:p>
            <w:pPr>
              <w:spacing w:after="0"/>
              <w:rPr>
                <w:sz w:val="9"/>
                <w:szCs w:val="9"/>
                <w:color w:val="auto"/>
              </w:rPr>
            </w:pPr>
          </w:p>
        </w:tc>
        <w:tc>
          <w:tcPr>
            <w:tcW w:w="60" w:type="dxa"/>
            <w:vAlign w:val="bottom"/>
            <w:tcBorders>
              <w:bottom w:val="single" w:sz="8" w:color="E6E6E6"/>
            </w:tcBorders>
            <w:shd w:val="clear" w:color="auto" w:fill="E6E6E6"/>
          </w:tcPr>
          <w:p>
            <w:pPr>
              <w:spacing w:after="0"/>
              <w:rPr>
                <w:sz w:val="9"/>
                <w:szCs w:val="9"/>
                <w:color w:val="auto"/>
              </w:rPr>
            </w:pPr>
          </w:p>
        </w:tc>
        <w:tc>
          <w:tcPr>
            <w:tcW w:w="300" w:type="dxa"/>
            <w:vAlign w:val="bottom"/>
            <w:tcBorders>
              <w:bottom w:val="single" w:sz="8" w:color="auto"/>
            </w:tcBorders>
            <w:shd w:val="clear" w:color="auto" w:fill="E6E6E6"/>
          </w:tcPr>
          <w:p>
            <w:pPr>
              <w:spacing w:after="0"/>
              <w:rPr>
                <w:sz w:val="9"/>
                <w:szCs w:val="9"/>
                <w:color w:val="auto"/>
              </w:rPr>
            </w:pPr>
          </w:p>
        </w:tc>
        <w:tc>
          <w:tcPr>
            <w:tcW w:w="1000" w:type="dxa"/>
            <w:vAlign w:val="bottom"/>
            <w:tcBorders>
              <w:bottom w:val="single" w:sz="8" w:color="auto"/>
            </w:tcBorders>
            <w:shd w:val="clear" w:color="auto" w:fill="E6E6E6"/>
          </w:tcPr>
          <w:p>
            <w:pPr>
              <w:spacing w:after="0"/>
              <w:rPr>
                <w:sz w:val="9"/>
                <w:szCs w:val="9"/>
                <w:color w:val="auto"/>
              </w:rPr>
            </w:pPr>
          </w:p>
        </w:tc>
        <w:tc>
          <w:tcPr>
            <w:tcW w:w="60" w:type="dxa"/>
            <w:vAlign w:val="bottom"/>
            <w:tcBorders>
              <w:bottom w:val="single" w:sz="8" w:color="E6E6E6"/>
            </w:tcBorders>
            <w:shd w:val="clear" w:color="auto" w:fill="E6E6E6"/>
          </w:tcPr>
          <w:p>
            <w:pPr>
              <w:spacing w:after="0"/>
              <w:rPr>
                <w:sz w:val="9"/>
                <w:szCs w:val="9"/>
                <w:color w:val="auto"/>
              </w:rPr>
            </w:pPr>
          </w:p>
        </w:tc>
        <w:tc>
          <w:tcPr>
            <w:tcW w:w="380" w:type="dxa"/>
            <w:vAlign w:val="bottom"/>
            <w:tcBorders>
              <w:bottom w:val="single" w:sz="8" w:color="auto"/>
            </w:tcBorders>
            <w:shd w:val="clear" w:color="auto" w:fill="E6E6E6"/>
          </w:tcPr>
          <w:p>
            <w:pPr>
              <w:spacing w:after="0"/>
              <w:rPr>
                <w:sz w:val="9"/>
                <w:szCs w:val="9"/>
                <w:color w:val="auto"/>
              </w:rPr>
            </w:pPr>
          </w:p>
        </w:tc>
        <w:tc>
          <w:tcPr>
            <w:tcW w:w="900" w:type="dxa"/>
            <w:vAlign w:val="bottom"/>
            <w:tcBorders>
              <w:bottom w:val="single" w:sz="8" w:color="auto"/>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w w:val="94"/>
              </w:rPr>
              <w:t>Net increase (decrease) in cash, cash equivalents, and restricted cash</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66"/>
        </w:trPr>
        <w:tc>
          <w:tcPr>
            <w:tcW w:w="60" w:type="dxa"/>
            <w:vAlign w:val="bottom"/>
            <w:tcBorders>
              <w:bottom w:val="single" w:sz="8" w:color="E6E6E6"/>
            </w:tcBorders>
            <w:shd w:val="clear" w:color="auto" w:fill="E6E6E6"/>
          </w:tcPr>
          <w:p>
            <w:pPr>
              <w:spacing w:after="0"/>
              <w:rPr>
                <w:sz w:val="23"/>
                <w:szCs w:val="23"/>
                <w:color w:val="auto"/>
              </w:rPr>
            </w:pPr>
          </w:p>
        </w:tc>
        <w:tc>
          <w:tcPr>
            <w:tcW w:w="532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bottom w:val="single" w:sz="8" w:color="auto"/>
            </w:tcBorders>
            <w:shd w:val="clear" w:color="auto" w:fill="E6E6E6"/>
          </w:tcPr>
          <w:p>
            <w:pPr>
              <w:spacing w:after="0"/>
              <w:rPr>
                <w:sz w:val="23"/>
                <w:szCs w:val="23"/>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340</w:t>
            </w:r>
          </w:p>
        </w:tc>
        <w:tc>
          <w:tcPr>
            <w:tcW w:w="6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222</w:t>
            </w:r>
          </w:p>
        </w:tc>
        <w:tc>
          <w:tcPr>
            <w:tcW w:w="6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auto"/>
            </w:tcBorders>
            <w:shd w:val="clear" w:color="auto" w:fill="E6E6E6"/>
          </w:tcPr>
          <w:p>
            <w:pPr>
              <w:spacing w:after="0"/>
              <w:rPr>
                <w:sz w:val="23"/>
                <w:szCs w:val="23"/>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5320" w:type="dxa"/>
            <w:vAlign w:val="bottom"/>
            <w:gridSpan w:val="2"/>
          </w:tcPr>
          <w:p>
            <w:pPr>
              <w:spacing w:after="0" w:line="199" w:lineRule="exact"/>
              <w:rPr>
                <w:sz w:val="20"/>
                <w:szCs w:val="20"/>
                <w:color w:val="auto"/>
              </w:rPr>
            </w:pPr>
            <w:r>
              <w:rPr>
                <w:rFonts w:ascii="Arial" w:cs="Arial" w:eastAsia="Arial" w:hAnsi="Arial"/>
                <w:sz w:val="18"/>
                <w:szCs w:val="18"/>
                <w:b w:val="1"/>
                <w:bCs w:val="1"/>
                <w:color w:val="auto"/>
              </w:rPr>
              <w:t>Cash, cash equivalents, and restricted cash at end of period</w:t>
            </w:r>
          </w:p>
        </w:tc>
        <w:tc>
          <w:tcPr>
            <w:tcW w:w="300" w:type="dxa"/>
            <w:vAlign w:val="bottom"/>
            <w:tcBorders>
              <w:bottom w:val="single" w:sz="8" w:color="auto"/>
            </w:tcBorders>
          </w:tcPr>
          <w:p>
            <w:pPr>
              <w:jc w:val="right"/>
              <w:ind w:right="70"/>
              <w:spacing w:after="0" w:line="199"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292</w:t>
            </w:r>
          </w:p>
        </w:tc>
        <w:tc>
          <w:tcPr>
            <w:tcW w:w="60" w:type="dxa"/>
            <w:vAlign w:val="bottom"/>
          </w:tcPr>
          <w:p>
            <w:pPr>
              <w:spacing w:after="0"/>
              <w:rPr>
                <w:sz w:val="17"/>
                <w:szCs w:val="17"/>
                <w:color w:val="auto"/>
              </w:rPr>
            </w:pPr>
          </w:p>
        </w:tc>
        <w:tc>
          <w:tcPr>
            <w:tcW w:w="300" w:type="dxa"/>
            <w:vAlign w:val="bottom"/>
            <w:tcBorders>
              <w:bottom w:val="single" w:sz="8" w:color="auto"/>
            </w:tcBorders>
          </w:tcPr>
          <w:p>
            <w:pPr>
              <w:jc w:val="right"/>
              <w:ind w:right="70"/>
              <w:spacing w:after="0" w:line="199"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340</w:t>
            </w:r>
          </w:p>
        </w:tc>
        <w:tc>
          <w:tcPr>
            <w:tcW w:w="60" w:type="dxa"/>
            <w:vAlign w:val="bottom"/>
          </w:tcPr>
          <w:p>
            <w:pPr>
              <w:spacing w:after="0"/>
              <w:rPr>
                <w:sz w:val="17"/>
                <w:szCs w:val="17"/>
                <w:color w:val="auto"/>
              </w:rPr>
            </w:pPr>
          </w:p>
        </w:tc>
        <w:tc>
          <w:tcPr>
            <w:tcW w:w="380" w:type="dxa"/>
            <w:vAlign w:val="bottom"/>
            <w:tcBorders>
              <w:bottom w:val="single" w:sz="8" w:color="auto"/>
            </w:tcBorders>
          </w:tcPr>
          <w:p>
            <w:pPr>
              <w:jc w:val="right"/>
              <w:ind w:right="150"/>
              <w:spacing w:after="0" w:line="199"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222</w:t>
            </w:r>
          </w:p>
        </w:tc>
        <w:tc>
          <w:tcPr>
            <w:tcW w:w="0" w:type="dxa"/>
            <w:vAlign w:val="bottom"/>
          </w:tcPr>
          <w:p>
            <w:pPr>
              <w:spacing w:after="0"/>
              <w:rPr>
                <w:sz w:val="1"/>
                <w:szCs w:val="1"/>
                <w:color w:val="auto"/>
              </w:rPr>
            </w:pPr>
          </w:p>
        </w:tc>
      </w:tr>
      <w:tr>
        <w:trPr>
          <w:trHeight w:val="20"/>
        </w:trPr>
        <w:tc>
          <w:tcPr>
            <w:tcW w:w="60" w:type="dxa"/>
            <w:vAlign w:val="bottom"/>
            <w:tcBorders>
              <w:bottom w:val="single" w:sz="8" w:color="E6E6E6"/>
            </w:tcBorders>
          </w:tcPr>
          <w:p>
            <w:pPr>
              <w:spacing w:after="0" w:line="20" w:lineRule="exact"/>
              <w:rPr>
                <w:sz w:val="1"/>
                <w:szCs w:val="1"/>
                <w:color w:val="auto"/>
              </w:rPr>
            </w:pPr>
          </w:p>
        </w:tc>
        <w:tc>
          <w:tcPr>
            <w:tcW w:w="2840" w:type="dxa"/>
            <w:vAlign w:val="bottom"/>
            <w:tcBorders>
              <w:bottom w:val="single" w:sz="8" w:color="E6E6E6"/>
            </w:tcBorders>
          </w:tcPr>
          <w:p>
            <w:pPr>
              <w:spacing w:after="0" w:line="20" w:lineRule="exact"/>
              <w:rPr>
                <w:sz w:val="1"/>
                <w:szCs w:val="1"/>
                <w:color w:val="auto"/>
              </w:rPr>
            </w:pPr>
          </w:p>
        </w:tc>
        <w:tc>
          <w:tcPr>
            <w:tcW w:w="2480" w:type="dxa"/>
            <w:vAlign w:val="bottom"/>
            <w:tcBorders>
              <w:bottom w:val="single" w:sz="8" w:color="E6E6E6"/>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shd w:val="clear" w:color="auto" w:fill="E6E6E6"/>
          </w:tcPr>
          <w:p>
            <w:pPr>
              <w:spacing w:after="0"/>
              <w:rPr>
                <w:sz w:val="19"/>
                <w:szCs w:val="19"/>
                <w:color w:val="auto"/>
              </w:rPr>
            </w:pPr>
          </w:p>
        </w:tc>
        <w:tc>
          <w:tcPr>
            <w:tcW w:w="2840" w:type="dxa"/>
            <w:vAlign w:val="bottom"/>
            <w:shd w:val="clear" w:color="auto" w:fill="E6E6E6"/>
          </w:tcPr>
          <w:p>
            <w:pPr>
              <w:spacing w:after="0"/>
              <w:rPr>
                <w:sz w:val="19"/>
                <w:szCs w:val="19"/>
                <w:color w:val="auto"/>
              </w:rPr>
            </w:pPr>
          </w:p>
        </w:tc>
        <w:tc>
          <w:tcPr>
            <w:tcW w:w="248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98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0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9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3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Supplemental cash flow information:</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2840" w:type="dxa"/>
            <w:vAlign w:val="bottom"/>
            <w:tcBorders>
              <w:top w:val="single" w:sz="8" w:color="auto"/>
            </w:tcBorders>
          </w:tcPr>
          <w:p>
            <w:pPr>
              <w:spacing w:after="0"/>
              <w:rPr>
                <w:sz w:val="3"/>
                <w:szCs w:val="3"/>
                <w:color w:val="auto"/>
              </w:rPr>
            </w:pPr>
          </w:p>
        </w:tc>
        <w:tc>
          <w:tcPr>
            <w:tcW w:w="2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60" w:type="dxa"/>
            <w:vAlign w:val="bottom"/>
            <w:shd w:val="clear" w:color="auto" w:fill="E6E6E6"/>
          </w:tcPr>
          <w:p>
            <w:pPr>
              <w:spacing w:after="0"/>
              <w:rPr>
                <w:sz w:val="22"/>
                <w:szCs w:val="22"/>
                <w:color w:val="auto"/>
              </w:rPr>
            </w:pPr>
          </w:p>
        </w:tc>
        <w:tc>
          <w:tcPr>
            <w:tcW w:w="532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Cash paid for income taxes, net</w:t>
            </w:r>
          </w:p>
        </w:tc>
        <w:tc>
          <w:tcPr>
            <w:tcW w:w="300" w:type="dxa"/>
            <w:vAlign w:val="bottom"/>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(42)</w:t>
            </w:r>
          </w:p>
        </w:tc>
        <w:tc>
          <w:tcPr>
            <w:tcW w:w="360" w:type="dxa"/>
            <w:vAlign w:val="bottom"/>
            <w:gridSpan w:val="2"/>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(124)</w:t>
            </w:r>
          </w:p>
        </w:tc>
        <w:tc>
          <w:tcPr>
            <w:tcW w:w="440" w:type="dxa"/>
            <w:vAlign w:val="bottom"/>
            <w:gridSpan w:val="2"/>
            <w:shd w:val="clear" w:color="auto" w:fill="E6E6E6"/>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Cash paid for interest, net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5"/>
        </w:trPr>
        <w:tc>
          <w:tcPr>
            <w:tcW w:w="60" w:type="dxa"/>
            <w:vAlign w:val="bottom"/>
            <w:shd w:val="clear" w:color="auto" w:fill="E6E6E6"/>
          </w:tcPr>
          <w:p>
            <w:pPr>
              <w:spacing w:after="0"/>
              <w:rPr>
                <w:sz w:val="23"/>
                <w:szCs w:val="23"/>
                <w:color w:val="auto"/>
              </w:rPr>
            </w:pPr>
          </w:p>
        </w:tc>
        <w:tc>
          <w:tcPr>
            <w:tcW w:w="532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Unpaid capital expenditures</w:t>
            </w:r>
          </w:p>
        </w:tc>
        <w:tc>
          <w:tcPr>
            <w:tcW w:w="300" w:type="dxa"/>
            <w:vAlign w:val="bottom"/>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33</w:t>
            </w:r>
          </w:p>
        </w:tc>
        <w:tc>
          <w:tcPr>
            <w:tcW w:w="360" w:type="dxa"/>
            <w:vAlign w:val="bottom"/>
            <w:gridSpan w:val="2"/>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w:t>
            </w:r>
          </w:p>
        </w:tc>
        <w:tc>
          <w:tcPr>
            <w:tcW w:w="440" w:type="dxa"/>
            <w:vAlign w:val="bottom"/>
            <w:gridSpan w:val="2"/>
            <w:shd w:val="clear" w:color="auto" w:fill="E6E6E6"/>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-4012565</wp:posOffset>
            </wp:positionV>
            <wp:extent cx="25590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08">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-3850640</wp:posOffset>
            </wp:positionV>
            <wp:extent cx="25590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09">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-2879090</wp:posOffset>
            </wp:positionV>
            <wp:extent cx="25590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0">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-2717165</wp:posOffset>
            </wp:positionV>
            <wp:extent cx="25590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1">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-1745615</wp:posOffset>
            </wp:positionV>
            <wp:extent cx="25590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2">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-1583690</wp:posOffset>
            </wp:positionV>
            <wp:extent cx="25590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13">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-1307465</wp:posOffset>
            </wp:positionV>
            <wp:extent cx="25590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14">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-983615</wp:posOffset>
            </wp:positionV>
            <wp:extent cx="25590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15">
                      <a:extLst>
                        <a:ext uri="{28A0092B-C50C-407E-A947-70E740481C1C}"/>
                      </a:extLst>
                    </a:blip>
                    <a:srcRect/>
                    <a:stretch>
                      <a:fillRect/>
                    </a:stretch>
                  </pic:blipFill>
                  <pic:spPr bwMode="auto">
                    <a:xfrm>
                      <a:off x="0" y="0"/>
                      <a:ext cx="2559050" cy="2540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-834390</wp:posOffset>
            </wp:positionV>
            <wp:extent cx="2559050" cy="50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16">
                      <a:extLst>
                        <a:ext uri="{28A0092B-C50C-407E-A947-70E740481C1C}"/>
                      </a:extLst>
                    </a:blip>
                    <a:srcRect/>
                    <a:stretch>
                      <a:fillRect/>
                    </a:stretch>
                  </pic:blipFill>
                  <pic:spPr bwMode="auto">
                    <a:xfrm>
                      <a:off x="0" y="0"/>
                      <a:ext cx="2559050" cy="5080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Notes to the Consolidated Financial Statements.</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9360"/>
          </w:cols>
          <w:pgMar w:left="1260" w:top="1190" w:right="1260" w:bottom="225" w:gutter="0" w:footer="0" w:header="0"/>
          <w:type w:val="continuous"/>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337" w:lineRule="auto"/>
        <w:rPr>
          <w:sz w:val="20"/>
          <w:szCs w:val="20"/>
          <w:color w:val="auto"/>
        </w:rPr>
      </w:pPr>
      <w:r>
        <w:rPr>
          <w:rFonts w:ascii="Arial" w:cs="Arial" w:eastAsia="Arial" w:hAnsi="Arial"/>
          <w:sz w:val="18"/>
          <w:szCs w:val="18"/>
          <w:b w:val="1"/>
          <w:bCs w:val="1"/>
          <w:color w:val="auto"/>
        </w:rPr>
        <w:t xml:space="preserve">Balance as of December 31, 2022 </w:t>
      </w:r>
      <w:r>
        <w:rPr>
          <w:rFonts w:ascii="Arial" w:cs="Arial" w:eastAsia="Arial" w:hAnsi="Arial"/>
          <w:sz w:val="18"/>
          <w:szCs w:val="18"/>
          <w:color w:val="auto"/>
        </w:rPr>
        <w:t>Net income</w:t>
      </w:r>
    </w:p>
    <w:p>
      <w:pPr>
        <w:spacing w:after="0" w:line="1"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Cash dividends on common stock paid ($0.24 per share quarterly)</w:t>
      </w:r>
    </w:p>
    <w:p>
      <w:pPr>
        <w:spacing w:after="0" w:line="1" w:lineRule="exact"/>
        <w:rPr>
          <w:sz w:val="20"/>
          <w:szCs w:val="20"/>
          <w:color w:val="auto"/>
        </w:rPr>
      </w:pPr>
    </w:p>
    <w:p>
      <w:pPr>
        <w:ind w:right="320"/>
        <w:spacing w:after="0" w:line="241" w:lineRule="auto"/>
        <w:rPr>
          <w:sz w:val="20"/>
          <w:szCs w:val="20"/>
          <w:color w:val="auto"/>
        </w:rPr>
      </w:pPr>
      <w:r>
        <w:rPr>
          <w:rFonts w:ascii="Arial" w:cs="Arial" w:eastAsia="Arial" w:hAnsi="Arial"/>
          <w:sz w:val="18"/>
          <w:szCs w:val="18"/>
          <w:color w:val="auto"/>
        </w:rPr>
        <w:t>Issuance of shares under stock plans</w:t>
      </w:r>
    </w:p>
    <w:p>
      <w:pPr>
        <w:spacing w:after="0" w:line="42" w:lineRule="exact"/>
        <w:rPr>
          <w:sz w:val="20"/>
          <w:szCs w:val="20"/>
          <w:color w:val="auto"/>
        </w:rPr>
      </w:pPr>
    </w:p>
    <w:p>
      <w:pPr>
        <w:ind w:right="440"/>
        <w:spacing w:after="0" w:line="376" w:lineRule="auto"/>
        <w:rPr>
          <w:sz w:val="20"/>
          <w:szCs w:val="20"/>
          <w:color w:val="auto"/>
        </w:rPr>
      </w:pPr>
      <w:r>
        <w:rPr>
          <w:rFonts w:ascii="Arial" w:cs="Arial" w:eastAsia="Arial" w:hAnsi="Arial"/>
          <w:sz w:val="16"/>
          <w:szCs w:val="16"/>
          <w:color w:val="auto"/>
        </w:rPr>
        <w:t>Taxes paid on net settlement Purchase of stock</w:t>
      </w:r>
    </w:p>
    <w:p>
      <w:pPr>
        <w:spacing w:after="0" w:line="1"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Compensation expense associated with stock-based compensation</w:t>
      </w:r>
    </w:p>
    <w:p>
      <w:pPr>
        <w:spacing w:after="0" w:line="339" w:lineRule="auto"/>
        <w:rPr>
          <w:sz w:val="20"/>
          <w:szCs w:val="20"/>
          <w:color w:val="auto"/>
        </w:rPr>
      </w:pPr>
      <w:r>
        <w:rPr>
          <w:rFonts w:ascii="Arial" w:cs="Arial" w:eastAsia="Arial" w:hAnsi="Arial"/>
          <w:sz w:val="18"/>
          <w:szCs w:val="18"/>
          <w:color w:val="auto"/>
        </w:rPr>
        <w:t xml:space="preserve">Other comprehensive income </w:t>
      </w:r>
      <w:r>
        <w:rPr>
          <w:rFonts w:ascii="Arial" w:cs="Arial" w:eastAsia="Arial" w:hAnsi="Arial"/>
          <w:sz w:val="18"/>
          <w:szCs w:val="18"/>
          <w:b w:val="1"/>
          <w:bCs w:val="1"/>
          <w:color w:val="auto"/>
        </w:rPr>
        <w:t xml:space="preserve">Balance as of December 31, 2023 </w:t>
      </w:r>
      <w:r>
        <w:rPr>
          <w:rFonts w:ascii="Arial" w:cs="Arial" w:eastAsia="Arial" w:hAnsi="Arial"/>
          <w:sz w:val="18"/>
          <w:szCs w:val="18"/>
          <w:color w:val="auto"/>
        </w:rPr>
        <w:t>Net income</w:t>
      </w:r>
    </w:p>
    <w:p>
      <w:pPr>
        <w:ind w:right="80"/>
        <w:spacing w:after="0" w:line="283" w:lineRule="auto"/>
        <w:rPr>
          <w:sz w:val="20"/>
          <w:szCs w:val="20"/>
          <w:color w:val="auto"/>
        </w:rPr>
      </w:pPr>
      <w:r>
        <w:rPr>
          <w:rFonts w:ascii="Arial" w:cs="Arial" w:eastAsia="Arial" w:hAnsi="Arial"/>
          <w:sz w:val="16"/>
          <w:szCs w:val="16"/>
          <w:color w:val="auto"/>
        </w:rPr>
        <w:t>Cash dividends on common stock paid ($0.26 per share quarterly)</w:t>
      </w:r>
    </w:p>
    <w:p>
      <w:pPr>
        <w:spacing w:after="0" w:line="1" w:lineRule="exact"/>
        <w:rPr>
          <w:sz w:val="20"/>
          <w:szCs w:val="20"/>
          <w:color w:val="auto"/>
        </w:rPr>
      </w:pPr>
    </w:p>
    <w:p>
      <w:pPr>
        <w:ind w:right="320"/>
        <w:spacing w:after="0" w:line="241" w:lineRule="auto"/>
        <w:rPr>
          <w:sz w:val="20"/>
          <w:szCs w:val="20"/>
          <w:color w:val="auto"/>
        </w:rPr>
      </w:pPr>
      <w:r>
        <w:rPr>
          <w:rFonts w:ascii="Arial" w:cs="Arial" w:eastAsia="Arial" w:hAnsi="Arial"/>
          <w:sz w:val="18"/>
          <w:szCs w:val="18"/>
          <w:color w:val="auto"/>
        </w:rPr>
        <w:t>Issuance of shares under stock plans</w:t>
      </w:r>
    </w:p>
    <w:p>
      <w:pPr>
        <w:spacing w:after="0" w:line="42" w:lineRule="exact"/>
        <w:rPr>
          <w:sz w:val="20"/>
          <w:szCs w:val="20"/>
          <w:color w:val="auto"/>
        </w:rPr>
      </w:pPr>
    </w:p>
    <w:p>
      <w:pPr>
        <w:ind w:right="440"/>
        <w:spacing w:after="0" w:line="376" w:lineRule="auto"/>
        <w:rPr>
          <w:sz w:val="20"/>
          <w:szCs w:val="20"/>
          <w:color w:val="auto"/>
        </w:rPr>
      </w:pPr>
      <w:r>
        <w:rPr>
          <w:rFonts w:ascii="Arial" w:cs="Arial" w:eastAsia="Arial" w:hAnsi="Arial"/>
          <w:sz w:val="16"/>
          <w:szCs w:val="16"/>
          <w:color w:val="auto"/>
        </w:rPr>
        <w:t>Taxes paid on net settlement Purchase of stock</w:t>
      </w:r>
    </w:p>
    <w:p>
      <w:pPr>
        <w:spacing w:after="0" w:line="1"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Compensation expense associated with stock-based compensation</w:t>
      </w:r>
    </w:p>
    <w:p>
      <w:pPr>
        <w:spacing w:after="0" w:line="339" w:lineRule="auto"/>
        <w:rPr>
          <w:sz w:val="20"/>
          <w:szCs w:val="20"/>
          <w:color w:val="auto"/>
        </w:rPr>
      </w:pPr>
      <w:r>
        <w:rPr>
          <w:rFonts w:ascii="Arial" w:cs="Arial" w:eastAsia="Arial" w:hAnsi="Arial"/>
          <w:sz w:val="18"/>
          <w:szCs w:val="18"/>
          <w:color w:val="auto"/>
        </w:rPr>
        <w:t xml:space="preserve">Other comprehensive loss </w:t>
      </w:r>
      <w:r>
        <w:rPr>
          <w:rFonts w:ascii="Arial" w:cs="Arial" w:eastAsia="Arial" w:hAnsi="Arial"/>
          <w:sz w:val="18"/>
          <w:szCs w:val="18"/>
          <w:b w:val="1"/>
          <w:bCs w:val="1"/>
          <w:color w:val="auto"/>
        </w:rPr>
        <w:t xml:space="preserve">Balance as of December 31, 2024 </w:t>
      </w:r>
      <w:r>
        <w:rPr>
          <w:rFonts w:ascii="Arial" w:cs="Arial" w:eastAsia="Arial" w:hAnsi="Arial"/>
          <w:sz w:val="18"/>
          <w:szCs w:val="18"/>
          <w:color w:val="auto"/>
        </w:rPr>
        <w:t>Net income</w:t>
      </w:r>
    </w:p>
    <w:p>
      <w:pPr>
        <w:ind w:right="80"/>
        <w:spacing w:after="0" w:line="283" w:lineRule="auto"/>
        <w:rPr>
          <w:sz w:val="20"/>
          <w:szCs w:val="20"/>
          <w:color w:val="auto"/>
        </w:rPr>
      </w:pPr>
      <w:r>
        <w:rPr>
          <w:rFonts w:ascii="Arial" w:cs="Arial" w:eastAsia="Arial" w:hAnsi="Arial"/>
          <w:sz w:val="16"/>
          <w:szCs w:val="16"/>
          <w:color w:val="auto"/>
        </w:rPr>
        <w:t>Cash dividends on common stock paid ($0.28 per share quarterly)</w:t>
      </w:r>
    </w:p>
    <w:p>
      <w:pPr>
        <w:spacing w:after="0" w:line="1" w:lineRule="exact"/>
        <w:rPr>
          <w:sz w:val="20"/>
          <w:szCs w:val="20"/>
          <w:color w:val="auto"/>
        </w:rPr>
      </w:pPr>
    </w:p>
    <w:p>
      <w:pPr>
        <w:ind w:right="320"/>
        <w:spacing w:after="0" w:line="241" w:lineRule="auto"/>
        <w:rPr>
          <w:sz w:val="20"/>
          <w:szCs w:val="20"/>
          <w:color w:val="auto"/>
        </w:rPr>
      </w:pPr>
      <w:r>
        <w:rPr>
          <w:rFonts w:ascii="Arial" w:cs="Arial" w:eastAsia="Arial" w:hAnsi="Arial"/>
          <w:sz w:val="18"/>
          <w:szCs w:val="18"/>
          <w:color w:val="auto"/>
        </w:rPr>
        <w:t>Issuance of shares under stock plans</w:t>
      </w:r>
    </w:p>
    <w:p>
      <w:pPr>
        <w:spacing w:after="0" w:line="42" w:lineRule="exact"/>
        <w:rPr>
          <w:sz w:val="20"/>
          <w:szCs w:val="20"/>
          <w:color w:val="auto"/>
        </w:rPr>
      </w:pPr>
    </w:p>
    <w:p>
      <w:pPr>
        <w:ind w:right="440"/>
        <w:spacing w:after="0" w:line="376" w:lineRule="auto"/>
        <w:rPr>
          <w:sz w:val="20"/>
          <w:szCs w:val="20"/>
          <w:color w:val="auto"/>
        </w:rPr>
      </w:pPr>
      <w:r>
        <w:rPr>
          <w:rFonts w:ascii="Arial" w:cs="Arial" w:eastAsia="Arial" w:hAnsi="Arial"/>
          <w:sz w:val="16"/>
          <w:szCs w:val="16"/>
          <w:color w:val="auto"/>
        </w:rPr>
        <w:t>Taxes paid on net settlement Purchase of stock</w:t>
      </w:r>
    </w:p>
    <w:p>
      <w:pPr>
        <w:spacing w:after="0" w:line="1"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Compensation expense associated with stock-based compensation</w:t>
      </w:r>
    </w:p>
    <w:p>
      <w:pPr>
        <w:spacing w:after="0" w:line="502" w:lineRule="auto"/>
        <w:rPr>
          <w:sz w:val="20"/>
          <w:szCs w:val="20"/>
          <w:color w:val="auto"/>
        </w:rPr>
      </w:pPr>
      <w:r>
        <w:rPr>
          <w:rFonts w:ascii="Arial" w:cs="Arial" w:eastAsia="Arial" w:hAnsi="Arial"/>
          <w:sz w:val="15"/>
          <w:szCs w:val="15"/>
          <w:color w:val="auto"/>
        </w:rPr>
        <w:t xml:space="preserve">Other comprehensive income </w:t>
      </w:r>
      <w:r>
        <w:rPr>
          <w:rFonts w:ascii="Arial" w:cs="Arial" w:eastAsia="Arial" w:hAnsi="Arial"/>
          <w:sz w:val="15"/>
          <w:szCs w:val="15"/>
          <w:b w:val="1"/>
          <w:bCs w:val="1"/>
          <w:color w:val="auto"/>
        </w:rPr>
        <w:t>Balance as of December 31, 2025</w:t>
      </w:r>
    </w:p>
    <w:p>
      <w:pPr>
        <w:spacing w:after="0" w:line="20" w:lineRule="exact"/>
        <w:rPr>
          <w:sz w:val="20"/>
          <w:szCs w:val="20"/>
          <w:color w:val="auto"/>
        </w:rPr>
      </w:pPr>
      <w:r>
        <w:rPr>
          <w:sz w:val="20"/>
          <w:szCs w:val="20"/>
          <w:color w:val="auto"/>
        </w:rPr>
        <w:br w:type="column"/>
      </w:r>
    </w:p>
    <w:p>
      <w:pPr>
        <w:jc w:val="center"/>
        <w:ind w:right="2620"/>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17" w:lineRule="exact"/>
        <w:rPr>
          <w:sz w:val="20"/>
          <w:szCs w:val="20"/>
          <w:color w:val="auto"/>
        </w:rPr>
      </w:pPr>
    </w:p>
    <w:p>
      <w:pPr>
        <w:jc w:val="center"/>
        <w:ind w:right="2620"/>
        <w:spacing w:after="0"/>
        <w:rPr>
          <w:sz w:val="20"/>
          <w:szCs w:val="20"/>
          <w:color w:val="auto"/>
        </w:rPr>
      </w:pPr>
      <w:r>
        <w:rPr>
          <w:rFonts w:ascii="Arial" w:cs="Arial" w:eastAsia="Arial" w:hAnsi="Arial"/>
          <w:sz w:val="20"/>
          <w:szCs w:val="20"/>
          <w:color w:val="auto"/>
        </w:rPr>
        <w:t>Amounts 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4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rPr>
              <w:t>Common Stock</w:t>
            </w:r>
          </w:p>
        </w:tc>
        <w:tc>
          <w:tcPr>
            <w:tcW w:w="60" w:type="dxa"/>
            <w:vAlign w:val="bottom"/>
          </w:tcPr>
          <w:p>
            <w:pPr>
              <w:spacing w:after="0"/>
              <w:rPr>
                <w:sz w:val="18"/>
                <w:szCs w:val="18"/>
                <w:color w:val="auto"/>
              </w:rPr>
            </w:pPr>
          </w:p>
        </w:tc>
        <w:tc>
          <w:tcPr>
            <w:tcW w:w="15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Treasury Stock</w:t>
            </w:r>
          </w:p>
        </w:tc>
        <w:tc>
          <w:tcPr>
            <w:tcW w:w="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w w:val="97"/>
              </w:rPr>
              <w:t>Additional</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97"/>
              </w:rPr>
              <w:t>Retained</w:t>
            </w:r>
          </w:p>
        </w:tc>
        <w:tc>
          <w:tcPr>
            <w:tcW w:w="60" w:type="dxa"/>
            <w:vAlign w:val="bottom"/>
          </w:tcPr>
          <w:p>
            <w:pPr>
              <w:spacing w:after="0"/>
              <w:rPr>
                <w:sz w:val="18"/>
                <w:szCs w:val="18"/>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Accumulated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60"/>
        </w:trPr>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6"/>
              </w:rPr>
              <w:t>Paid-In</w:t>
            </w:r>
          </w:p>
        </w:tc>
        <w:tc>
          <w:tcPr>
            <w:tcW w:w="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1"/>
              </w:rPr>
              <w:t>Comprehensive</w:t>
            </w:r>
          </w:p>
        </w:tc>
        <w:tc>
          <w:tcPr>
            <w:tcW w:w="60" w:type="dxa"/>
            <w:vAlign w:val="bottom"/>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2"/>
              </w:rPr>
              <w:t>Stockholders’</w:t>
            </w:r>
          </w:p>
        </w:tc>
        <w:tc>
          <w:tcPr>
            <w:tcW w:w="0" w:type="dxa"/>
            <w:vAlign w:val="bottom"/>
          </w:tcPr>
          <w:p>
            <w:pPr>
              <w:spacing w:after="0"/>
              <w:rPr>
                <w:sz w:val="1"/>
                <w:szCs w:val="1"/>
                <w:color w:val="auto"/>
              </w:rPr>
            </w:pPr>
          </w:p>
        </w:tc>
      </w:tr>
      <w:tr>
        <w:trPr>
          <w:trHeight w:val="27"/>
        </w:trPr>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60" w:type="dxa"/>
            <w:vAlign w:val="bottom"/>
            <w:vMerge w:val="restart"/>
          </w:tcPr>
          <w:p>
            <w:pPr>
              <w:spacing w:after="0"/>
              <w:rPr>
                <w:sz w:val="2"/>
                <w:szCs w:val="2"/>
                <w:color w:val="auto"/>
              </w:rPr>
            </w:pPr>
          </w:p>
        </w:tc>
        <w:tc>
          <w:tcPr>
            <w:tcW w:w="840" w:type="dxa"/>
            <w:vAlign w:val="bottom"/>
            <w:gridSpan w:val="2"/>
            <w:vMerge w:val="restart"/>
          </w:tcPr>
          <w:p>
            <w:pPr>
              <w:ind w:left="80"/>
              <w:spacing w:after="0" w:line="180" w:lineRule="exact"/>
              <w:rPr>
                <w:sz w:val="20"/>
                <w:szCs w:val="20"/>
                <w:color w:val="auto"/>
              </w:rPr>
            </w:pPr>
            <w:r>
              <w:rPr>
                <w:rFonts w:ascii="Arial" w:cs="Arial" w:eastAsia="Arial" w:hAnsi="Arial"/>
                <w:sz w:val="18"/>
                <w:szCs w:val="18"/>
                <w:b w:val="1"/>
                <w:bCs w:val="1"/>
                <w:color w:val="auto"/>
                <w:w w:val="96"/>
              </w:rPr>
              <w:t>Earnings</w:t>
            </w:r>
          </w:p>
        </w:tc>
        <w:tc>
          <w:tcPr>
            <w:tcW w:w="60" w:type="dxa"/>
            <w:vAlign w:val="bottom"/>
            <w:vMerge w:val="restart"/>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60" w:type="dxa"/>
            <w:vAlign w:val="bottom"/>
            <w:vMerge w:val="restart"/>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7"/>
              </w:rPr>
              <w:t>Amount</w:t>
            </w:r>
          </w:p>
        </w:tc>
        <w:tc>
          <w:tcPr>
            <w:tcW w:w="60" w:type="dxa"/>
            <w:vAlign w:val="bottom"/>
          </w:tcPr>
          <w:p>
            <w:pPr>
              <w:spacing w:after="0"/>
              <w:rPr>
                <w:sz w:val="11"/>
                <w:szCs w:val="11"/>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Shares</w:t>
            </w:r>
          </w:p>
        </w:tc>
        <w:tc>
          <w:tcPr>
            <w:tcW w:w="6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7"/>
              </w:rPr>
              <w:t>Amount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7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bottom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90"/>
              <w:spacing w:after="0" w:line="147" w:lineRule="exact"/>
              <w:rPr>
                <w:sz w:val="20"/>
                <w:szCs w:val="20"/>
                <w:color w:val="auto"/>
              </w:rPr>
            </w:pPr>
            <w:r>
              <w:rPr>
                <w:rFonts w:ascii="Arial" w:cs="Arial" w:eastAsia="Arial" w:hAnsi="Arial"/>
                <w:sz w:val="17"/>
                <w:szCs w:val="17"/>
                <w:b w:val="1"/>
                <w:bCs w:val="1"/>
                <w:color w:val="auto"/>
              </w:rPr>
              <w:t>Capital</w:t>
            </w:r>
          </w:p>
        </w:tc>
        <w:tc>
          <w:tcPr>
            <w:tcW w:w="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Borders>
              <w:bottom w:val="single" w:sz="8" w:color="auto"/>
            </w:tcBorders>
            <w:gridSpan w:val="2"/>
          </w:tcPr>
          <w:p>
            <w:pPr>
              <w:jc w:val="right"/>
              <w:ind w:right="30"/>
              <w:spacing w:after="0" w:line="147" w:lineRule="exact"/>
              <w:rPr>
                <w:sz w:val="20"/>
                <w:szCs w:val="20"/>
                <w:color w:val="auto"/>
              </w:rPr>
            </w:pPr>
            <w:r>
              <w:rPr>
                <w:rFonts w:ascii="Arial" w:cs="Arial" w:eastAsia="Arial" w:hAnsi="Arial"/>
                <w:sz w:val="17"/>
                <w:szCs w:val="17"/>
                <w:b w:val="1"/>
                <w:bCs w:val="1"/>
                <w:color w:val="auto"/>
              </w:rPr>
              <w:t>Income (Loss)</w:t>
            </w: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0"/>
              <w:spacing w:after="0" w:line="147" w:lineRule="exact"/>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247"/>
        </w:trPr>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380" w:type="dxa"/>
            <w:vAlign w:val="bottom"/>
            <w:gridSpan w:val="3"/>
          </w:tcPr>
          <w:p>
            <w:pPr>
              <w:ind w:left="1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(388)</w:t>
            </w:r>
          </w:p>
        </w:tc>
        <w:tc>
          <w:tcPr>
            <w:tcW w:w="22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462</w:t>
            </w:r>
          </w:p>
        </w:tc>
        <w:tc>
          <w:tcPr>
            <w:tcW w:w="32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1,371</w:t>
            </w:r>
          </w:p>
        </w:tc>
        <w:tc>
          <w:tcPr>
            <w:tcW w:w="5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3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1,433</w:t>
            </w:r>
          </w:p>
        </w:tc>
        <w:tc>
          <w:tcPr>
            <w:tcW w:w="0" w:type="dxa"/>
            <w:vAlign w:val="bottom"/>
          </w:tcPr>
          <w:p>
            <w:pPr>
              <w:spacing w:after="0"/>
              <w:rPr>
                <w:sz w:val="1"/>
                <w:szCs w:val="1"/>
                <w:color w:val="auto"/>
              </w:rPr>
            </w:pPr>
          </w:p>
        </w:tc>
      </w:tr>
      <w:tr>
        <w:trPr>
          <w:trHeight w:val="301"/>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368"/>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35"/>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67"/>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0"/>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8"/>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67"/>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
        </w:trPr>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(386)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465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1,479</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1,557</w:t>
            </w:r>
          </w:p>
        </w:tc>
        <w:tc>
          <w:tcPr>
            <w:tcW w:w="0" w:type="dxa"/>
            <w:vAlign w:val="bottom"/>
          </w:tcPr>
          <w:p>
            <w:pPr>
              <w:spacing w:after="0"/>
              <w:rPr>
                <w:sz w:val="1"/>
                <w:szCs w:val="1"/>
                <w:color w:val="auto"/>
              </w:rPr>
            </w:pPr>
          </w:p>
        </w:tc>
      </w:tr>
      <w:tr>
        <w:trPr>
          <w:trHeight w:val="301"/>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368"/>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435"/>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67"/>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0"/>
        </w:trPr>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368"/>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67"/>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2"/>
        </w:trPr>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(386)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478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1,615</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1,671</w:t>
            </w:r>
          </w:p>
        </w:tc>
        <w:tc>
          <w:tcPr>
            <w:tcW w:w="0" w:type="dxa"/>
            <w:vAlign w:val="bottom"/>
          </w:tcPr>
          <w:p>
            <w:pPr>
              <w:spacing w:after="0"/>
              <w:rPr>
                <w:sz w:val="1"/>
                <w:szCs w:val="1"/>
                <w:color w:val="auto"/>
              </w:rPr>
            </w:pPr>
          </w:p>
        </w:tc>
      </w:tr>
      <w:tr>
        <w:trPr>
          <w:trHeight w:val="301"/>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368"/>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435"/>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67"/>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0"/>
        </w:trPr>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68"/>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67"/>
        </w:trPr>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
        </w:trPr>
        <w:tc>
          <w:tcPr>
            <w:tcW w:w="740" w:type="dxa"/>
            <w:vAlign w:val="bottom"/>
            <w:tcBorders>
              <w:bottom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380" w:type="dxa"/>
            <w:vAlign w:val="bottom"/>
            <w:gridSpan w:val="3"/>
          </w:tcPr>
          <w:p>
            <w:pPr>
              <w:ind w:left="1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(385)</w:t>
            </w:r>
          </w:p>
        </w:tc>
        <w:tc>
          <w:tcPr>
            <w:tcW w:w="22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508</w:t>
            </w:r>
          </w:p>
        </w:tc>
        <w:tc>
          <w:tcPr>
            <w:tcW w:w="32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1,621</w:t>
            </w:r>
          </w:p>
        </w:tc>
        <w:tc>
          <w:tcPr>
            <w:tcW w:w="5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3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1,731</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-1664970</wp:posOffset>
                </wp:positionH>
                <wp:positionV relativeFrom="paragraph">
                  <wp:posOffset>-5171440</wp:posOffset>
                </wp:positionV>
                <wp:extent cx="6504940" cy="276225"/>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276225"/>
                        </a:xfrm>
                        <a:prstGeom prst="rect">
                          <a:avLst/>
                        </a:prstGeom>
                        <a:solidFill>
                          <a:srgbClr val="E6E6E6"/>
                        </a:solidFill>
                      </wps:spPr>
                      <wps:bodyPr/>
                    </wps:wsp>
                  </a:graphicData>
                </a:graphic>
              </wp:anchor>
            </w:drawing>
          </mc:Choice>
          <mc:Fallback>
            <w:pict>
              <v:rect id="Shape 154" o:spid="_x0000_s1179" style="position:absolute;margin-left:-131.0999pt;margin-top:-407.1999pt;width:512.2pt;height:2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-1664970</wp:posOffset>
                </wp:positionH>
                <wp:positionV relativeFrom="paragraph">
                  <wp:posOffset>-4618990</wp:posOffset>
                </wp:positionV>
                <wp:extent cx="6504940" cy="19050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90500"/>
                        </a:xfrm>
                        <a:prstGeom prst="rect">
                          <a:avLst/>
                        </a:prstGeom>
                        <a:solidFill>
                          <a:srgbClr val="E6E6E6"/>
                        </a:solidFill>
                      </wps:spPr>
                      <wps:bodyPr/>
                    </wps:wsp>
                  </a:graphicData>
                </a:graphic>
              </wp:anchor>
            </w:drawing>
          </mc:Choice>
          <mc:Fallback>
            <w:pict>
              <v:rect id="Shape 155" o:spid="_x0000_s1180" style="position:absolute;margin-left:-131.0999pt;margin-top:-363.6999pt;width:512.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-1664970</wp:posOffset>
                </wp:positionH>
                <wp:positionV relativeFrom="paragraph">
                  <wp:posOffset>-4237990</wp:posOffset>
                </wp:positionV>
                <wp:extent cx="6504940" cy="276225"/>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276225"/>
                        </a:xfrm>
                        <a:prstGeom prst="rect">
                          <a:avLst/>
                        </a:prstGeom>
                        <a:solidFill>
                          <a:srgbClr val="E6E6E6"/>
                        </a:solidFill>
                      </wps:spPr>
                      <wps:bodyPr/>
                    </wps:wsp>
                  </a:graphicData>
                </a:graphic>
              </wp:anchor>
            </w:drawing>
          </mc:Choice>
          <mc:Fallback>
            <w:pict>
              <v:rect id="Shape 156" o:spid="_x0000_s1181" style="position:absolute;margin-left:-131.0999pt;margin-top:-333.6999pt;width:512.2pt;height:2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-1664970</wp:posOffset>
                </wp:positionH>
                <wp:positionV relativeFrom="paragraph">
                  <wp:posOffset>-3390265</wp:posOffset>
                </wp:positionV>
                <wp:extent cx="6504940" cy="276225"/>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276225"/>
                        </a:xfrm>
                        <a:prstGeom prst="rect">
                          <a:avLst/>
                        </a:prstGeom>
                        <a:solidFill>
                          <a:srgbClr val="E6E6E6"/>
                        </a:solidFill>
                      </wps:spPr>
                      <wps:bodyPr/>
                    </wps:wsp>
                  </a:graphicData>
                </a:graphic>
              </wp:anchor>
            </w:drawing>
          </mc:Choice>
          <mc:Fallback>
            <w:pict>
              <v:rect id="Shape 157" o:spid="_x0000_s1182" style="position:absolute;margin-left:-131.0999pt;margin-top:-266.9499pt;width:512.2pt;height:2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-1664970</wp:posOffset>
                </wp:positionH>
                <wp:positionV relativeFrom="paragraph">
                  <wp:posOffset>-2837815</wp:posOffset>
                </wp:positionV>
                <wp:extent cx="6504940" cy="19050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90500"/>
                        </a:xfrm>
                        <a:prstGeom prst="rect">
                          <a:avLst/>
                        </a:prstGeom>
                        <a:solidFill>
                          <a:srgbClr val="E6E6E6"/>
                        </a:solidFill>
                      </wps:spPr>
                      <wps:bodyPr/>
                    </wps:wsp>
                  </a:graphicData>
                </a:graphic>
              </wp:anchor>
            </w:drawing>
          </mc:Choice>
          <mc:Fallback>
            <w:pict>
              <v:rect id="Shape 158" o:spid="_x0000_s1183" style="position:absolute;margin-left:-131.0999pt;margin-top:-223.4499pt;width:512.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-1664970</wp:posOffset>
                </wp:positionH>
                <wp:positionV relativeFrom="paragraph">
                  <wp:posOffset>-2456815</wp:posOffset>
                </wp:positionV>
                <wp:extent cx="6504940" cy="276225"/>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276225"/>
                        </a:xfrm>
                        <a:prstGeom prst="rect">
                          <a:avLst/>
                        </a:prstGeom>
                        <a:solidFill>
                          <a:srgbClr val="E6E6E6"/>
                        </a:solidFill>
                      </wps:spPr>
                      <wps:bodyPr/>
                    </wps:wsp>
                  </a:graphicData>
                </a:graphic>
              </wp:anchor>
            </w:drawing>
          </mc:Choice>
          <mc:Fallback>
            <w:pict>
              <v:rect id="Shape 159" o:spid="_x0000_s1184" style="position:absolute;margin-left:-131.0999pt;margin-top:-193.4499pt;width:512.2pt;height:2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-1664970</wp:posOffset>
                </wp:positionH>
                <wp:positionV relativeFrom="paragraph">
                  <wp:posOffset>-1609090</wp:posOffset>
                </wp:positionV>
                <wp:extent cx="6504940" cy="276225"/>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276225"/>
                        </a:xfrm>
                        <a:prstGeom prst="rect">
                          <a:avLst/>
                        </a:prstGeom>
                        <a:solidFill>
                          <a:srgbClr val="E6E6E6"/>
                        </a:solidFill>
                      </wps:spPr>
                      <wps:bodyPr/>
                    </wps:wsp>
                  </a:graphicData>
                </a:graphic>
              </wp:anchor>
            </w:drawing>
          </mc:Choice>
          <mc:Fallback>
            <w:pict>
              <v:rect id="Shape 160" o:spid="_x0000_s1185" style="position:absolute;margin-left:-131.0999pt;margin-top:-126.6999pt;width:512.2pt;height:2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-1664970</wp:posOffset>
                </wp:positionH>
                <wp:positionV relativeFrom="paragraph">
                  <wp:posOffset>-1056640</wp:posOffset>
                </wp:positionV>
                <wp:extent cx="6504940" cy="19050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90500"/>
                        </a:xfrm>
                        <a:prstGeom prst="rect">
                          <a:avLst/>
                        </a:prstGeom>
                        <a:solidFill>
                          <a:srgbClr val="E6E6E6"/>
                        </a:solidFill>
                      </wps:spPr>
                      <wps:bodyPr/>
                    </wps:wsp>
                  </a:graphicData>
                </a:graphic>
              </wp:anchor>
            </w:drawing>
          </mc:Choice>
          <mc:Fallback>
            <w:pict>
              <v:rect id="Shape 161" o:spid="_x0000_s1186" style="position:absolute;margin-left:-131.0999pt;margin-top:-83.1999pt;width:512.2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-1664970</wp:posOffset>
                </wp:positionH>
                <wp:positionV relativeFrom="paragraph">
                  <wp:posOffset>-675640</wp:posOffset>
                </wp:positionV>
                <wp:extent cx="6504940" cy="276225"/>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276225"/>
                        </a:xfrm>
                        <a:prstGeom prst="rect">
                          <a:avLst/>
                        </a:prstGeom>
                        <a:solidFill>
                          <a:srgbClr val="E6E6E6"/>
                        </a:solidFill>
                      </wps:spPr>
                      <wps:bodyPr/>
                    </wps:wsp>
                  </a:graphicData>
                </a:graphic>
              </wp:anchor>
            </w:drawing>
          </mc:Choice>
          <mc:Fallback>
            <w:pict>
              <v:rect id="Shape 162" o:spid="_x0000_s1187" style="position:absolute;margin-left:-131.0999pt;margin-top:-53.1999pt;width:512.2pt;height:2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drawing>
          <wp:anchor simplePos="0" relativeHeight="251657728" behindDoc="1" locked="0" layoutInCell="0" allowOverlap="1">
            <wp:simplePos x="0" y="0"/>
            <wp:positionH relativeFrom="column">
              <wp:posOffset>-1664970</wp:posOffset>
            </wp:positionH>
            <wp:positionV relativeFrom="paragraph">
              <wp:posOffset>-5565140</wp:posOffset>
            </wp:positionV>
            <wp:extent cx="6518275" cy="2032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17">
                      <a:extLst>
                        <a:ext uri="{28A0092B-C50C-407E-A947-70E740481C1C}"/>
                      </a:extLst>
                    </a:blip>
                    <a:srcRect/>
                    <a:stretch>
                      <a:fillRect/>
                    </a:stretch>
                  </pic:blipFill>
                  <pic:spPr bwMode="auto">
                    <a:xfrm>
                      <a:off x="0" y="0"/>
                      <a:ext cx="6518275" cy="203200"/>
                    </a:xfrm>
                    <a:prstGeom prst="rect">
                      <a:avLst/>
                    </a:prstGeom>
                    <a:noFill/>
                  </pic:spPr>
                </pic:pic>
              </a:graphicData>
            </a:graphic>
          </wp:anchor>
        </w:drawing>
        <w:drawing>
          <wp:anchor simplePos="0" relativeHeight="251657728" behindDoc="1" locked="0" layoutInCell="0" allowOverlap="1">
            <wp:simplePos x="0" y="0"/>
            <wp:positionH relativeFrom="column">
              <wp:posOffset>-1664970</wp:posOffset>
            </wp:positionH>
            <wp:positionV relativeFrom="paragraph">
              <wp:posOffset>-3783965</wp:posOffset>
            </wp:positionV>
            <wp:extent cx="6518275" cy="2032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18">
                      <a:extLst>
                        <a:ext uri="{28A0092B-C50C-407E-A947-70E740481C1C}"/>
                      </a:extLst>
                    </a:blip>
                    <a:srcRect/>
                    <a:stretch>
                      <a:fillRect/>
                    </a:stretch>
                  </pic:blipFill>
                  <pic:spPr bwMode="auto">
                    <a:xfrm>
                      <a:off x="0" y="0"/>
                      <a:ext cx="6518275" cy="203200"/>
                    </a:xfrm>
                    <a:prstGeom prst="rect">
                      <a:avLst/>
                    </a:prstGeom>
                    <a:noFill/>
                  </pic:spPr>
                </pic:pic>
              </a:graphicData>
            </a:graphic>
          </wp:anchor>
        </w:drawing>
        <w:drawing>
          <wp:anchor simplePos="0" relativeHeight="251657728" behindDoc="1" locked="0" layoutInCell="0" allowOverlap="1">
            <wp:simplePos x="0" y="0"/>
            <wp:positionH relativeFrom="column">
              <wp:posOffset>-1664970</wp:posOffset>
            </wp:positionH>
            <wp:positionV relativeFrom="paragraph">
              <wp:posOffset>-2002790</wp:posOffset>
            </wp:positionV>
            <wp:extent cx="6518275" cy="2032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19">
                      <a:extLst>
                        <a:ext uri="{28A0092B-C50C-407E-A947-70E740481C1C}"/>
                      </a:extLst>
                    </a:blip>
                    <a:srcRect/>
                    <a:stretch>
                      <a:fillRect/>
                    </a:stretch>
                  </pic:blipFill>
                  <pic:spPr bwMode="auto">
                    <a:xfrm>
                      <a:off x="0" y="0"/>
                      <a:ext cx="6518275" cy="203200"/>
                    </a:xfrm>
                    <a:prstGeom prst="rect">
                      <a:avLst/>
                    </a:prstGeom>
                    <a:noFill/>
                  </pic:spPr>
                </pic:pic>
              </a:graphicData>
            </a:graphic>
          </wp:anchor>
        </w:drawing>
        <w:drawing>
          <wp:anchor simplePos="0" relativeHeight="251657728" behindDoc="1" locked="0" layoutInCell="0" allowOverlap="1">
            <wp:simplePos x="0" y="0"/>
            <wp:positionH relativeFrom="column">
              <wp:posOffset>-1664970</wp:posOffset>
            </wp:positionH>
            <wp:positionV relativeFrom="paragraph">
              <wp:posOffset>-221615</wp:posOffset>
            </wp:positionV>
            <wp:extent cx="6518275" cy="2286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20">
                      <a:extLst>
                        <a:ext uri="{28A0092B-C50C-407E-A947-70E740481C1C}"/>
                      </a:extLst>
                    </a:blip>
                    <a:srcRect/>
                    <a:stretch>
                      <a:fillRect/>
                    </a:stretch>
                  </pic:blipFill>
                  <pic:spPr bwMode="auto">
                    <a:xfrm>
                      <a:off x="0" y="0"/>
                      <a:ext cx="6518275" cy="228600"/>
                    </a:xfrm>
                    <a:prstGeom prst="rect">
                      <a:avLst/>
                    </a:prstGeom>
                    <a:noFill/>
                  </pic:spPr>
                </pic:pic>
              </a:graphicData>
            </a:graphic>
          </wp:anchor>
        </w:drawing>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20"/>
          <w:szCs w:val="20"/>
          <w:color w:val="auto"/>
        </w:rPr>
        <w:t>See Notes to the Consolidated Financial Statements.</w:t>
      </w:r>
    </w:p>
    <w:p>
      <w:pPr>
        <w:spacing w:after="0" w:line="200" w:lineRule="exact"/>
        <w:rPr>
          <w:sz w:val="20"/>
          <w:szCs w:val="20"/>
          <w:color w:val="auto"/>
        </w:rPr>
      </w:pPr>
    </w:p>
    <w:p>
      <w:pPr>
        <w:sectPr>
          <w:pgSz w:w="11880" w:h="15480" w:orient="portrait"/>
          <w:cols w:equalWidth="0" w:num="2">
            <w:col w:w="2500" w:space="60"/>
            <w:col w:w="7620"/>
          </w:cols>
          <w:pgMar w:left="880" w:top="470" w:right="820" w:bottom="2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180"/>
          </w:cols>
          <w:pgMar w:left="880" w:top="470" w:right="820" w:bottom="227" w:gutter="0" w:footer="0" w:header="0"/>
          <w:type w:val="continuous"/>
        </w:sectPr>
      </w:pPr>
    </w:p>
    <w:bookmarkStart w:id="67" w:name="page68"/>
    <w:bookmarkEnd w:id="67"/>
    <w:p>
      <w:pPr>
        <w:jc w:val="center"/>
        <w:ind w:right="-79"/>
        <w:spacing w:after="0"/>
        <w:rPr>
          <w:sz w:val="20"/>
          <w:szCs w:val="20"/>
          <w:color w:val="auto"/>
        </w:rPr>
      </w:pPr>
      <w:r>
        <w:rPr>
          <w:rFonts w:ascii="Arial" w:cs="Arial" w:eastAsia="Arial" w:hAnsi="Arial"/>
          <w:sz w:val="20"/>
          <w:szCs w:val="20"/>
          <w:b w:val="1"/>
          <w:bCs w:val="1"/>
          <w:u w:val="single" w:color="auto"/>
          <w:color w:val="auto"/>
        </w:rPr>
        <w:t>INDEX TO THE NOTES TO THE CONSOLIDATED FINANCIAL STATEMENTS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9"/>
              </w:rPr>
              <w:t>Note:</w:t>
            </w:r>
          </w:p>
        </w:tc>
        <w:tc>
          <w:tcPr>
            <w:tcW w:w="840" w:type="dxa"/>
            <w:vAlign w:val="bottom"/>
          </w:tcPr>
          <w:p>
            <w:pPr>
              <w:spacing w:after="0"/>
              <w:rPr>
                <w:sz w:val="19"/>
                <w:szCs w:val="19"/>
                <w:color w:val="auto"/>
              </w:rPr>
            </w:pPr>
          </w:p>
        </w:tc>
        <w:tc>
          <w:tcPr>
            <w:tcW w:w="980" w:type="dxa"/>
            <w:vAlign w:val="bottom"/>
            <w:tcBorders>
              <w:bottom w:val="single" w:sz="8" w:color="auto"/>
            </w:tcBorders>
            <w:gridSpan w:val="3"/>
          </w:tcPr>
          <w:p>
            <w:pPr>
              <w:spacing w:after="0"/>
              <w:rPr>
                <w:sz w:val="20"/>
                <w:szCs w:val="20"/>
                <w:color w:val="auto"/>
              </w:rPr>
            </w:pPr>
            <w:r>
              <w:rPr>
                <w:rFonts w:ascii="Arial" w:cs="Arial" w:eastAsia="Arial" w:hAnsi="Arial"/>
                <w:sz w:val="20"/>
                <w:szCs w:val="20"/>
                <w:b w:val="1"/>
                <w:bCs w:val="1"/>
                <w:color w:val="auto"/>
                <w:w w:val="87"/>
              </w:rPr>
              <w:t>Description</w:t>
            </w:r>
          </w:p>
        </w:tc>
        <w:tc>
          <w:tcPr>
            <w:tcW w:w="5880" w:type="dxa"/>
            <w:vAlign w:val="bottom"/>
            <w:gridSpan w:val="12"/>
          </w:tcPr>
          <w:p>
            <w:pPr>
              <w:spacing w:after="0"/>
              <w:rPr>
                <w:sz w:val="19"/>
                <w:szCs w:val="19"/>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88"/>
              </w:rPr>
              <w:t>Page No.</w:t>
            </w:r>
          </w:p>
        </w:tc>
      </w:tr>
      <w:tr>
        <w:trPr>
          <w:trHeight w:val="280"/>
        </w:trPr>
        <w:tc>
          <w:tcPr>
            <w:tcW w:w="1320" w:type="dxa"/>
            <w:vAlign w:val="bottom"/>
            <w:gridSpan w:val="2"/>
          </w:tcPr>
          <w:p>
            <w:pPr>
              <w:spacing w:after="0"/>
              <w:rPr>
                <w:sz w:val="20"/>
                <w:szCs w:val="20"/>
                <w:color w:val="auto"/>
              </w:rPr>
            </w:pPr>
            <w:r>
              <w:rPr>
                <w:rFonts w:ascii="Arial" w:cs="Arial" w:eastAsia="Arial" w:hAnsi="Arial"/>
                <w:sz w:val="20"/>
                <w:szCs w:val="20"/>
                <w:color w:val="auto"/>
              </w:rPr>
              <w:t>Note 1</w:t>
            </w:r>
          </w:p>
        </w:tc>
        <w:tc>
          <w:tcPr>
            <w:tcW w:w="3580" w:type="dxa"/>
            <w:vAlign w:val="bottom"/>
            <w:gridSpan w:val="11"/>
          </w:tcPr>
          <w:p>
            <w:pPr>
              <w:spacing w:after="0"/>
              <w:rPr>
                <w:sz w:val="20"/>
                <w:szCs w:val="20"/>
                <w:color w:val="auto"/>
              </w:rPr>
            </w:pPr>
            <w:r>
              <w:rPr>
                <w:rFonts w:ascii="Arial" w:cs="Arial" w:eastAsia="Arial" w:hAnsi="Arial"/>
                <w:sz w:val="20"/>
                <w:szCs w:val="20"/>
                <w:color w:val="auto"/>
                <w:w w:val="92"/>
              </w:rPr>
              <w:t>Summary of Significant Accounting Policies</w:t>
            </w:r>
          </w:p>
        </w:tc>
        <w:tc>
          <w:tcPr>
            <w:tcW w:w="3280" w:type="dxa"/>
            <w:vAlign w:val="bottom"/>
            <w:gridSpan w:val="4"/>
          </w:tcPr>
          <w:p>
            <w:pPr>
              <w:spacing w:after="0"/>
              <w:rPr>
                <w:sz w:val="24"/>
                <w:szCs w:val="24"/>
                <w:color w:val="auto"/>
              </w:rPr>
            </w:pPr>
          </w:p>
        </w:tc>
        <w:tc>
          <w:tcPr>
            <w:tcW w:w="480" w:type="dxa"/>
            <w:vAlign w:val="bottom"/>
            <w:gridSpan w:val="2"/>
          </w:tcPr>
          <w:p>
            <w:pPr>
              <w:jc w:val="center"/>
              <w:ind w:left="180"/>
              <w:spacing w:after="0"/>
              <w:rPr>
                <w:sz w:val="20"/>
                <w:szCs w:val="20"/>
                <w:color w:val="auto"/>
              </w:rPr>
            </w:pPr>
            <w:r>
              <w:rPr>
                <w:rFonts w:ascii="Arial" w:cs="Arial" w:eastAsia="Arial" w:hAnsi="Arial"/>
                <w:sz w:val="20"/>
                <w:szCs w:val="20"/>
                <w:color w:val="auto"/>
                <w:w w:val="89"/>
              </w:rPr>
              <w:t>51</w:t>
            </w:r>
          </w:p>
        </w:tc>
        <w:tc>
          <w:tcPr>
            <w:tcW w:w="28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0"/>
        </w:trPr>
        <w:tc>
          <w:tcPr>
            <w:tcW w:w="1320" w:type="dxa"/>
            <w:vAlign w:val="bottom"/>
            <w:gridSpan w:val="2"/>
          </w:tcPr>
          <w:p>
            <w:pPr>
              <w:spacing w:after="0"/>
              <w:rPr>
                <w:sz w:val="20"/>
                <w:szCs w:val="20"/>
                <w:color w:val="auto"/>
              </w:rPr>
            </w:pPr>
            <w:r>
              <w:rPr>
                <w:rFonts w:ascii="Arial" w:cs="Arial" w:eastAsia="Arial" w:hAnsi="Arial"/>
                <w:sz w:val="20"/>
                <w:szCs w:val="20"/>
                <w:color w:val="auto"/>
              </w:rPr>
              <w:t>Note 2</w:t>
            </w:r>
          </w:p>
        </w:tc>
        <w:tc>
          <w:tcPr>
            <w:tcW w:w="6860" w:type="dxa"/>
            <w:vAlign w:val="bottom"/>
            <w:gridSpan w:val="15"/>
          </w:tcPr>
          <w:p>
            <w:pPr>
              <w:spacing w:after="0"/>
              <w:rPr>
                <w:sz w:val="20"/>
                <w:szCs w:val="20"/>
                <w:color w:val="auto"/>
              </w:rPr>
            </w:pPr>
            <w:r>
              <w:rPr>
                <w:rFonts w:ascii="Arial" w:cs="Arial" w:eastAsia="Arial" w:hAnsi="Arial"/>
                <w:sz w:val="20"/>
                <w:szCs w:val="20"/>
                <w:color w:val="auto"/>
              </w:rPr>
              <w:t>Present and Prospective Accounting Pronouncements</w:t>
            </w:r>
          </w:p>
        </w:tc>
        <w:tc>
          <w:tcPr>
            <w:tcW w:w="480" w:type="dxa"/>
            <w:vAlign w:val="bottom"/>
            <w:gridSpan w:val="2"/>
          </w:tcPr>
          <w:p>
            <w:pPr>
              <w:jc w:val="center"/>
              <w:ind w:left="180"/>
              <w:spacing w:after="0"/>
              <w:rPr>
                <w:sz w:val="20"/>
                <w:szCs w:val="20"/>
                <w:color w:val="auto"/>
              </w:rPr>
            </w:pPr>
            <w:r>
              <w:rPr>
                <w:rFonts w:ascii="Arial" w:cs="Arial" w:eastAsia="Arial" w:hAnsi="Arial"/>
                <w:sz w:val="20"/>
                <w:szCs w:val="20"/>
                <w:color w:val="auto"/>
                <w:w w:val="89"/>
              </w:rPr>
              <w:t>58</w:t>
            </w:r>
          </w:p>
        </w:tc>
        <w:tc>
          <w:tcPr>
            <w:tcW w:w="28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0"/>
        </w:trPr>
        <w:tc>
          <w:tcPr>
            <w:tcW w:w="1320" w:type="dxa"/>
            <w:vAlign w:val="bottom"/>
            <w:gridSpan w:val="2"/>
          </w:tcPr>
          <w:p>
            <w:pPr>
              <w:spacing w:after="0"/>
              <w:rPr>
                <w:sz w:val="20"/>
                <w:szCs w:val="20"/>
                <w:color w:val="auto"/>
              </w:rPr>
            </w:pPr>
            <w:r>
              <w:rPr>
                <w:rFonts w:ascii="Arial" w:cs="Arial" w:eastAsia="Arial" w:hAnsi="Arial"/>
                <w:sz w:val="20"/>
                <w:szCs w:val="20"/>
                <w:color w:val="auto"/>
              </w:rPr>
              <w:t>Note 3</w:t>
            </w:r>
          </w:p>
        </w:tc>
        <w:tc>
          <w:tcPr>
            <w:tcW w:w="4260" w:type="dxa"/>
            <w:vAlign w:val="bottom"/>
            <w:gridSpan w:val="13"/>
          </w:tcPr>
          <w:p>
            <w:pPr>
              <w:spacing w:after="0"/>
              <w:rPr>
                <w:sz w:val="20"/>
                <w:szCs w:val="20"/>
                <w:color w:val="auto"/>
              </w:rPr>
            </w:pPr>
            <w:r>
              <w:rPr>
                <w:rFonts w:ascii="Arial" w:cs="Arial" w:eastAsia="Arial" w:hAnsi="Arial"/>
                <w:sz w:val="20"/>
                <w:szCs w:val="20"/>
                <w:color w:val="auto"/>
              </w:rPr>
              <w:t>Revenue</w:t>
            </w:r>
          </w:p>
        </w:tc>
        <w:tc>
          <w:tcPr>
            <w:tcW w:w="2600" w:type="dxa"/>
            <w:vAlign w:val="bottom"/>
            <w:gridSpan w:val="2"/>
          </w:tcPr>
          <w:p>
            <w:pPr>
              <w:spacing w:after="0"/>
              <w:rPr>
                <w:sz w:val="24"/>
                <w:szCs w:val="24"/>
                <w:color w:val="auto"/>
              </w:rPr>
            </w:pPr>
          </w:p>
        </w:tc>
        <w:tc>
          <w:tcPr>
            <w:tcW w:w="480" w:type="dxa"/>
            <w:vAlign w:val="bottom"/>
            <w:gridSpan w:val="2"/>
          </w:tcPr>
          <w:p>
            <w:pPr>
              <w:jc w:val="center"/>
              <w:ind w:left="180"/>
              <w:spacing w:after="0"/>
              <w:rPr>
                <w:sz w:val="20"/>
                <w:szCs w:val="20"/>
                <w:color w:val="auto"/>
              </w:rPr>
            </w:pPr>
            <w:r>
              <w:rPr>
                <w:rFonts w:ascii="Arial" w:cs="Arial" w:eastAsia="Arial" w:hAnsi="Arial"/>
                <w:sz w:val="20"/>
                <w:szCs w:val="20"/>
                <w:color w:val="auto"/>
                <w:w w:val="89"/>
              </w:rPr>
              <w:t>58</w:t>
            </w:r>
          </w:p>
        </w:tc>
        <w:tc>
          <w:tcPr>
            <w:tcW w:w="28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0"/>
        </w:trPr>
        <w:tc>
          <w:tcPr>
            <w:tcW w:w="1320" w:type="dxa"/>
            <w:vAlign w:val="bottom"/>
            <w:gridSpan w:val="2"/>
          </w:tcPr>
          <w:p>
            <w:pPr>
              <w:spacing w:after="0"/>
              <w:rPr>
                <w:sz w:val="20"/>
                <w:szCs w:val="20"/>
                <w:color w:val="auto"/>
              </w:rPr>
            </w:pPr>
            <w:r>
              <w:rPr>
                <w:rFonts w:ascii="Arial" w:cs="Arial" w:eastAsia="Arial" w:hAnsi="Arial"/>
                <w:sz w:val="20"/>
                <w:szCs w:val="20"/>
                <w:color w:val="auto"/>
              </w:rPr>
              <w:t>Note 4</w:t>
            </w:r>
          </w:p>
        </w:tc>
        <w:tc>
          <w:tcPr>
            <w:tcW w:w="6860" w:type="dxa"/>
            <w:vAlign w:val="bottom"/>
            <w:gridSpan w:val="15"/>
          </w:tcPr>
          <w:p>
            <w:pPr>
              <w:spacing w:after="0"/>
              <w:rPr>
                <w:sz w:val="20"/>
                <w:szCs w:val="20"/>
                <w:color w:val="auto"/>
              </w:rPr>
            </w:pPr>
            <w:r>
              <w:rPr>
                <w:rFonts w:ascii="Arial" w:cs="Arial" w:eastAsia="Arial" w:hAnsi="Arial"/>
                <w:sz w:val="20"/>
                <w:szCs w:val="20"/>
                <w:color w:val="auto"/>
              </w:rPr>
              <w:t>Earnings Per Share</w:t>
            </w:r>
          </w:p>
        </w:tc>
        <w:tc>
          <w:tcPr>
            <w:tcW w:w="480" w:type="dxa"/>
            <w:vAlign w:val="bottom"/>
            <w:gridSpan w:val="2"/>
          </w:tcPr>
          <w:p>
            <w:pPr>
              <w:jc w:val="center"/>
              <w:ind w:left="180"/>
              <w:spacing w:after="0"/>
              <w:rPr>
                <w:sz w:val="20"/>
                <w:szCs w:val="20"/>
                <w:color w:val="auto"/>
              </w:rPr>
            </w:pPr>
            <w:r>
              <w:rPr>
                <w:rFonts w:ascii="Arial" w:cs="Arial" w:eastAsia="Arial" w:hAnsi="Arial"/>
                <w:sz w:val="20"/>
                <w:szCs w:val="20"/>
                <w:color w:val="auto"/>
                <w:w w:val="89"/>
              </w:rPr>
              <w:t>60</w:t>
            </w:r>
          </w:p>
        </w:tc>
        <w:tc>
          <w:tcPr>
            <w:tcW w:w="28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0"/>
        </w:trPr>
        <w:tc>
          <w:tcPr>
            <w:tcW w:w="1320" w:type="dxa"/>
            <w:vAlign w:val="bottom"/>
            <w:gridSpan w:val="2"/>
          </w:tcPr>
          <w:p>
            <w:pPr>
              <w:spacing w:after="0"/>
              <w:rPr>
                <w:sz w:val="20"/>
                <w:szCs w:val="20"/>
                <w:color w:val="auto"/>
              </w:rPr>
            </w:pPr>
            <w:r>
              <w:rPr>
                <w:rFonts w:ascii="Arial" w:cs="Arial" w:eastAsia="Arial" w:hAnsi="Arial"/>
                <w:sz w:val="20"/>
                <w:szCs w:val="20"/>
                <w:color w:val="auto"/>
              </w:rPr>
              <w:t>Note 5</w:t>
            </w:r>
          </w:p>
        </w:tc>
        <w:tc>
          <w:tcPr>
            <w:tcW w:w="2760" w:type="dxa"/>
            <w:vAlign w:val="bottom"/>
            <w:gridSpan w:val="10"/>
          </w:tcPr>
          <w:p>
            <w:pPr>
              <w:spacing w:after="0"/>
              <w:rPr>
                <w:sz w:val="20"/>
                <w:szCs w:val="20"/>
                <w:color w:val="auto"/>
              </w:rPr>
            </w:pPr>
            <w:r>
              <w:rPr>
                <w:rFonts w:ascii="Arial" w:cs="Arial" w:eastAsia="Arial" w:hAnsi="Arial"/>
                <w:sz w:val="20"/>
                <w:szCs w:val="20"/>
                <w:color w:val="auto"/>
                <w:w w:val="88"/>
              </w:rPr>
              <w:t>Business Exit Credits and Charges</w:t>
            </w:r>
          </w:p>
        </w:tc>
        <w:tc>
          <w:tcPr>
            <w:tcW w:w="4100" w:type="dxa"/>
            <w:vAlign w:val="bottom"/>
            <w:gridSpan w:val="5"/>
          </w:tcPr>
          <w:p>
            <w:pPr>
              <w:spacing w:after="0"/>
              <w:rPr>
                <w:sz w:val="24"/>
                <w:szCs w:val="24"/>
                <w:color w:val="auto"/>
              </w:rPr>
            </w:pPr>
          </w:p>
        </w:tc>
        <w:tc>
          <w:tcPr>
            <w:tcW w:w="480" w:type="dxa"/>
            <w:vAlign w:val="bottom"/>
            <w:gridSpan w:val="2"/>
          </w:tcPr>
          <w:p>
            <w:pPr>
              <w:jc w:val="center"/>
              <w:ind w:left="180"/>
              <w:spacing w:after="0"/>
              <w:rPr>
                <w:sz w:val="20"/>
                <w:szCs w:val="20"/>
                <w:color w:val="auto"/>
              </w:rPr>
            </w:pPr>
            <w:r>
              <w:rPr>
                <w:rFonts w:ascii="Arial" w:cs="Arial" w:eastAsia="Arial" w:hAnsi="Arial"/>
                <w:sz w:val="20"/>
                <w:szCs w:val="20"/>
                <w:color w:val="auto"/>
                <w:w w:val="89"/>
              </w:rPr>
              <w:t>60</w:t>
            </w:r>
          </w:p>
        </w:tc>
        <w:tc>
          <w:tcPr>
            <w:tcW w:w="28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0"/>
        </w:trPr>
        <w:tc>
          <w:tcPr>
            <w:tcW w:w="1320" w:type="dxa"/>
            <w:vAlign w:val="bottom"/>
            <w:gridSpan w:val="2"/>
          </w:tcPr>
          <w:p>
            <w:pPr>
              <w:spacing w:after="0"/>
              <w:rPr>
                <w:sz w:val="20"/>
                <w:szCs w:val="20"/>
                <w:color w:val="auto"/>
              </w:rPr>
            </w:pPr>
            <w:r>
              <w:rPr>
                <w:rFonts w:ascii="Arial" w:cs="Arial" w:eastAsia="Arial" w:hAnsi="Arial"/>
                <w:sz w:val="20"/>
                <w:szCs w:val="20"/>
                <w:color w:val="auto"/>
              </w:rPr>
              <w:t>Note 6</w:t>
            </w:r>
          </w:p>
        </w:tc>
        <w:tc>
          <w:tcPr>
            <w:tcW w:w="1120" w:type="dxa"/>
            <w:vAlign w:val="bottom"/>
            <w:gridSpan w:val="4"/>
          </w:tcPr>
          <w:p>
            <w:pPr>
              <w:spacing w:after="0"/>
              <w:rPr>
                <w:sz w:val="20"/>
                <w:szCs w:val="20"/>
                <w:color w:val="auto"/>
              </w:rPr>
            </w:pPr>
            <w:r>
              <w:rPr>
                <w:rFonts w:ascii="Arial" w:cs="Arial" w:eastAsia="Arial" w:hAnsi="Arial"/>
                <w:sz w:val="20"/>
                <w:szCs w:val="20"/>
                <w:color w:val="auto"/>
                <w:w w:val="87"/>
              </w:rPr>
              <w:t>Income Taxes</w:t>
            </w:r>
          </w:p>
        </w:tc>
        <w:tc>
          <w:tcPr>
            <w:tcW w:w="1640" w:type="dxa"/>
            <w:vAlign w:val="bottom"/>
            <w:gridSpan w:val="6"/>
          </w:tcPr>
          <w:p>
            <w:pPr>
              <w:spacing w:after="0"/>
              <w:rPr>
                <w:sz w:val="24"/>
                <w:szCs w:val="24"/>
                <w:color w:val="auto"/>
              </w:rPr>
            </w:pPr>
          </w:p>
        </w:tc>
        <w:tc>
          <w:tcPr>
            <w:tcW w:w="4100" w:type="dxa"/>
            <w:vAlign w:val="bottom"/>
            <w:gridSpan w:val="5"/>
          </w:tcPr>
          <w:p>
            <w:pPr>
              <w:spacing w:after="0"/>
              <w:rPr>
                <w:sz w:val="24"/>
                <w:szCs w:val="24"/>
                <w:color w:val="auto"/>
              </w:rPr>
            </w:pPr>
          </w:p>
        </w:tc>
        <w:tc>
          <w:tcPr>
            <w:tcW w:w="480" w:type="dxa"/>
            <w:vAlign w:val="bottom"/>
            <w:gridSpan w:val="2"/>
          </w:tcPr>
          <w:p>
            <w:pPr>
              <w:jc w:val="center"/>
              <w:ind w:left="180"/>
              <w:spacing w:after="0"/>
              <w:rPr>
                <w:sz w:val="20"/>
                <w:szCs w:val="20"/>
                <w:color w:val="auto"/>
              </w:rPr>
            </w:pPr>
            <w:r>
              <w:rPr>
                <w:rFonts w:ascii="Arial" w:cs="Arial" w:eastAsia="Arial" w:hAnsi="Arial"/>
                <w:sz w:val="20"/>
                <w:szCs w:val="20"/>
                <w:color w:val="auto"/>
                <w:w w:val="89"/>
              </w:rPr>
              <w:t>61</w:t>
            </w:r>
          </w:p>
        </w:tc>
        <w:tc>
          <w:tcPr>
            <w:tcW w:w="28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0"/>
        </w:trPr>
        <w:tc>
          <w:tcPr>
            <w:tcW w:w="1320" w:type="dxa"/>
            <w:vAlign w:val="bottom"/>
            <w:gridSpan w:val="2"/>
          </w:tcPr>
          <w:p>
            <w:pPr>
              <w:spacing w:after="0"/>
              <w:rPr>
                <w:sz w:val="20"/>
                <w:szCs w:val="20"/>
                <w:color w:val="auto"/>
              </w:rPr>
            </w:pPr>
            <w:r>
              <w:rPr>
                <w:rFonts w:ascii="Arial" w:cs="Arial" w:eastAsia="Arial" w:hAnsi="Arial"/>
                <w:sz w:val="20"/>
                <w:szCs w:val="20"/>
                <w:color w:val="auto"/>
              </w:rPr>
              <w:t>Note 7</w:t>
            </w:r>
          </w:p>
        </w:tc>
        <w:tc>
          <w:tcPr>
            <w:tcW w:w="540" w:type="dxa"/>
            <w:vAlign w:val="bottom"/>
          </w:tcPr>
          <w:p>
            <w:pPr>
              <w:spacing w:after="0"/>
              <w:rPr>
                <w:sz w:val="20"/>
                <w:szCs w:val="20"/>
                <w:color w:val="auto"/>
              </w:rPr>
            </w:pPr>
            <w:r>
              <w:rPr>
                <w:rFonts w:ascii="Arial" w:cs="Arial" w:eastAsia="Arial" w:hAnsi="Arial"/>
                <w:sz w:val="20"/>
                <w:szCs w:val="20"/>
                <w:color w:val="auto"/>
                <w:w w:val="80"/>
              </w:rPr>
              <w:t>Leases</w:t>
            </w:r>
          </w:p>
        </w:tc>
        <w:tc>
          <w:tcPr>
            <w:tcW w:w="580" w:type="dxa"/>
            <w:vAlign w:val="bottom"/>
            <w:gridSpan w:val="3"/>
          </w:tcPr>
          <w:p>
            <w:pPr>
              <w:spacing w:after="0"/>
              <w:rPr>
                <w:sz w:val="24"/>
                <w:szCs w:val="24"/>
                <w:color w:val="auto"/>
              </w:rPr>
            </w:pPr>
          </w:p>
        </w:tc>
        <w:tc>
          <w:tcPr>
            <w:tcW w:w="5740" w:type="dxa"/>
            <w:vAlign w:val="bottom"/>
            <w:gridSpan w:val="11"/>
          </w:tcPr>
          <w:p>
            <w:pPr>
              <w:spacing w:after="0"/>
              <w:rPr>
                <w:sz w:val="24"/>
                <w:szCs w:val="24"/>
                <w:color w:val="auto"/>
              </w:rPr>
            </w:pPr>
          </w:p>
        </w:tc>
        <w:tc>
          <w:tcPr>
            <w:tcW w:w="480" w:type="dxa"/>
            <w:vAlign w:val="bottom"/>
            <w:gridSpan w:val="2"/>
          </w:tcPr>
          <w:p>
            <w:pPr>
              <w:jc w:val="center"/>
              <w:ind w:left="180"/>
              <w:spacing w:after="0"/>
              <w:rPr>
                <w:sz w:val="20"/>
                <w:szCs w:val="20"/>
                <w:color w:val="auto"/>
              </w:rPr>
            </w:pPr>
            <w:r>
              <w:rPr>
                <w:rFonts w:ascii="Arial" w:cs="Arial" w:eastAsia="Arial" w:hAnsi="Arial"/>
                <w:sz w:val="20"/>
                <w:szCs w:val="20"/>
                <w:color w:val="auto"/>
                <w:w w:val="89"/>
              </w:rPr>
              <w:t>66</w:t>
            </w:r>
          </w:p>
        </w:tc>
        <w:tc>
          <w:tcPr>
            <w:tcW w:w="28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0"/>
        </w:trPr>
        <w:tc>
          <w:tcPr>
            <w:tcW w:w="1320" w:type="dxa"/>
            <w:vAlign w:val="bottom"/>
            <w:gridSpan w:val="2"/>
          </w:tcPr>
          <w:p>
            <w:pPr>
              <w:spacing w:after="0"/>
              <w:rPr>
                <w:sz w:val="20"/>
                <w:szCs w:val="20"/>
                <w:color w:val="auto"/>
              </w:rPr>
            </w:pPr>
            <w:r>
              <w:rPr>
                <w:rFonts w:ascii="Arial" w:cs="Arial" w:eastAsia="Arial" w:hAnsi="Arial"/>
                <w:sz w:val="20"/>
                <w:szCs w:val="20"/>
                <w:color w:val="auto"/>
              </w:rPr>
              <w:t>Note 8</w:t>
            </w:r>
          </w:p>
        </w:tc>
        <w:tc>
          <w:tcPr>
            <w:tcW w:w="6860" w:type="dxa"/>
            <w:vAlign w:val="bottom"/>
            <w:gridSpan w:val="15"/>
          </w:tcPr>
          <w:p>
            <w:pPr>
              <w:spacing w:after="0"/>
              <w:rPr>
                <w:sz w:val="20"/>
                <w:szCs w:val="20"/>
                <w:color w:val="auto"/>
              </w:rPr>
            </w:pPr>
            <w:r>
              <w:rPr>
                <w:rFonts w:ascii="Arial" w:cs="Arial" w:eastAsia="Arial" w:hAnsi="Arial"/>
                <w:sz w:val="20"/>
                <w:szCs w:val="20"/>
                <w:color w:val="auto"/>
              </w:rPr>
              <w:t>Long-Term Debt</w:t>
            </w:r>
          </w:p>
        </w:tc>
        <w:tc>
          <w:tcPr>
            <w:tcW w:w="480" w:type="dxa"/>
            <w:vAlign w:val="bottom"/>
            <w:gridSpan w:val="2"/>
          </w:tcPr>
          <w:p>
            <w:pPr>
              <w:jc w:val="center"/>
              <w:ind w:left="180"/>
              <w:spacing w:after="0"/>
              <w:rPr>
                <w:sz w:val="20"/>
                <w:szCs w:val="20"/>
                <w:color w:val="auto"/>
              </w:rPr>
            </w:pPr>
            <w:r>
              <w:rPr>
                <w:rFonts w:ascii="Arial" w:cs="Arial" w:eastAsia="Arial" w:hAnsi="Arial"/>
                <w:sz w:val="20"/>
                <w:szCs w:val="20"/>
                <w:color w:val="auto"/>
                <w:w w:val="89"/>
              </w:rPr>
              <w:t>67</w:t>
            </w:r>
          </w:p>
        </w:tc>
        <w:tc>
          <w:tcPr>
            <w:tcW w:w="28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1340" w:type="dxa"/>
            <w:vAlign w:val="bottom"/>
            <w:gridSpan w:val="5"/>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0"/>
        </w:trPr>
        <w:tc>
          <w:tcPr>
            <w:tcW w:w="1320" w:type="dxa"/>
            <w:vAlign w:val="bottom"/>
            <w:gridSpan w:val="2"/>
          </w:tcPr>
          <w:p>
            <w:pPr>
              <w:spacing w:after="0"/>
              <w:rPr>
                <w:sz w:val="20"/>
                <w:szCs w:val="20"/>
                <w:color w:val="auto"/>
              </w:rPr>
            </w:pPr>
            <w:r>
              <w:rPr>
                <w:rFonts w:ascii="Arial" w:cs="Arial" w:eastAsia="Arial" w:hAnsi="Arial"/>
                <w:sz w:val="20"/>
                <w:szCs w:val="20"/>
                <w:color w:val="auto"/>
              </w:rPr>
              <w:t>Note 9</w:t>
            </w:r>
          </w:p>
        </w:tc>
        <w:tc>
          <w:tcPr>
            <w:tcW w:w="6860" w:type="dxa"/>
            <w:vAlign w:val="bottom"/>
            <w:gridSpan w:val="15"/>
          </w:tcPr>
          <w:p>
            <w:pPr>
              <w:spacing w:after="0"/>
              <w:rPr>
                <w:sz w:val="20"/>
                <w:szCs w:val="20"/>
                <w:color w:val="auto"/>
              </w:rPr>
            </w:pPr>
            <w:r>
              <w:rPr>
                <w:rFonts w:ascii="Arial" w:cs="Arial" w:eastAsia="Arial" w:hAnsi="Arial"/>
                <w:sz w:val="20"/>
                <w:szCs w:val="20"/>
                <w:color w:val="auto"/>
              </w:rPr>
              <w:t>Stockholders’ Equity</w:t>
            </w:r>
          </w:p>
        </w:tc>
        <w:tc>
          <w:tcPr>
            <w:tcW w:w="480" w:type="dxa"/>
            <w:vAlign w:val="bottom"/>
            <w:gridSpan w:val="2"/>
          </w:tcPr>
          <w:p>
            <w:pPr>
              <w:jc w:val="center"/>
              <w:ind w:left="180"/>
              <w:spacing w:after="0"/>
              <w:rPr>
                <w:sz w:val="20"/>
                <w:szCs w:val="20"/>
                <w:color w:val="auto"/>
              </w:rPr>
            </w:pPr>
            <w:r>
              <w:rPr>
                <w:rFonts w:ascii="Arial" w:cs="Arial" w:eastAsia="Arial" w:hAnsi="Arial"/>
                <w:sz w:val="20"/>
                <w:szCs w:val="20"/>
                <w:color w:val="auto"/>
                <w:w w:val="89"/>
              </w:rPr>
              <w:t>69</w:t>
            </w:r>
          </w:p>
        </w:tc>
        <w:tc>
          <w:tcPr>
            <w:tcW w:w="28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1540" w:type="dxa"/>
            <w:vAlign w:val="bottom"/>
            <w:gridSpan w:val="7"/>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0"/>
        </w:trPr>
        <w:tc>
          <w:tcPr>
            <w:tcW w:w="1320" w:type="dxa"/>
            <w:vAlign w:val="bottom"/>
            <w:gridSpan w:val="2"/>
          </w:tcPr>
          <w:p>
            <w:pPr>
              <w:spacing w:after="0"/>
              <w:rPr>
                <w:sz w:val="20"/>
                <w:szCs w:val="20"/>
                <w:color w:val="auto"/>
              </w:rPr>
            </w:pPr>
            <w:r>
              <w:rPr>
                <w:rFonts w:ascii="Arial" w:cs="Arial" w:eastAsia="Arial" w:hAnsi="Arial"/>
                <w:sz w:val="20"/>
                <w:szCs w:val="20"/>
                <w:color w:val="auto"/>
              </w:rPr>
              <w:t>Note 10</w:t>
            </w:r>
          </w:p>
        </w:tc>
        <w:tc>
          <w:tcPr>
            <w:tcW w:w="6860" w:type="dxa"/>
            <w:vAlign w:val="bottom"/>
            <w:gridSpan w:val="15"/>
          </w:tcPr>
          <w:p>
            <w:pPr>
              <w:spacing w:after="0"/>
              <w:rPr>
                <w:sz w:val="20"/>
                <w:szCs w:val="20"/>
                <w:color w:val="auto"/>
              </w:rPr>
            </w:pPr>
            <w:r>
              <w:rPr>
                <w:rFonts w:ascii="Arial" w:cs="Arial" w:eastAsia="Arial" w:hAnsi="Arial"/>
                <w:sz w:val="20"/>
                <w:szCs w:val="20"/>
                <w:color w:val="auto"/>
              </w:rPr>
              <w:t>Other Operating and Non-Operating Income (Expense)</w:t>
            </w:r>
          </w:p>
        </w:tc>
        <w:tc>
          <w:tcPr>
            <w:tcW w:w="480" w:type="dxa"/>
            <w:vAlign w:val="bottom"/>
            <w:gridSpan w:val="2"/>
          </w:tcPr>
          <w:p>
            <w:pPr>
              <w:jc w:val="center"/>
              <w:ind w:left="180"/>
              <w:spacing w:after="0"/>
              <w:rPr>
                <w:sz w:val="20"/>
                <w:szCs w:val="20"/>
                <w:color w:val="auto"/>
              </w:rPr>
            </w:pPr>
            <w:r>
              <w:rPr>
                <w:rFonts w:ascii="Arial" w:cs="Arial" w:eastAsia="Arial" w:hAnsi="Arial"/>
                <w:sz w:val="20"/>
                <w:szCs w:val="20"/>
                <w:color w:val="auto"/>
                <w:w w:val="89"/>
              </w:rPr>
              <w:t>71</w:t>
            </w:r>
          </w:p>
        </w:tc>
        <w:tc>
          <w:tcPr>
            <w:tcW w:w="28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1540" w:type="dxa"/>
            <w:vAlign w:val="bottom"/>
            <w:gridSpan w:val="7"/>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tcBorders>
              <w:left w:val="single" w:sz="8" w:color="auto"/>
            </w:tcBorders>
            <w:gridSpan w:val="3"/>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0"/>
        </w:trPr>
        <w:tc>
          <w:tcPr>
            <w:tcW w:w="1320" w:type="dxa"/>
            <w:vAlign w:val="bottom"/>
            <w:gridSpan w:val="2"/>
          </w:tcPr>
          <w:p>
            <w:pPr>
              <w:spacing w:after="0"/>
              <w:rPr>
                <w:sz w:val="20"/>
                <w:szCs w:val="20"/>
                <w:color w:val="auto"/>
              </w:rPr>
            </w:pPr>
            <w:r>
              <w:rPr>
                <w:rFonts w:ascii="Arial" w:cs="Arial" w:eastAsia="Arial" w:hAnsi="Arial"/>
                <w:sz w:val="20"/>
                <w:szCs w:val="20"/>
                <w:color w:val="auto"/>
              </w:rPr>
              <w:t>Note 11</w:t>
            </w:r>
          </w:p>
        </w:tc>
        <w:tc>
          <w:tcPr>
            <w:tcW w:w="2660" w:type="dxa"/>
            <w:vAlign w:val="bottom"/>
            <w:gridSpan w:val="9"/>
          </w:tcPr>
          <w:p>
            <w:pPr>
              <w:spacing w:after="0"/>
              <w:rPr>
                <w:sz w:val="20"/>
                <w:szCs w:val="20"/>
                <w:color w:val="auto"/>
              </w:rPr>
            </w:pPr>
            <w:r>
              <w:rPr>
                <w:rFonts w:ascii="Arial" w:cs="Arial" w:eastAsia="Arial" w:hAnsi="Arial"/>
                <w:sz w:val="20"/>
                <w:szCs w:val="20"/>
                <w:color w:val="auto"/>
                <w:w w:val="89"/>
              </w:rPr>
              <w:t>Impairment of Long-Lived Assets</w:t>
            </w:r>
          </w:p>
        </w:tc>
        <w:tc>
          <w:tcPr>
            <w:tcW w:w="1740" w:type="dxa"/>
            <w:vAlign w:val="bottom"/>
            <w:gridSpan w:val="5"/>
          </w:tcPr>
          <w:p>
            <w:pPr>
              <w:spacing w:after="0"/>
              <w:rPr>
                <w:sz w:val="24"/>
                <w:szCs w:val="24"/>
                <w:color w:val="auto"/>
              </w:rPr>
            </w:pPr>
          </w:p>
        </w:tc>
        <w:tc>
          <w:tcPr>
            <w:tcW w:w="2460" w:type="dxa"/>
            <w:vAlign w:val="bottom"/>
          </w:tcPr>
          <w:p>
            <w:pPr>
              <w:spacing w:after="0"/>
              <w:rPr>
                <w:sz w:val="24"/>
                <w:szCs w:val="24"/>
                <w:color w:val="auto"/>
              </w:rPr>
            </w:pPr>
          </w:p>
        </w:tc>
        <w:tc>
          <w:tcPr>
            <w:tcW w:w="480" w:type="dxa"/>
            <w:vAlign w:val="bottom"/>
            <w:gridSpan w:val="2"/>
          </w:tcPr>
          <w:p>
            <w:pPr>
              <w:jc w:val="center"/>
              <w:ind w:left="180"/>
              <w:spacing w:after="0"/>
              <w:rPr>
                <w:sz w:val="20"/>
                <w:szCs w:val="20"/>
                <w:color w:val="auto"/>
              </w:rPr>
            </w:pPr>
            <w:r>
              <w:rPr>
                <w:rFonts w:ascii="Arial" w:cs="Arial" w:eastAsia="Arial" w:hAnsi="Arial"/>
                <w:sz w:val="20"/>
                <w:szCs w:val="20"/>
                <w:color w:val="auto"/>
                <w:w w:val="89"/>
              </w:rPr>
              <w:t>72</w:t>
            </w:r>
          </w:p>
        </w:tc>
        <w:tc>
          <w:tcPr>
            <w:tcW w:w="28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1540" w:type="dxa"/>
            <w:vAlign w:val="bottom"/>
            <w:gridSpan w:val="7"/>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tcBorders>
              <w:left w:val="single" w:sz="8" w:color="auto"/>
            </w:tcBorders>
            <w:gridSpan w:val="3"/>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0"/>
        </w:trPr>
        <w:tc>
          <w:tcPr>
            <w:tcW w:w="1320" w:type="dxa"/>
            <w:vAlign w:val="bottom"/>
            <w:gridSpan w:val="2"/>
          </w:tcPr>
          <w:p>
            <w:pPr>
              <w:spacing w:after="0"/>
              <w:rPr>
                <w:sz w:val="20"/>
                <w:szCs w:val="20"/>
                <w:color w:val="auto"/>
              </w:rPr>
            </w:pPr>
            <w:r>
              <w:rPr>
                <w:rFonts w:ascii="Arial" w:cs="Arial" w:eastAsia="Arial" w:hAnsi="Arial"/>
                <w:sz w:val="20"/>
                <w:szCs w:val="20"/>
                <w:color w:val="auto"/>
              </w:rPr>
              <w:t>Note 12</w:t>
            </w:r>
          </w:p>
        </w:tc>
        <w:tc>
          <w:tcPr>
            <w:tcW w:w="2660" w:type="dxa"/>
            <w:vAlign w:val="bottom"/>
            <w:gridSpan w:val="9"/>
          </w:tcPr>
          <w:p>
            <w:pPr>
              <w:spacing w:after="0"/>
              <w:rPr>
                <w:sz w:val="20"/>
                <w:szCs w:val="20"/>
                <w:color w:val="auto"/>
              </w:rPr>
            </w:pPr>
            <w:r>
              <w:rPr>
                <w:rFonts w:ascii="Arial" w:cs="Arial" w:eastAsia="Arial" w:hAnsi="Arial"/>
                <w:sz w:val="20"/>
                <w:szCs w:val="20"/>
                <w:color w:val="auto"/>
                <w:w w:val="88"/>
              </w:rPr>
              <w:t>Commitments and Contingencies</w:t>
            </w:r>
          </w:p>
        </w:tc>
        <w:tc>
          <w:tcPr>
            <w:tcW w:w="4200" w:type="dxa"/>
            <w:vAlign w:val="bottom"/>
            <w:gridSpan w:val="6"/>
          </w:tcPr>
          <w:p>
            <w:pPr>
              <w:spacing w:after="0"/>
              <w:rPr>
                <w:sz w:val="24"/>
                <w:szCs w:val="24"/>
                <w:color w:val="auto"/>
              </w:rPr>
            </w:pPr>
          </w:p>
        </w:tc>
        <w:tc>
          <w:tcPr>
            <w:tcW w:w="480" w:type="dxa"/>
            <w:vAlign w:val="bottom"/>
            <w:gridSpan w:val="2"/>
          </w:tcPr>
          <w:p>
            <w:pPr>
              <w:jc w:val="center"/>
              <w:ind w:left="180"/>
              <w:spacing w:after="0"/>
              <w:rPr>
                <w:sz w:val="20"/>
                <w:szCs w:val="20"/>
                <w:color w:val="auto"/>
              </w:rPr>
            </w:pPr>
            <w:r>
              <w:rPr>
                <w:rFonts w:ascii="Arial" w:cs="Arial" w:eastAsia="Arial" w:hAnsi="Arial"/>
                <w:sz w:val="20"/>
                <w:szCs w:val="20"/>
                <w:color w:val="auto"/>
                <w:w w:val="89"/>
              </w:rPr>
              <w:t>73</w:t>
            </w:r>
          </w:p>
        </w:tc>
        <w:tc>
          <w:tcPr>
            <w:tcW w:w="28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1540" w:type="dxa"/>
            <w:vAlign w:val="bottom"/>
            <w:gridSpan w:val="7"/>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0"/>
        </w:trPr>
        <w:tc>
          <w:tcPr>
            <w:tcW w:w="1320" w:type="dxa"/>
            <w:vAlign w:val="bottom"/>
            <w:gridSpan w:val="2"/>
          </w:tcPr>
          <w:p>
            <w:pPr>
              <w:spacing w:after="0"/>
              <w:rPr>
                <w:sz w:val="20"/>
                <w:szCs w:val="20"/>
                <w:color w:val="auto"/>
              </w:rPr>
            </w:pPr>
            <w:r>
              <w:rPr>
                <w:rFonts w:ascii="Arial" w:cs="Arial" w:eastAsia="Arial" w:hAnsi="Arial"/>
                <w:sz w:val="20"/>
                <w:szCs w:val="20"/>
                <w:color w:val="auto"/>
              </w:rPr>
              <w:t>Note 13</w:t>
            </w:r>
          </w:p>
        </w:tc>
        <w:tc>
          <w:tcPr>
            <w:tcW w:w="1540" w:type="dxa"/>
            <w:vAlign w:val="bottom"/>
            <w:gridSpan w:val="7"/>
          </w:tcPr>
          <w:p>
            <w:pPr>
              <w:spacing w:after="0"/>
              <w:rPr>
                <w:sz w:val="20"/>
                <w:szCs w:val="20"/>
                <w:color w:val="auto"/>
              </w:rPr>
            </w:pPr>
            <w:r>
              <w:rPr>
                <w:rFonts w:ascii="Arial" w:cs="Arial" w:eastAsia="Arial" w:hAnsi="Arial"/>
                <w:sz w:val="20"/>
                <w:szCs w:val="20"/>
                <w:color w:val="auto"/>
                <w:w w:val="88"/>
              </w:rPr>
              <w:t>Product Warranties</w:t>
            </w:r>
          </w:p>
        </w:tc>
        <w:tc>
          <w:tcPr>
            <w:tcW w:w="1120" w:type="dxa"/>
            <w:vAlign w:val="bottom"/>
            <w:gridSpan w:val="2"/>
          </w:tcPr>
          <w:p>
            <w:pPr>
              <w:spacing w:after="0"/>
              <w:rPr>
                <w:sz w:val="24"/>
                <w:szCs w:val="24"/>
                <w:color w:val="auto"/>
              </w:rPr>
            </w:pPr>
          </w:p>
        </w:tc>
        <w:tc>
          <w:tcPr>
            <w:tcW w:w="4200" w:type="dxa"/>
            <w:vAlign w:val="bottom"/>
            <w:gridSpan w:val="6"/>
          </w:tcPr>
          <w:p>
            <w:pPr>
              <w:spacing w:after="0"/>
              <w:rPr>
                <w:sz w:val="24"/>
                <w:szCs w:val="24"/>
                <w:color w:val="auto"/>
              </w:rPr>
            </w:pPr>
          </w:p>
        </w:tc>
        <w:tc>
          <w:tcPr>
            <w:tcW w:w="480" w:type="dxa"/>
            <w:vAlign w:val="bottom"/>
            <w:gridSpan w:val="2"/>
          </w:tcPr>
          <w:p>
            <w:pPr>
              <w:jc w:val="center"/>
              <w:ind w:left="180"/>
              <w:spacing w:after="0"/>
              <w:rPr>
                <w:sz w:val="20"/>
                <w:szCs w:val="20"/>
                <w:color w:val="auto"/>
              </w:rPr>
            </w:pPr>
            <w:r>
              <w:rPr>
                <w:rFonts w:ascii="Arial" w:cs="Arial" w:eastAsia="Arial" w:hAnsi="Arial"/>
                <w:sz w:val="20"/>
                <w:szCs w:val="20"/>
                <w:color w:val="auto"/>
                <w:w w:val="89"/>
              </w:rPr>
              <w:t>75</w:t>
            </w:r>
          </w:p>
        </w:tc>
        <w:tc>
          <w:tcPr>
            <w:tcW w:w="28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1540" w:type="dxa"/>
            <w:vAlign w:val="bottom"/>
            <w:gridSpan w:val="7"/>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0"/>
        </w:trPr>
        <w:tc>
          <w:tcPr>
            <w:tcW w:w="1320" w:type="dxa"/>
            <w:vAlign w:val="bottom"/>
            <w:gridSpan w:val="2"/>
          </w:tcPr>
          <w:p>
            <w:pPr>
              <w:spacing w:after="0"/>
              <w:rPr>
                <w:sz w:val="20"/>
                <w:szCs w:val="20"/>
                <w:color w:val="auto"/>
              </w:rPr>
            </w:pPr>
            <w:r>
              <w:rPr>
                <w:rFonts w:ascii="Arial" w:cs="Arial" w:eastAsia="Arial" w:hAnsi="Arial"/>
                <w:sz w:val="20"/>
                <w:szCs w:val="20"/>
                <w:color w:val="auto"/>
              </w:rPr>
              <w:t>Note 14</w:t>
            </w:r>
          </w:p>
        </w:tc>
        <w:tc>
          <w:tcPr>
            <w:tcW w:w="6860" w:type="dxa"/>
            <w:vAlign w:val="bottom"/>
            <w:gridSpan w:val="15"/>
          </w:tcPr>
          <w:p>
            <w:pPr>
              <w:spacing w:after="0"/>
              <w:rPr>
                <w:sz w:val="20"/>
                <w:szCs w:val="20"/>
                <w:color w:val="auto"/>
              </w:rPr>
            </w:pPr>
            <w:r>
              <w:rPr>
                <w:rFonts w:ascii="Arial" w:cs="Arial" w:eastAsia="Arial" w:hAnsi="Arial"/>
                <w:sz w:val="20"/>
                <w:szCs w:val="20"/>
                <w:color w:val="auto"/>
              </w:rPr>
              <w:t>Retirement Plans and Post-Retirement Benefits</w:t>
            </w:r>
          </w:p>
        </w:tc>
        <w:tc>
          <w:tcPr>
            <w:tcW w:w="480" w:type="dxa"/>
            <w:vAlign w:val="bottom"/>
            <w:gridSpan w:val="2"/>
          </w:tcPr>
          <w:p>
            <w:pPr>
              <w:jc w:val="center"/>
              <w:ind w:left="180"/>
              <w:spacing w:after="0"/>
              <w:rPr>
                <w:sz w:val="20"/>
                <w:szCs w:val="20"/>
                <w:color w:val="auto"/>
              </w:rPr>
            </w:pPr>
            <w:r>
              <w:rPr>
                <w:rFonts w:ascii="Arial" w:cs="Arial" w:eastAsia="Arial" w:hAnsi="Arial"/>
                <w:sz w:val="20"/>
                <w:szCs w:val="20"/>
                <w:color w:val="auto"/>
                <w:w w:val="89"/>
              </w:rPr>
              <w:t>75</w:t>
            </w:r>
          </w:p>
        </w:tc>
        <w:tc>
          <w:tcPr>
            <w:tcW w:w="28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1680" w:type="dxa"/>
            <w:vAlign w:val="bottom"/>
            <w:gridSpan w:val="8"/>
            <w:shd w:val="clear" w:color="auto" w:fill="000000"/>
          </w:tcPr>
          <w:p>
            <w:pPr>
              <w:spacing w:after="0" w:line="20" w:lineRule="exact"/>
              <w:rPr>
                <w:sz w:val="1"/>
                <w:szCs w:val="1"/>
                <w:color w:val="auto"/>
              </w:rPr>
            </w:pPr>
          </w:p>
        </w:tc>
        <w:tc>
          <w:tcPr>
            <w:tcW w:w="2080" w:type="dxa"/>
            <w:vAlign w:val="bottom"/>
            <w:tcBorders>
              <w:left w:val="single" w:sz="8" w:color="auto"/>
            </w:tcBorders>
            <w:gridSpan w:val="4"/>
            <w:shd w:val="clear" w:color="auto" w:fill="000000"/>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0"/>
        </w:trPr>
        <w:tc>
          <w:tcPr>
            <w:tcW w:w="1320" w:type="dxa"/>
            <w:vAlign w:val="bottom"/>
            <w:gridSpan w:val="2"/>
          </w:tcPr>
          <w:p>
            <w:pPr>
              <w:spacing w:after="0"/>
              <w:rPr>
                <w:sz w:val="20"/>
                <w:szCs w:val="20"/>
                <w:color w:val="auto"/>
              </w:rPr>
            </w:pPr>
            <w:r>
              <w:rPr>
                <w:rFonts w:ascii="Arial" w:cs="Arial" w:eastAsia="Arial" w:hAnsi="Arial"/>
                <w:sz w:val="20"/>
                <w:szCs w:val="20"/>
                <w:color w:val="auto"/>
              </w:rPr>
              <w:t>Note 15</w:t>
            </w:r>
          </w:p>
        </w:tc>
        <w:tc>
          <w:tcPr>
            <w:tcW w:w="1680" w:type="dxa"/>
            <w:vAlign w:val="bottom"/>
            <w:gridSpan w:val="8"/>
          </w:tcPr>
          <w:p>
            <w:pPr>
              <w:spacing w:after="0"/>
              <w:rPr>
                <w:sz w:val="20"/>
                <w:szCs w:val="20"/>
                <w:color w:val="auto"/>
              </w:rPr>
            </w:pPr>
            <w:r>
              <w:rPr>
                <w:rFonts w:ascii="Arial" w:cs="Arial" w:eastAsia="Arial" w:hAnsi="Arial"/>
                <w:sz w:val="20"/>
                <w:szCs w:val="20"/>
                <w:color w:val="auto"/>
                <w:w w:val="88"/>
              </w:rPr>
              <w:t>Segment Information</w:t>
            </w:r>
          </w:p>
        </w:tc>
        <w:tc>
          <w:tcPr>
            <w:tcW w:w="2080" w:type="dxa"/>
            <w:vAlign w:val="bottom"/>
            <w:gridSpan w:val="4"/>
          </w:tcPr>
          <w:p>
            <w:pPr>
              <w:spacing w:after="0"/>
              <w:rPr>
                <w:sz w:val="24"/>
                <w:szCs w:val="24"/>
                <w:color w:val="auto"/>
              </w:rPr>
            </w:pPr>
          </w:p>
        </w:tc>
        <w:tc>
          <w:tcPr>
            <w:tcW w:w="3100" w:type="dxa"/>
            <w:vAlign w:val="bottom"/>
            <w:gridSpan w:val="3"/>
          </w:tcPr>
          <w:p>
            <w:pPr>
              <w:spacing w:after="0"/>
              <w:rPr>
                <w:sz w:val="24"/>
                <w:szCs w:val="24"/>
                <w:color w:val="auto"/>
              </w:rPr>
            </w:pPr>
          </w:p>
        </w:tc>
        <w:tc>
          <w:tcPr>
            <w:tcW w:w="480" w:type="dxa"/>
            <w:vAlign w:val="bottom"/>
            <w:gridSpan w:val="2"/>
          </w:tcPr>
          <w:p>
            <w:pPr>
              <w:jc w:val="center"/>
              <w:ind w:left="180"/>
              <w:spacing w:after="0"/>
              <w:rPr>
                <w:sz w:val="20"/>
                <w:szCs w:val="20"/>
                <w:color w:val="auto"/>
              </w:rPr>
            </w:pPr>
            <w:r>
              <w:rPr>
                <w:rFonts w:ascii="Arial" w:cs="Arial" w:eastAsia="Arial" w:hAnsi="Arial"/>
                <w:sz w:val="20"/>
                <w:szCs w:val="20"/>
                <w:color w:val="auto"/>
                <w:w w:val="89"/>
              </w:rPr>
              <w:t>76</w:t>
            </w:r>
          </w:p>
        </w:tc>
        <w:tc>
          <w:tcPr>
            <w:tcW w:w="28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080"/>
          </w:cols>
          <w:pgMar w:left="1360" w:top="1190" w:right="144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9080"/>
          </w:cols>
          <w:pgMar w:left="1360" w:top="1190" w:right="1440" w:bottom="225" w:gutter="0" w:footer="0" w:header="0"/>
          <w:type w:val="continuous"/>
        </w:sectPr>
      </w:pPr>
    </w:p>
    <w:bookmarkStart w:id="68" w:name="page69"/>
    <w:bookmarkEnd w:id="68"/>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THE CONSOLIDATED FINANCIAL STATEMENTS</w:t>
      </w:r>
    </w:p>
    <w:p>
      <w:pPr>
        <w:spacing w:after="0" w:line="250" w:lineRule="exact"/>
        <w:rPr>
          <w:sz w:val="20"/>
          <w:szCs w:val="20"/>
          <w:color w:val="auto"/>
        </w:rPr>
      </w:pPr>
    </w:p>
    <w:p>
      <w:pPr>
        <w:ind w:left="720" w:hanging="72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Nature of Operations</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The Company operates more than 20 manufacturing facilities across North and South America, and operates an additional facility through a joint venture. References to “LP,” the “Company,” “we,” “our,” and “us” refer to Louisiana-Pacific Corporation and its consolidated subsidiaries as a whole.</w:t>
      </w:r>
    </w:p>
    <w:p>
      <w:pPr>
        <w:spacing w:after="0" w:line="74" w:lineRule="exact"/>
        <w:rPr>
          <w:sz w:val="20"/>
          <w:szCs w:val="20"/>
          <w:color w:val="auto"/>
        </w:rPr>
      </w:pPr>
    </w:p>
    <w:p>
      <w:pPr>
        <w:ind w:right="1460"/>
        <w:spacing w:after="0" w:line="375" w:lineRule="auto"/>
        <w:rPr>
          <w:sz w:val="20"/>
          <w:szCs w:val="20"/>
          <w:color w:val="auto"/>
        </w:rPr>
      </w:pPr>
      <w:r>
        <w:rPr>
          <w:rFonts w:ascii="Arial" w:cs="Arial" w:eastAsia="Arial" w:hAnsi="Arial"/>
          <w:sz w:val="20"/>
          <w:szCs w:val="20"/>
          <w:color w:val="auto"/>
        </w:rPr>
        <w:t xml:space="preserve">See “Note 15 - Segment Information” below for information regarding our products and segments. </w:t>
      </w:r>
      <w:r>
        <w:rPr>
          <w:rFonts w:ascii="Arial" w:cs="Arial" w:eastAsia="Arial" w:hAnsi="Arial"/>
          <w:sz w:val="20"/>
          <w:szCs w:val="20"/>
          <w:b w:val="1"/>
          <w:bCs w:val="1"/>
          <w:color w:val="auto"/>
        </w:rPr>
        <w:t>Basis of Presentation</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accompanying Consolidated Financial Statements have been prepared in accordance with U.S. GAAP. The preparation of financial statements in conformity with U.S. GAAP requires management to make estimates and assumptions that affect the amounts reported in the Consolidated Financial Statements and accompanying notes. Actual results could differ from those estimates.</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Consolidated Financial Statements include the accounts of LP and our controlled subsidiaries. All intercompany transactions, profits, and balances have been eliminated. All dollar amounts are in millions except per share amounts.</w:t>
      </w:r>
    </w:p>
    <w:p>
      <w:pPr>
        <w:spacing w:after="0" w:line="75" w:lineRule="exact"/>
        <w:rPr>
          <w:sz w:val="20"/>
          <w:szCs w:val="20"/>
          <w:color w:val="auto"/>
        </w:rPr>
      </w:pPr>
    </w:p>
    <w:p>
      <w:pPr>
        <w:ind w:right="1460"/>
        <w:spacing w:after="0" w:line="375" w:lineRule="auto"/>
        <w:rPr>
          <w:sz w:val="20"/>
          <w:szCs w:val="20"/>
          <w:color w:val="auto"/>
        </w:rPr>
      </w:pPr>
      <w:r>
        <w:rPr>
          <w:rFonts w:ascii="Arial" w:cs="Arial" w:eastAsia="Arial" w:hAnsi="Arial"/>
          <w:sz w:val="20"/>
          <w:szCs w:val="20"/>
          <w:color w:val="auto"/>
        </w:rPr>
        <w:t xml:space="preserve">Certain reclassifications have been made to prior years to conform to the current year presentation. </w:t>
      </w:r>
      <w:r>
        <w:rPr>
          <w:rFonts w:ascii="Arial" w:cs="Arial" w:eastAsia="Arial" w:hAnsi="Arial"/>
          <w:sz w:val="20"/>
          <w:szCs w:val="20"/>
          <w:b w:val="1"/>
          <w:bCs w:val="1"/>
          <w:color w:val="auto"/>
        </w:rPr>
        <w:t>Cash and Cash Equivalents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include cash on hand and short-term investments of three months or less when purchased.</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These investments are stated at cost, which approximates market value.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Receivables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Receivables consisted of the following (dollar amounts in millions):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600" w:type="dxa"/>
            <w:vAlign w:val="bottom"/>
          </w:tcPr>
          <w:p>
            <w:pPr>
              <w:spacing w:after="0"/>
              <w:rPr>
                <w:sz w:val="21"/>
                <w:szCs w:val="21"/>
                <w:color w:val="auto"/>
              </w:rPr>
            </w:pPr>
          </w:p>
        </w:tc>
        <w:tc>
          <w:tcPr>
            <w:tcW w:w="22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420" w:type="dxa"/>
            <w:vAlign w:val="bottom"/>
            <w:tcBorders>
              <w:bottom w:val="single" w:sz="8" w:color="auto"/>
            </w:tcBorders>
          </w:tcPr>
          <w:p>
            <w:pPr>
              <w:spacing w:after="0"/>
              <w:rPr>
                <w:sz w:val="21"/>
                <w:szCs w:val="21"/>
                <w:color w:val="auto"/>
              </w:rPr>
            </w:pPr>
          </w:p>
        </w:tc>
      </w:tr>
      <w:tr>
        <w:trPr>
          <w:trHeight w:val="247"/>
        </w:trPr>
        <w:tc>
          <w:tcPr>
            <w:tcW w:w="6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2024</w:t>
            </w:r>
          </w:p>
        </w:tc>
        <w:tc>
          <w:tcPr>
            <w:tcW w:w="420" w:type="dxa"/>
            <w:vAlign w:val="bottom"/>
          </w:tcPr>
          <w:p>
            <w:pPr>
              <w:spacing w:after="0"/>
              <w:rPr>
                <w:sz w:val="21"/>
                <w:szCs w:val="21"/>
                <w:color w:val="auto"/>
              </w:rPr>
            </w:pPr>
          </w:p>
        </w:tc>
      </w:tr>
      <w:tr>
        <w:trPr>
          <w:trHeight w:val="33"/>
        </w:trPr>
        <w:tc>
          <w:tcPr>
            <w:tcW w:w="660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70"/>
        </w:trPr>
        <w:tc>
          <w:tcPr>
            <w:tcW w:w="66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Trade receivables</w:t>
            </w:r>
          </w:p>
        </w:tc>
        <w:tc>
          <w:tcPr>
            <w:tcW w:w="900" w:type="dxa"/>
            <w:vAlign w:val="bottom"/>
            <w:tcBorders>
              <w:bottom w:val="single" w:sz="8" w:color="E6E6E6"/>
            </w:tcBorders>
            <w:shd w:val="clear" w:color="auto" w:fill="E6E6E6"/>
          </w:tcPr>
          <w:p>
            <w:pPr>
              <w:jc w:val="right"/>
              <w:ind w:right="6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95</w:t>
            </w:r>
          </w:p>
        </w:tc>
        <w:tc>
          <w:tcPr>
            <w:tcW w:w="960" w:type="dxa"/>
            <w:vAlign w:val="bottom"/>
            <w:tcBorders>
              <w:bottom w:val="single" w:sz="8" w:color="E6E6E6"/>
            </w:tcBorders>
            <w:gridSpan w:val="2"/>
            <w:shd w:val="clear" w:color="auto" w:fill="E6E6E6"/>
          </w:tcPr>
          <w:p>
            <w:pPr>
              <w:jc w:val="right"/>
              <w:ind w:right="6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100</w:t>
            </w:r>
          </w:p>
        </w:tc>
      </w:tr>
      <w:tr>
        <w:trPr>
          <w:trHeight w:val="258"/>
        </w:trPr>
        <w:tc>
          <w:tcPr>
            <w:tcW w:w="6600" w:type="dxa"/>
            <w:vAlign w:val="bottom"/>
          </w:tcPr>
          <w:p>
            <w:pPr>
              <w:ind w:left="40"/>
              <w:spacing w:after="0"/>
              <w:rPr>
                <w:sz w:val="20"/>
                <w:szCs w:val="20"/>
                <w:color w:val="auto"/>
              </w:rPr>
            </w:pPr>
            <w:r>
              <w:rPr>
                <w:rFonts w:ascii="Arial" w:cs="Arial" w:eastAsia="Arial" w:hAnsi="Arial"/>
                <w:sz w:val="18"/>
                <w:szCs w:val="18"/>
                <w:color w:val="auto"/>
              </w:rPr>
              <w:t>Income tax receivables</w:t>
            </w:r>
          </w:p>
        </w:tc>
        <w:tc>
          <w:tcPr>
            <w:tcW w:w="9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2"/>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r>
      <w:tr>
        <w:trPr>
          <w:trHeight w:val="280"/>
        </w:trPr>
        <w:tc>
          <w:tcPr>
            <w:tcW w:w="66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Other receivables</w:t>
            </w:r>
          </w:p>
        </w:tc>
        <w:tc>
          <w:tcPr>
            <w:tcW w:w="90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21</w:t>
            </w:r>
          </w:p>
        </w:tc>
      </w:tr>
      <w:tr>
        <w:trPr>
          <w:trHeight w:val="258"/>
        </w:trPr>
        <w:tc>
          <w:tcPr>
            <w:tcW w:w="660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9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
        </w:trPr>
        <w:tc>
          <w:tcPr>
            <w:tcW w:w="660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300"/>
        </w:trPr>
        <w:tc>
          <w:tcPr>
            <w:tcW w:w="660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8"/>
                <w:szCs w:val="18"/>
                <w:b w:val="1"/>
                <w:bCs w:val="1"/>
                <w:color w:val="auto"/>
              </w:rPr>
              <w:t>Total Receivables</w:t>
            </w:r>
          </w:p>
        </w:tc>
        <w:tc>
          <w:tcPr>
            <w:tcW w:w="900" w:type="dxa"/>
            <w:vAlign w:val="bottom"/>
            <w:tcBorders>
              <w:bottom w:val="single" w:sz="8" w:color="auto"/>
            </w:tcBorders>
            <w:shd w:val="clear" w:color="auto" w:fill="E6E6E6"/>
          </w:tcPr>
          <w:p>
            <w:pPr>
              <w:jc w:val="right"/>
              <w:ind w:right="67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127</w:t>
            </w:r>
          </w:p>
        </w:tc>
        <w:tc>
          <w:tcPr>
            <w:tcW w:w="6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ind w:right="67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-983615</wp:posOffset>
            </wp:positionV>
            <wp:extent cx="173037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21">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-221615</wp:posOffset>
            </wp:positionV>
            <wp:extent cx="173037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22">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-43815</wp:posOffset>
            </wp:positionV>
            <wp:extent cx="1730375" cy="50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23">
                      <a:extLst>
                        <a:ext uri="{28A0092B-C50C-407E-A947-70E740481C1C}"/>
                      </a:extLst>
                    </a:blip>
                    <a:srcRect/>
                    <a:stretch>
                      <a:fillRect/>
                    </a:stretch>
                  </pic:blipFill>
                  <pic:spPr bwMode="auto">
                    <a:xfrm>
                      <a:off x="0" y="0"/>
                      <a:ext cx="1730375" cy="50800"/>
                    </a:xfrm>
                    <a:prstGeom prst="rect">
                      <a:avLst/>
                    </a:prstGeom>
                    <a:noFill/>
                  </pic:spPr>
                </pic:pic>
              </a:graphicData>
            </a:graphic>
          </wp:anchor>
        </w:drawing>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Trade receivables are primarily generated by sales of our products to our wholesale and retail customers. Other receivables at December 31, 2025 and 2024 primarily consisted of sales tax receivables and other miscellaneous receivables.</w:t>
      </w:r>
    </w:p>
    <w:p>
      <w:pPr>
        <w:sectPr>
          <w:pgSz w:w="11880" w:h="15480" w:orient="portrait"/>
          <w:cols w:equalWidth="0" w:num="1">
            <w:col w:w="9360"/>
          </w:cols>
          <w:pgMar w:left="1260" w:top="144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9360"/>
          </w:cols>
          <w:pgMar w:left="1260" w:top="1440" w:right="1260" w:bottom="225" w:gutter="0" w:footer="0" w:header="0"/>
          <w:type w:val="continuous"/>
        </w:sectPr>
      </w:pPr>
    </w:p>
    <w:bookmarkStart w:id="69" w:name="page70"/>
    <w:bookmarkEnd w:id="69"/>
    <w:p>
      <w:pPr>
        <w:spacing w:after="0"/>
        <w:rPr>
          <w:sz w:val="20"/>
          <w:szCs w:val="20"/>
          <w:color w:val="auto"/>
        </w:rPr>
      </w:pPr>
      <w:r>
        <w:rPr>
          <w:rFonts w:ascii="Arial" w:cs="Arial" w:eastAsia="Arial" w:hAnsi="Arial"/>
          <w:sz w:val="20"/>
          <w:szCs w:val="20"/>
          <w:b w:val="1"/>
          <w:bCs w:val="1"/>
          <w:color w:val="auto"/>
        </w:rPr>
        <w:t>Fair Value Measurements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(1) recurring, measured on a periodic basis, and (2) non-recurring, measured on an as-needed basis.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There are three levels of inputs that may be used to measure fair value:</w:t>
      </w:r>
    </w:p>
    <w:p>
      <w:pPr>
        <w:spacing w:after="0" w:line="130" w:lineRule="exact"/>
        <w:rPr>
          <w:sz w:val="20"/>
          <w:szCs w:val="20"/>
          <w:color w:val="auto"/>
        </w:rPr>
      </w:pPr>
    </w:p>
    <w:p>
      <w:pPr>
        <w:jc w:val="both"/>
        <w:ind w:left="1080" w:hanging="1079"/>
        <w:spacing w:after="0" w:line="283" w:lineRule="auto"/>
        <w:tabs>
          <w:tab w:leader="none" w:pos="1060" w:val="left"/>
        </w:tabs>
        <w:rPr>
          <w:sz w:val="20"/>
          <w:szCs w:val="20"/>
          <w:color w:val="auto"/>
        </w:rPr>
      </w:pPr>
      <w:r>
        <w:rPr>
          <w:rFonts w:ascii="Arial" w:cs="Arial" w:eastAsia="Arial" w:hAnsi="Arial"/>
          <w:sz w:val="20"/>
          <w:szCs w:val="20"/>
          <w:color w:val="auto"/>
        </w:rPr>
        <w:t>Level 1</w:t>
      </w:r>
      <w:r>
        <w:rPr>
          <w:sz w:val="20"/>
          <w:szCs w:val="20"/>
          <w:color w:val="auto"/>
        </w:rPr>
        <w:tab/>
      </w:r>
      <w:r>
        <w:rPr>
          <w:rFonts w:ascii="Arial" w:cs="Arial" w:eastAsia="Arial" w:hAnsi="Arial"/>
          <w:sz w:val="20"/>
          <w:szCs w:val="20"/>
          <w:color w:val="auto"/>
        </w:rPr>
        <w:t>Unadjusted quoted prices in active markets that are accessible at the measurement date for identical, unrestricted assets or liabilities.</w:t>
      </w:r>
    </w:p>
    <w:p>
      <w:pPr>
        <w:spacing w:after="0" w:line="58" w:lineRule="exact"/>
        <w:rPr>
          <w:sz w:val="20"/>
          <w:szCs w:val="20"/>
          <w:color w:val="auto"/>
        </w:rPr>
      </w:pPr>
    </w:p>
    <w:p>
      <w:pPr>
        <w:jc w:val="both"/>
        <w:ind w:left="1080" w:hanging="1079"/>
        <w:spacing w:after="0" w:line="266" w:lineRule="auto"/>
        <w:tabs>
          <w:tab w:leader="none" w:pos="1060" w:val="left"/>
        </w:tabs>
        <w:rPr>
          <w:sz w:val="20"/>
          <w:szCs w:val="20"/>
          <w:color w:val="auto"/>
        </w:rPr>
      </w:pPr>
      <w:r>
        <w:rPr>
          <w:rFonts w:ascii="Arial" w:cs="Arial" w:eastAsia="Arial" w:hAnsi="Arial"/>
          <w:sz w:val="20"/>
          <w:szCs w:val="20"/>
          <w:color w:val="auto"/>
        </w:rPr>
        <w:t>Level 2</w:t>
      </w:r>
      <w:r>
        <w:rPr>
          <w:sz w:val="20"/>
          <w:szCs w:val="20"/>
          <w:color w:val="auto"/>
        </w:rPr>
        <w:tab/>
      </w:r>
      <w:r>
        <w:rPr>
          <w:rFonts w:ascii="Arial" w:cs="Arial" w:eastAsia="Arial" w:hAnsi="Arial"/>
          <w:sz w:val="20"/>
          <w:szCs w:val="20"/>
          <w:color w:val="auto"/>
        </w:rPr>
        <w:t>Quoted prices for similar assets or liabilities in active markets; quoted prices for identical or similar assets or liabilities in inactive markets; or valuations based on models where the significant inputs are observable or can be corroborated by observable market data.</w:t>
      </w:r>
    </w:p>
    <w:p>
      <w:pPr>
        <w:spacing w:after="0" w:line="75" w:lineRule="exact"/>
        <w:rPr>
          <w:sz w:val="20"/>
          <w:szCs w:val="20"/>
          <w:color w:val="auto"/>
        </w:rPr>
      </w:pPr>
    </w:p>
    <w:p>
      <w:pPr>
        <w:jc w:val="both"/>
        <w:ind w:left="1080" w:hanging="1079"/>
        <w:spacing w:after="0" w:line="266" w:lineRule="auto"/>
        <w:tabs>
          <w:tab w:leader="none" w:pos="1060" w:val="left"/>
        </w:tabs>
        <w:rPr>
          <w:sz w:val="20"/>
          <w:szCs w:val="20"/>
          <w:color w:val="auto"/>
        </w:rPr>
      </w:pPr>
      <w:r>
        <w:rPr>
          <w:rFonts w:ascii="Arial" w:cs="Arial" w:eastAsia="Arial" w:hAnsi="Arial"/>
          <w:sz w:val="20"/>
          <w:szCs w:val="20"/>
          <w:color w:val="auto"/>
        </w:rPr>
        <w:t>Level 3</w:t>
      </w:r>
      <w:r>
        <w:rPr>
          <w:sz w:val="20"/>
          <w:szCs w:val="20"/>
          <w:color w:val="auto"/>
        </w:rPr>
        <w:tab/>
      </w:r>
      <w:r>
        <w:rPr>
          <w:rFonts w:ascii="Arial" w:cs="Arial" w:eastAsia="Arial" w:hAnsi="Arial"/>
          <w:sz w:val="20"/>
          <w:szCs w:val="20"/>
          <w:color w:val="auto"/>
        </w:rPr>
        <w:t>Valuations based on models where significant inputs are not observable. Unobservable inputs are used when little or no market data is available and reflect the Company’s own assumptions about the assumptions market participants would use.</w:t>
      </w:r>
    </w:p>
    <w:p>
      <w:pPr>
        <w:spacing w:after="0" w:line="7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Company’s financial instruments consist of cash and cash equivalents, short-term receivables, trade payables, debt instruments, and trading securities. Carrying amounts reported on the balance sheet for cash and cash equivalents, receivables, and accounts payable approximate fair value due to the short-term maturity of these instruments. See “Note 8 - Long Term Debt” below for further information regarding the fair value of long-term debt instruments.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Trading securities consist of rabbi trust financial assets, which are recorded in other assets in our Consolidated Balance Sheets. The rabbi trust holds assets attributable to the elections of certain management employees to defer the receipt of a portion of their compensation. The assets of the rabbi trust are invested in mutual funds and are reported at fair value based on active market quotations, which represent Level 1 inputs.</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Inventories</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Inventories are valued at the lower of cost or net realizable value. Inventory costs include materials, labor, and operating overhead. The FIFO (first-in, first-out) or average cost methods are used to value our inventories as of December 31, 2025. Inventories include a lower of cost or market adjustment of $23 million and $9 million as of December 31, 2025, and 2024, respectively. Inventory consisted of the following (dollar amounts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680" w:type="dxa"/>
            <w:vAlign w:val="bottom"/>
          </w:tcPr>
          <w:p>
            <w:pPr>
              <w:spacing w:after="0"/>
              <w:rPr>
                <w:sz w:val="21"/>
                <w:szCs w:val="21"/>
                <w:color w:val="auto"/>
              </w:rPr>
            </w:pPr>
          </w:p>
        </w:tc>
        <w:tc>
          <w:tcPr>
            <w:tcW w:w="22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Borders>
              <w:bottom w:val="single" w:sz="8" w:color="auto"/>
            </w:tcBorders>
          </w:tcPr>
          <w:p>
            <w:pPr>
              <w:spacing w:after="0"/>
              <w:rPr>
                <w:sz w:val="21"/>
                <w:szCs w:val="21"/>
                <w:color w:val="auto"/>
              </w:rPr>
            </w:pPr>
          </w:p>
        </w:tc>
      </w:tr>
      <w:tr>
        <w:trPr>
          <w:trHeight w:val="247"/>
        </w:trPr>
        <w:tc>
          <w:tcPr>
            <w:tcW w:w="66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2024</w:t>
            </w:r>
          </w:p>
        </w:tc>
        <w:tc>
          <w:tcPr>
            <w:tcW w:w="400" w:type="dxa"/>
            <w:vAlign w:val="bottom"/>
          </w:tcPr>
          <w:p>
            <w:pPr>
              <w:spacing w:after="0"/>
              <w:rPr>
                <w:sz w:val="21"/>
                <w:szCs w:val="21"/>
                <w:color w:val="auto"/>
              </w:rPr>
            </w:pPr>
          </w:p>
        </w:tc>
      </w:tr>
      <w:tr>
        <w:trPr>
          <w:trHeight w:val="33"/>
        </w:trPr>
        <w:tc>
          <w:tcPr>
            <w:tcW w:w="668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70"/>
        </w:trPr>
        <w:tc>
          <w:tcPr>
            <w:tcW w:w="6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Logs</w:t>
            </w:r>
          </w:p>
        </w:tc>
        <w:tc>
          <w:tcPr>
            <w:tcW w:w="900" w:type="dxa"/>
            <w:vAlign w:val="bottom"/>
            <w:tcBorders>
              <w:bottom w:val="single" w:sz="8" w:color="E6E6E6"/>
            </w:tcBorders>
            <w:shd w:val="clear" w:color="auto" w:fill="E6E6E6"/>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62</w:t>
            </w:r>
          </w:p>
        </w:tc>
        <w:tc>
          <w:tcPr>
            <w:tcW w:w="980" w:type="dxa"/>
            <w:vAlign w:val="bottom"/>
            <w:tcBorders>
              <w:bottom w:val="single" w:sz="8" w:color="E6E6E6"/>
            </w:tcBorders>
            <w:gridSpan w:val="2"/>
            <w:shd w:val="clear" w:color="auto" w:fill="E6E6E6"/>
          </w:tcPr>
          <w:p>
            <w:pPr>
              <w:jc w:val="right"/>
              <w:ind w:right="7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64</w:t>
            </w:r>
          </w:p>
        </w:tc>
      </w:tr>
      <w:tr>
        <w:trPr>
          <w:trHeight w:val="258"/>
        </w:trPr>
        <w:tc>
          <w:tcPr>
            <w:tcW w:w="6680" w:type="dxa"/>
            <w:vAlign w:val="bottom"/>
          </w:tcPr>
          <w:p>
            <w:pPr>
              <w:ind w:left="60"/>
              <w:spacing w:after="0"/>
              <w:rPr>
                <w:sz w:val="20"/>
                <w:szCs w:val="20"/>
                <w:color w:val="auto"/>
              </w:rPr>
            </w:pPr>
            <w:r>
              <w:rPr>
                <w:rFonts w:ascii="Arial" w:cs="Arial" w:eastAsia="Arial" w:hAnsi="Arial"/>
                <w:sz w:val="18"/>
                <w:szCs w:val="18"/>
                <w:color w:val="auto"/>
              </w:rPr>
              <w:t>Other raw materials</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2"/>
        </w:trPr>
        <w:tc>
          <w:tcPr>
            <w:tcW w:w="6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280"/>
        </w:trPr>
        <w:tc>
          <w:tcPr>
            <w:tcW w:w="6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Semi-finished inventory</w:t>
            </w: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33</w:t>
            </w:r>
          </w:p>
        </w:tc>
      </w:tr>
      <w:tr>
        <w:trPr>
          <w:trHeight w:val="258"/>
        </w:trPr>
        <w:tc>
          <w:tcPr>
            <w:tcW w:w="6680" w:type="dxa"/>
            <w:vAlign w:val="bottom"/>
          </w:tcPr>
          <w:p>
            <w:pPr>
              <w:ind w:left="60"/>
              <w:spacing w:after="0"/>
              <w:rPr>
                <w:sz w:val="20"/>
                <w:szCs w:val="20"/>
                <w:color w:val="auto"/>
              </w:rPr>
            </w:pPr>
            <w:r>
              <w:rPr>
                <w:rFonts w:ascii="Arial" w:cs="Arial" w:eastAsia="Arial" w:hAnsi="Arial"/>
                <w:sz w:val="18"/>
                <w:szCs w:val="18"/>
                <w:color w:val="auto"/>
              </w:rPr>
              <w:t>Finished products</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222</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220</w:t>
            </w:r>
          </w:p>
        </w:tc>
      </w:tr>
      <w:tr>
        <w:trPr>
          <w:trHeight w:val="32"/>
        </w:trPr>
        <w:tc>
          <w:tcPr>
            <w:tcW w:w="668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80"/>
        </w:trPr>
        <w:tc>
          <w:tcPr>
            <w:tcW w:w="6680" w:type="dxa"/>
            <w:vAlign w:val="bottom"/>
            <w:shd w:val="clear" w:color="auto" w:fill="E6E6E6"/>
          </w:tcPr>
          <w:p>
            <w:pPr>
              <w:ind w:left="180"/>
              <w:spacing w:after="0"/>
              <w:rPr>
                <w:sz w:val="20"/>
                <w:szCs w:val="20"/>
                <w:color w:val="auto"/>
              </w:rPr>
            </w:pPr>
            <w:r>
              <w:rPr>
                <w:rFonts w:ascii="Arial" w:cs="Arial" w:eastAsia="Arial" w:hAnsi="Arial"/>
                <w:sz w:val="18"/>
                <w:szCs w:val="18"/>
                <w:b w:val="1"/>
                <w:bCs w:val="1"/>
                <w:color w:val="auto"/>
              </w:rPr>
              <w:t>Total Inventories</w:t>
            </w:r>
          </w:p>
        </w:tc>
        <w:tc>
          <w:tcPr>
            <w:tcW w:w="900" w:type="dxa"/>
            <w:vAlign w:val="bottom"/>
            <w:shd w:val="clear" w:color="auto" w:fill="E6E6E6"/>
          </w:tcPr>
          <w:p>
            <w:pPr>
              <w:jc w:val="right"/>
              <w:ind w:right="67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w w:val="99"/>
              </w:rPr>
              <w:t>363</w:t>
            </w:r>
          </w:p>
        </w:tc>
        <w:tc>
          <w:tcPr>
            <w:tcW w:w="980" w:type="dxa"/>
            <w:vAlign w:val="bottom"/>
            <w:gridSpan w:val="2"/>
            <w:shd w:val="clear" w:color="auto" w:fill="E6E6E6"/>
          </w:tcPr>
          <w:p>
            <w:pPr>
              <w:jc w:val="right"/>
              <w:ind w:right="76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w w:val="99"/>
              </w:rPr>
              <w:t>357</w:t>
            </w:r>
          </w:p>
        </w:tc>
      </w:tr>
      <w:tr>
        <w:trPr>
          <w:trHeight w:val="20"/>
        </w:trPr>
        <w:tc>
          <w:tcPr>
            <w:tcW w:w="6680" w:type="dxa"/>
            <w:vAlign w:val="bottom"/>
            <w:tcBorders>
              <w:top w:val="single" w:sz="8" w:color="E6E6E6"/>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-983615</wp:posOffset>
            </wp:positionV>
            <wp:extent cx="173037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24">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-221615</wp:posOffset>
            </wp:positionV>
            <wp:extent cx="173037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25">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-43815</wp:posOffset>
            </wp:positionV>
            <wp:extent cx="1730375" cy="50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26">
                      <a:extLst>
                        <a:ext uri="{28A0092B-C50C-407E-A947-70E740481C1C}"/>
                      </a:extLst>
                    </a:blip>
                    <a:srcRect/>
                    <a:stretch>
                      <a:fillRect/>
                    </a:stretch>
                  </pic:blipFill>
                  <pic:spPr bwMode="auto">
                    <a:xfrm>
                      <a:off x="0" y="0"/>
                      <a:ext cx="1730375" cy="50800"/>
                    </a:xfrm>
                    <a:prstGeom prst="rect">
                      <a:avLst/>
                    </a:prstGeom>
                    <a:noFill/>
                  </pic:spPr>
                </pic:pic>
              </a:graphicData>
            </a:graphic>
          </wp:anchor>
        </w:drawing>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9360"/>
          </w:cols>
          <w:pgMar w:left="1260" w:top="1190" w:right="1260" w:bottom="225" w:gutter="0" w:footer="0" w:header="0"/>
          <w:type w:val="continuous"/>
        </w:sectPr>
      </w:pPr>
    </w:p>
    <w:bookmarkStart w:id="70" w:name="page71"/>
    <w:bookmarkEnd w:id="70"/>
    <w:p>
      <w:pPr>
        <w:spacing w:after="0"/>
        <w:rPr>
          <w:sz w:val="20"/>
          <w:szCs w:val="20"/>
          <w:color w:val="auto"/>
        </w:rPr>
      </w:pPr>
      <w:r>
        <w:rPr>
          <w:rFonts w:ascii="Arial" w:cs="Arial" w:eastAsia="Arial" w:hAnsi="Arial"/>
          <w:sz w:val="20"/>
          <w:szCs w:val="20"/>
          <w:b w:val="1"/>
          <w:bCs w:val="1"/>
          <w:color w:val="auto"/>
        </w:rPr>
        <w:t>Property, Plant, and Equipment</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Property, plant, and equipment, including capitalized interest, are recorded at cost and consisted of the following (dollar amounts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December 31,</w:t>
            </w:r>
          </w:p>
        </w:tc>
      </w:tr>
      <w:tr>
        <w:trPr>
          <w:trHeight w:val="247"/>
        </w:trPr>
        <w:tc>
          <w:tcPr>
            <w:tcW w:w="6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r>
      <w:tr>
        <w:trPr>
          <w:trHeight w:val="33"/>
        </w:trPr>
        <w:tc>
          <w:tcPr>
            <w:tcW w:w="66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0"/>
        </w:trPr>
        <w:tc>
          <w:tcPr>
            <w:tcW w:w="6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Land, land improvements, and logging roads, net of road amortization</w:t>
            </w:r>
          </w:p>
        </w:tc>
        <w:tc>
          <w:tcPr>
            <w:tcW w:w="300" w:type="dxa"/>
            <w:vAlign w:val="bottom"/>
            <w:tcBorders>
              <w:bottom w:val="single" w:sz="8" w:color="E6E6E6"/>
            </w:tcBorders>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225</w:t>
            </w:r>
          </w:p>
        </w:tc>
        <w:tc>
          <w:tcPr>
            <w:tcW w:w="380" w:type="dxa"/>
            <w:vAlign w:val="bottom"/>
            <w:tcBorders>
              <w:bottom w:val="single" w:sz="8" w:color="E6E6E6"/>
            </w:tcBorders>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215</w:t>
            </w:r>
          </w:p>
        </w:tc>
      </w:tr>
      <w:tr>
        <w:trPr>
          <w:trHeight w:val="258"/>
        </w:trPr>
        <w:tc>
          <w:tcPr>
            <w:tcW w:w="6680" w:type="dxa"/>
            <w:vAlign w:val="bottom"/>
          </w:tcPr>
          <w:p>
            <w:pPr>
              <w:ind w:left="60"/>
              <w:spacing w:after="0"/>
              <w:rPr>
                <w:sz w:val="20"/>
                <w:szCs w:val="20"/>
                <w:color w:val="auto"/>
              </w:rPr>
            </w:pPr>
            <w:r>
              <w:rPr>
                <w:rFonts w:ascii="Arial" w:cs="Arial" w:eastAsia="Arial" w:hAnsi="Arial"/>
                <w:sz w:val="18"/>
                <w:szCs w:val="18"/>
                <w:color w:val="auto"/>
              </w:rPr>
              <w:t>Buildings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42"/>
        </w:trPr>
        <w:tc>
          <w:tcPr>
            <w:tcW w:w="6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6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Machinery and equipment</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2,602</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2,457</w:t>
            </w:r>
          </w:p>
        </w:tc>
      </w:tr>
      <w:tr>
        <w:trPr>
          <w:trHeight w:val="258"/>
        </w:trPr>
        <w:tc>
          <w:tcPr>
            <w:tcW w:w="6680" w:type="dxa"/>
            <w:vAlign w:val="bottom"/>
          </w:tcPr>
          <w:p>
            <w:pPr>
              <w:ind w:left="60"/>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32"/>
        </w:trPr>
        <w:tc>
          <w:tcPr>
            <w:tcW w:w="66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0"/>
        </w:trPr>
        <w:tc>
          <w:tcPr>
            <w:tcW w:w="668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b w:val="1"/>
                <w:bCs w:val="1"/>
                <w:color w:val="auto"/>
              </w:rPr>
              <w:t>Property, plant, and equipment</w:t>
            </w:r>
          </w:p>
        </w:tc>
        <w:tc>
          <w:tcPr>
            <w:tcW w:w="30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3,650</w:t>
            </w:r>
          </w:p>
        </w:tc>
        <w:tc>
          <w:tcPr>
            <w:tcW w:w="8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3,419</w:t>
            </w:r>
          </w:p>
        </w:tc>
      </w:tr>
      <w:tr>
        <w:trPr>
          <w:trHeight w:val="258"/>
        </w:trPr>
        <w:tc>
          <w:tcPr>
            <w:tcW w:w="6680" w:type="dxa"/>
            <w:vAlign w:val="bottom"/>
          </w:tcPr>
          <w:p>
            <w:pPr>
              <w:ind w:left="60"/>
              <w:spacing w:after="0"/>
              <w:rPr>
                <w:sz w:val="20"/>
                <w:szCs w:val="20"/>
                <w:color w:val="auto"/>
              </w:rPr>
            </w:pPr>
            <w:r>
              <w:rPr>
                <w:rFonts w:ascii="Arial" w:cs="Arial" w:eastAsia="Arial" w:hAnsi="Arial"/>
                <w:sz w:val="18"/>
                <w:szCs w:val="18"/>
                <w:color w:val="auto"/>
              </w:rPr>
              <w:t>Accumulated depreciation</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32"/>
        </w:trPr>
        <w:tc>
          <w:tcPr>
            <w:tcW w:w="66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0"/>
        </w:trPr>
        <w:tc>
          <w:tcPr>
            <w:tcW w:w="6680" w:type="dxa"/>
            <w:vAlign w:val="bottom"/>
            <w:shd w:val="clear" w:color="auto" w:fill="E6E6E6"/>
          </w:tcPr>
          <w:p>
            <w:pPr>
              <w:ind w:left="180"/>
              <w:spacing w:after="0"/>
              <w:rPr>
                <w:sz w:val="20"/>
                <w:szCs w:val="20"/>
                <w:color w:val="auto"/>
              </w:rPr>
            </w:pPr>
            <w:r>
              <w:rPr>
                <w:rFonts w:ascii="Arial" w:cs="Arial" w:eastAsia="Arial" w:hAnsi="Arial"/>
                <w:sz w:val="18"/>
                <w:szCs w:val="18"/>
                <w:b w:val="1"/>
                <w:bCs w:val="1"/>
                <w:color w:val="auto"/>
              </w:rPr>
              <w:t>Property, plant, and equipment, net</w:t>
            </w:r>
          </w:p>
        </w:tc>
        <w:tc>
          <w:tcPr>
            <w:tcW w:w="300" w:type="dxa"/>
            <w:vAlign w:val="bottom"/>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1,709</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1,579</w:t>
            </w:r>
          </w:p>
        </w:tc>
      </w:tr>
      <w:tr>
        <w:trPr>
          <w:trHeight w:val="20"/>
        </w:trPr>
        <w:tc>
          <w:tcPr>
            <w:tcW w:w="6680" w:type="dxa"/>
            <w:vAlign w:val="bottom"/>
            <w:tcBorders>
              <w:top w:val="single" w:sz="8" w:color="E6E6E6"/>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-1364615</wp:posOffset>
            </wp:positionV>
            <wp:extent cx="173037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27">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-602615</wp:posOffset>
            </wp:positionV>
            <wp:extent cx="173037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28">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-221615</wp:posOffset>
            </wp:positionV>
            <wp:extent cx="173037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29">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-43815</wp:posOffset>
            </wp:positionV>
            <wp:extent cx="173037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30">
                      <a:extLst>
                        <a:ext uri="{28A0092B-C50C-407E-A947-70E740481C1C}"/>
                      </a:extLst>
                    </a:blip>
                    <a:srcRect/>
                    <a:stretch>
                      <a:fillRect/>
                    </a:stretch>
                  </pic:blipFill>
                  <pic:spPr bwMode="auto">
                    <a:xfrm>
                      <a:off x="0" y="0"/>
                      <a:ext cx="1730375" cy="25400"/>
                    </a:xfrm>
                    <a:prstGeom prst="rect">
                      <a:avLst/>
                    </a:prstGeom>
                    <a:noFill/>
                  </pic:spPr>
                </pic:pic>
              </a:graphicData>
            </a:graphic>
          </wp:anchor>
        </w:drawing>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Depreciation is calculated on a straight-line basis over the estimated useful lives of the assets, which typically range from 5 to 20 years for buildings and land improvements, 3 to 15 years for machinery and equipment, and the shorter of the lease terms or estimated useful lives for leasehold improvements.</w:t>
      </w:r>
    </w:p>
    <w:p>
      <w:pPr>
        <w:spacing w:after="0" w:line="7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Depreciation and amortization expense on property, plant, and equipment was included in our Consolidated Statements of Income as noted below (dollar amounts in millions):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26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95"/>
              </w:rPr>
              <w:t>Year Ended December 31,</w:t>
            </w:r>
          </w:p>
        </w:tc>
        <w:tc>
          <w:tcPr>
            <w:tcW w:w="920" w:type="dxa"/>
            <w:vAlign w:val="bottom"/>
            <w:tcBorders>
              <w:bottom w:val="single" w:sz="8" w:color="auto"/>
            </w:tcBorders>
          </w:tcPr>
          <w:p>
            <w:pPr>
              <w:spacing w:after="0"/>
              <w:rPr>
                <w:sz w:val="21"/>
                <w:szCs w:val="21"/>
                <w:color w:val="auto"/>
              </w:rPr>
            </w:pPr>
          </w:p>
        </w:tc>
      </w:tr>
      <w:tr>
        <w:trPr>
          <w:trHeight w:val="247"/>
        </w:trPr>
        <w:tc>
          <w:tcPr>
            <w:tcW w:w="5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33"/>
        </w:trPr>
        <w:tc>
          <w:tcPr>
            <w:tcW w:w="526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2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Cost of sales</w:t>
            </w:r>
          </w:p>
        </w:tc>
        <w:tc>
          <w:tcPr>
            <w:tcW w:w="900" w:type="dxa"/>
            <w:vAlign w:val="bottom"/>
            <w:tcBorders>
              <w:bottom w:val="single" w:sz="8" w:color="E6E6E6"/>
            </w:tcBorders>
            <w:shd w:val="clear" w:color="auto" w:fill="E6E6E6"/>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134</w:t>
            </w:r>
          </w:p>
        </w:tc>
        <w:tc>
          <w:tcPr>
            <w:tcW w:w="380" w:type="dxa"/>
            <w:vAlign w:val="bottom"/>
            <w:tcBorders>
              <w:bottom w:val="single" w:sz="8" w:color="E6E6E6"/>
            </w:tcBorders>
            <w:gridSpan w:val="2"/>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120</w:t>
            </w:r>
          </w:p>
        </w:tc>
        <w:tc>
          <w:tcPr>
            <w:tcW w:w="460" w:type="dxa"/>
            <w:vAlign w:val="bottom"/>
            <w:tcBorders>
              <w:bottom w:val="single" w:sz="8" w:color="E6E6E6"/>
            </w:tcBorders>
            <w:gridSpan w:val="2"/>
            <w:shd w:val="clear" w:color="auto" w:fill="E6E6E6"/>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111</w:t>
            </w:r>
          </w:p>
        </w:tc>
      </w:tr>
      <w:tr>
        <w:trPr>
          <w:trHeight w:val="258"/>
        </w:trPr>
        <w:tc>
          <w:tcPr>
            <w:tcW w:w="52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
        </w:trPr>
        <w:tc>
          <w:tcPr>
            <w:tcW w:w="526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00"/>
        </w:trPr>
        <w:tc>
          <w:tcPr>
            <w:tcW w:w="52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8"/>
                <w:szCs w:val="18"/>
                <w:b w:val="1"/>
                <w:bCs w:val="1"/>
                <w:color w:val="auto"/>
              </w:rPr>
              <w:t>Total depreciation and amortization</w:t>
            </w:r>
          </w:p>
        </w:tc>
        <w:tc>
          <w:tcPr>
            <w:tcW w:w="900" w:type="dxa"/>
            <w:vAlign w:val="bottom"/>
            <w:tcBorders>
              <w:bottom w:val="single" w:sz="8" w:color="auto"/>
            </w:tcBorders>
            <w:shd w:val="clear" w:color="auto" w:fill="E6E6E6"/>
          </w:tcPr>
          <w:p>
            <w:pPr>
              <w:jc w:val="right"/>
              <w:ind w:right="6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138</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123</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-602615</wp:posOffset>
            </wp:positionV>
            <wp:extent cx="260667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31">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-221615</wp:posOffset>
            </wp:positionV>
            <wp:extent cx="260667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32">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-43815</wp:posOffset>
            </wp:positionV>
            <wp:extent cx="2606675" cy="508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33">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spacing w:after="0" w:line="10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Logging road construction costs are capitalized and included in land and land improvements. These costs are amortized as the timber volume adjacent to the road system is harvested.</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Long-lived assets to be held and used (primarily property, plant, and equipment and timber and timberlands) are reviewed for impairment when events or changes in circumstances indicate that the carrying amount of the assets may not be recoverable. When impairment is indicated, the book values of the assets are written down to their estimated fair value as calculated by the expected discounted cash flow or estimated net sales price. See “Note 11 - Impairment of Long-Lived Assets” below for a discussion of charges related to impairments of property, plant, and equipment.</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Long-lived assets that are held for sale are written down to the estimated sales proceeds less cost to sell unless the estimated net proceeds exceed the carrying value.</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9360"/>
          </w:cols>
          <w:pgMar w:left="1260" w:top="1190" w:right="1260" w:bottom="225" w:gutter="0" w:footer="0" w:header="0"/>
          <w:type w:val="continuous"/>
        </w:sectPr>
      </w:pPr>
    </w:p>
    <w:bookmarkStart w:id="71" w:name="page72"/>
    <w:bookmarkEnd w:id="71"/>
    <w:p>
      <w:pPr>
        <w:spacing w:after="0"/>
        <w:rPr>
          <w:sz w:val="20"/>
          <w:szCs w:val="20"/>
          <w:color w:val="auto"/>
        </w:rPr>
      </w:pPr>
      <w:r>
        <w:rPr>
          <w:rFonts w:ascii="Arial" w:cs="Arial" w:eastAsia="Arial" w:hAnsi="Arial"/>
          <w:sz w:val="20"/>
          <w:szCs w:val="20"/>
          <w:b w:val="1"/>
          <w:bCs w:val="1"/>
          <w:color w:val="auto"/>
        </w:rPr>
        <w:t>Goodwill and Intangible Assets</w:t>
      </w:r>
    </w:p>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Goodwill and indefinite-lived intangible assets are assessed annually for impairment during the fourth quarter or earlier upon the occurrence of certain events or substantive changes in circumstances. In accordance with Accounting Standards Codification (ASC) 350, Intangibles – Goodwill and Other, companies may opt to first assess qualitative factors to determine whether it is more likely than not that the fair value of a reporting unit is less than its carrying amount. A qualitative assessment includes factors such as financial performance, industry and market metrics, and other factors affecting the reporting unit. If this assessment concludes that it is more likely than not that the fair value of a reporting unit exceeds its carrying value, then goodwill is not considered impaired, and no further impairment testing is required. Conversely, if the qualitative assessment concludes that it is more likely than not that the fair value of a reporting unit is less than its carrying value, we must then compare the fair value of the reporting unit to its carrying value. Impairment is evaluated by applying a fair value-based test. Impairment losses would be recognized when the quantitative assessment concludes that the carrying amount exceeds the fair value of the reporting unit, limited to the carrying amount of goodwill. No impairment charges were recognized for the year ended December 31, 2025, 2024, and 2023.</w:t>
      </w:r>
    </w:p>
    <w:p>
      <w:pPr>
        <w:spacing w:after="0" w:line="80"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Changes in goodwill and intangible assets for the years ended December 31, 2025 and 2024, are provided in the following table (dollar amounts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Goodwill</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Developed</w:t>
            </w:r>
          </w:p>
        </w:tc>
        <w:tc>
          <w:tcPr>
            <w:tcW w:w="6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Total Goodwill</w:t>
            </w:r>
          </w:p>
        </w:tc>
        <w:tc>
          <w:tcPr>
            <w:tcW w:w="0" w:type="dxa"/>
            <w:vAlign w:val="bottom"/>
          </w:tcPr>
          <w:p>
            <w:pPr>
              <w:spacing w:after="0"/>
              <w:rPr>
                <w:sz w:val="1"/>
                <w:szCs w:val="1"/>
                <w:color w:val="auto"/>
              </w:rPr>
            </w:pPr>
          </w:p>
        </w:tc>
      </w:tr>
      <w:tr>
        <w:trPr>
          <w:trHeight w:val="144"/>
        </w:trPr>
        <w:tc>
          <w:tcPr>
            <w:tcW w:w="5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89"/>
              </w:rPr>
              <w:t>Technology</w:t>
            </w:r>
          </w:p>
        </w:tc>
        <w:tc>
          <w:tcPr>
            <w:tcW w:w="6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2"/>
              </w:rPr>
              <w:t>and Intangibles</w:t>
            </w:r>
          </w:p>
        </w:tc>
        <w:tc>
          <w:tcPr>
            <w:tcW w:w="0" w:type="dxa"/>
            <w:vAlign w:val="bottom"/>
          </w:tcPr>
          <w:p>
            <w:pPr>
              <w:spacing w:after="0"/>
              <w:rPr>
                <w:sz w:val="1"/>
                <w:szCs w:val="1"/>
                <w:color w:val="auto"/>
              </w:rPr>
            </w:pPr>
          </w:p>
        </w:tc>
      </w:tr>
      <w:tr>
        <w:trPr>
          <w:trHeight w:val="86"/>
        </w:trPr>
        <w:tc>
          <w:tcPr>
            <w:tcW w:w="5320" w:type="dxa"/>
            <w:vAlign w:val="bottom"/>
            <w:tcBorders>
              <w:bottom w:val="single" w:sz="8" w:color="E6E6E6"/>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E6E6E6"/>
            </w:tcBorders>
          </w:tcPr>
          <w:p>
            <w:pPr>
              <w:spacing w:after="0"/>
              <w:rPr>
                <w:sz w:val="7"/>
                <w:szCs w:val="7"/>
                <w:color w:val="auto"/>
              </w:rPr>
            </w:pPr>
          </w:p>
        </w:tc>
        <w:tc>
          <w:tcPr>
            <w:tcW w:w="20" w:type="dxa"/>
            <w:vAlign w:val="bottom"/>
            <w:tcBorders>
              <w:bottom w:val="single" w:sz="8" w:color="E6E6E6"/>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60" w:type="dxa"/>
            <w:vAlign w:val="bottom"/>
            <w:tcBorders>
              <w:bottom w:val="single" w:sz="8" w:color="E6E6E6"/>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5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Balance at December 31, 2023</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E6E6E6"/>
            </w:tcBorders>
            <w:gridSpan w:val="3"/>
            <w:shd w:val="clear" w:color="auto" w:fill="E6E6E6"/>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7</w:t>
            </w:r>
          </w:p>
        </w:tc>
        <w:tc>
          <w:tcPr>
            <w:tcW w:w="660" w:type="dxa"/>
            <w:vAlign w:val="bottom"/>
            <w:tcBorders>
              <w:bottom w:val="single" w:sz="8" w:color="E6E6E6"/>
            </w:tcBorders>
            <w:gridSpan w:val="2"/>
            <w:shd w:val="clear" w:color="auto" w:fill="E6E6E6"/>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58"/>
        </w:trPr>
        <w:tc>
          <w:tcPr>
            <w:tcW w:w="5320" w:type="dxa"/>
            <w:vAlign w:val="bottom"/>
          </w:tcPr>
          <w:p>
            <w:pPr>
              <w:ind w:left="60"/>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
        </w:trPr>
        <w:tc>
          <w:tcPr>
            <w:tcW w:w="5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5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Impairment</w:t>
            </w:r>
          </w:p>
        </w:tc>
        <w:tc>
          <w:tcPr>
            <w:tcW w:w="220" w:type="dxa"/>
            <w:vAlign w:val="bottom"/>
            <w:tcBorders>
              <w:bottom w:val="single" w:sz="8" w:color="E6E6E6"/>
            </w:tcBorders>
            <w:shd w:val="clear" w:color="auto" w:fill="E6E6E6"/>
          </w:tcPr>
          <w:p>
            <w:pPr>
              <w:spacing w:after="0"/>
              <w:rPr>
                <w:sz w:val="24"/>
                <w:szCs w:val="24"/>
                <w:color w:val="auto"/>
              </w:rPr>
            </w:pPr>
          </w:p>
        </w:tc>
        <w:tc>
          <w:tcPr>
            <w:tcW w:w="1100" w:type="dxa"/>
            <w:vAlign w:val="bottom"/>
            <w:tcBorders>
              <w:bottom w:val="single" w:sz="8" w:color="E6E6E6"/>
            </w:tcBorders>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1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600" w:type="dxa"/>
            <w:vAlign w:val="bottom"/>
            <w:tcBorders>
              <w:bottom w:val="single" w:sz="8" w:color="E6E6E6"/>
            </w:tcBorders>
            <w:shd w:val="clear" w:color="auto" w:fill="E6E6E6"/>
          </w:tcPr>
          <w:p>
            <w:pPr>
              <w:spacing w:after="0"/>
              <w:rPr>
                <w:sz w:val="24"/>
                <w:szCs w:val="24"/>
                <w:color w:val="auto"/>
              </w:rPr>
            </w:pPr>
          </w:p>
        </w:tc>
        <w:tc>
          <w:tcPr>
            <w:tcW w:w="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5320" w:type="dxa"/>
            <w:vAlign w:val="bottom"/>
          </w:tcPr>
          <w:p>
            <w:pPr>
              <w:ind w:left="6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
        </w:trPr>
        <w:tc>
          <w:tcPr>
            <w:tcW w:w="5320" w:type="dxa"/>
            <w:vAlign w:val="bottom"/>
            <w:tcBorders>
              <w:bottom w:val="single" w:sz="8" w:color="E6E6E6"/>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5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Balance at December 31, 2024</w:t>
            </w:r>
          </w:p>
        </w:tc>
        <w:tc>
          <w:tcPr>
            <w:tcW w:w="220" w:type="dxa"/>
            <w:vAlign w:val="bottom"/>
            <w:tcBorders>
              <w:bottom w:val="single" w:sz="8" w:color="E6E6E6"/>
            </w:tcBorders>
            <w:shd w:val="clear" w:color="auto" w:fill="E6E6E6"/>
          </w:tcPr>
          <w:p>
            <w:pPr>
              <w:spacing w:after="0"/>
              <w:rPr>
                <w:sz w:val="23"/>
                <w:szCs w:val="23"/>
                <w:color w:val="auto"/>
              </w:rPr>
            </w:pP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tcBorders>
              <w:bottom w:val="single" w:sz="8" w:color="E6E6E6"/>
            </w:tcBorders>
            <w:shd w:val="clear" w:color="auto" w:fill="E6E6E6"/>
          </w:tcPr>
          <w:p>
            <w:pPr>
              <w:spacing w:after="0"/>
              <w:rPr>
                <w:sz w:val="23"/>
                <w:szCs w:val="23"/>
                <w:color w:val="auto"/>
              </w:rPr>
            </w:pPr>
          </w:p>
        </w:tc>
        <w:tc>
          <w:tcPr>
            <w:tcW w:w="4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1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7</w:t>
            </w:r>
          </w:p>
        </w:tc>
        <w:tc>
          <w:tcPr>
            <w:tcW w:w="60" w:type="dxa"/>
            <w:vAlign w:val="bottom"/>
            <w:tcBorders>
              <w:bottom w:val="single" w:sz="8" w:color="E6E6E6"/>
            </w:tcBorders>
            <w:shd w:val="clear" w:color="auto" w:fill="E6E6E6"/>
          </w:tcPr>
          <w:p>
            <w:pPr>
              <w:spacing w:after="0"/>
              <w:rPr>
                <w:sz w:val="23"/>
                <w:szCs w:val="23"/>
                <w:color w:val="auto"/>
              </w:rPr>
            </w:pPr>
          </w:p>
        </w:tc>
        <w:tc>
          <w:tcPr>
            <w:tcW w:w="600" w:type="dxa"/>
            <w:vAlign w:val="bottom"/>
            <w:tcBorders>
              <w:bottom w:val="single" w:sz="8" w:color="E6E6E6"/>
            </w:tcBorders>
            <w:shd w:val="clear" w:color="auto" w:fill="E6E6E6"/>
          </w:tcPr>
          <w:p>
            <w:pPr>
              <w:spacing w:after="0"/>
              <w:rPr>
                <w:sz w:val="23"/>
                <w:szCs w:val="23"/>
                <w:color w:val="auto"/>
              </w:rPr>
            </w:pPr>
          </w:p>
        </w:tc>
        <w:tc>
          <w:tcPr>
            <w:tcW w:w="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58"/>
        </w:trPr>
        <w:tc>
          <w:tcPr>
            <w:tcW w:w="5320" w:type="dxa"/>
            <w:vAlign w:val="bottom"/>
          </w:tcPr>
          <w:p>
            <w:pPr>
              <w:ind w:left="60"/>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
        </w:trPr>
        <w:tc>
          <w:tcPr>
            <w:tcW w:w="5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5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Impairment</w:t>
            </w:r>
          </w:p>
        </w:tc>
        <w:tc>
          <w:tcPr>
            <w:tcW w:w="220" w:type="dxa"/>
            <w:vAlign w:val="bottom"/>
            <w:tcBorders>
              <w:bottom w:val="single" w:sz="8" w:color="E6E6E6"/>
            </w:tcBorders>
            <w:shd w:val="clear" w:color="auto" w:fill="E6E6E6"/>
          </w:tcPr>
          <w:p>
            <w:pPr>
              <w:spacing w:after="0"/>
              <w:rPr>
                <w:sz w:val="24"/>
                <w:szCs w:val="24"/>
                <w:color w:val="auto"/>
              </w:rPr>
            </w:pPr>
          </w:p>
        </w:tc>
        <w:tc>
          <w:tcPr>
            <w:tcW w:w="1100" w:type="dxa"/>
            <w:vAlign w:val="bottom"/>
            <w:tcBorders>
              <w:bottom w:val="single" w:sz="8" w:color="E6E6E6"/>
            </w:tcBorders>
            <w:gridSpan w:val="2"/>
            <w:shd w:val="clear" w:color="auto" w:fill="E6E6E6"/>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11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600" w:type="dxa"/>
            <w:vAlign w:val="bottom"/>
            <w:tcBorders>
              <w:bottom w:val="single" w:sz="8" w:color="E6E6E6"/>
            </w:tcBorders>
            <w:shd w:val="clear" w:color="auto" w:fill="E6E6E6"/>
          </w:tcPr>
          <w:p>
            <w:pPr>
              <w:spacing w:after="0"/>
              <w:rPr>
                <w:sz w:val="24"/>
                <w:szCs w:val="24"/>
                <w:color w:val="auto"/>
              </w:rPr>
            </w:pPr>
          </w:p>
        </w:tc>
        <w:tc>
          <w:tcPr>
            <w:tcW w:w="7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5320" w:type="dxa"/>
            <w:vAlign w:val="bottom"/>
          </w:tcPr>
          <w:p>
            <w:pPr>
              <w:ind w:left="6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
        </w:trPr>
        <w:tc>
          <w:tcPr>
            <w:tcW w:w="5320" w:type="dxa"/>
            <w:vAlign w:val="bottom"/>
            <w:tcBorders>
              <w:bottom w:val="single" w:sz="8" w:color="E6E6E6"/>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4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532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Balance at December 31, 2025</w:t>
            </w:r>
          </w:p>
        </w:tc>
        <w:tc>
          <w:tcPr>
            <w:tcW w:w="2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shd w:val="clear" w:color="auto" w:fill="E6E6E6"/>
          </w:tcPr>
          <w:p>
            <w:pPr>
              <w:spacing w:after="0"/>
              <w:rPr>
                <w:sz w:val="24"/>
                <w:szCs w:val="24"/>
                <w:color w:val="auto"/>
              </w:rPr>
            </w:pPr>
          </w:p>
        </w:tc>
        <w:tc>
          <w:tcPr>
            <w:tcW w:w="220" w:type="dxa"/>
            <w:vAlign w:val="bottom"/>
            <w:gridSpan w:val="3"/>
            <w:shd w:val="clear" w:color="auto" w:fill="E6E6E6"/>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3</w:t>
            </w:r>
          </w:p>
        </w:tc>
        <w:tc>
          <w:tcPr>
            <w:tcW w:w="660" w:type="dxa"/>
            <w:vAlign w:val="bottom"/>
            <w:gridSpan w:val="2"/>
            <w:shd w:val="clear" w:color="auto" w:fill="E6E6E6"/>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
        </w:trPr>
        <w:tc>
          <w:tcPr>
            <w:tcW w:w="532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4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3368675</wp:posOffset>
            </wp:positionH>
            <wp:positionV relativeFrom="paragraph">
              <wp:posOffset>-1745615</wp:posOffset>
            </wp:positionV>
            <wp:extent cx="258762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34">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-983615</wp:posOffset>
            </wp:positionV>
            <wp:extent cx="258762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35">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-221615</wp:posOffset>
            </wp:positionV>
            <wp:extent cx="258762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36">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-43815</wp:posOffset>
            </wp:positionV>
            <wp:extent cx="2587625" cy="50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37">
                      <a:extLst>
                        <a:ext uri="{28A0092B-C50C-407E-A947-70E740481C1C}"/>
                      </a:extLst>
                    </a:blip>
                    <a:srcRect/>
                    <a:stretch>
                      <a:fillRect/>
                    </a:stretch>
                  </pic:blipFill>
                  <pic:spPr bwMode="auto">
                    <a:xfrm>
                      <a:off x="0" y="0"/>
                      <a:ext cx="2587625" cy="5080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6"/>
          <w:szCs w:val="16"/>
          <w:color w:val="auto"/>
        </w:rPr>
        <w:t>Timber licenses are included in timber and timberlands on the Consolidated Balance Sheets.</w:t>
      </w:r>
    </w:p>
    <w:p>
      <w:pPr>
        <w:spacing w:after="0" w:line="5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Due to a facility closure in the second quarter of 2025, the Company revised its estimate of the useful lives of its developed technology to better reflect the period over which the asset is expected to be utilized. The developed technology previously had a remaining useful life of ten years and is now being amortized over a revised useful life of one year. This revision in estimate resulted in a quarterly increase of $2 million in amortization expense beginning in the second quarter of 2025. Amortization of the developed technology is expected to be fully recognized in 2026, resulting in $3 million of amortization expense.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Timber and Timberlands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Timber and timberlands are comprised of timber deeds and allocations of the purchase price to Canadian timber harvesting licenses. Timber deeds are transactions in which we purchase timber but not the underlying land. The cost of timber deeds is capitalized in timber and timberlands and charged to the cost of timber harvested as the volume is removed. Timber that has been severed but has not yet been delivered to a facility is included in timber and timberlands. We had timber and timberlands of $5 million and $6 million as of December 31, 2025, and 2024, respectively.</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9360"/>
          </w:cols>
          <w:pgMar w:left="1260" w:top="1190" w:right="1260" w:bottom="225" w:gutter="0" w:footer="0" w:header="0"/>
          <w:type w:val="continuous"/>
        </w:sectPr>
      </w:pPr>
    </w:p>
    <w:bookmarkStart w:id="72" w:name="page73"/>
    <w:bookmarkEnd w:id="72"/>
    <w:p>
      <w:pPr>
        <w:jc w:val="both"/>
        <w:spacing w:after="0" w:line="269" w:lineRule="auto"/>
        <w:rPr>
          <w:sz w:val="20"/>
          <w:szCs w:val="20"/>
          <w:color w:val="auto"/>
        </w:rPr>
      </w:pPr>
      <w:r>
        <w:rPr>
          <w:rFonts w:ascii="Arial" w:cs="Arial" w:eastAsia="Arial" w:hAnsi="Arial"/>
          <w:sz w:val="19"/>
          <w:szCs w:val="19"/>
          <w:color w:val="auto"/>
        </w:rPr>
        <w:t>Timber licenses have a life of 20 to 25 years and are amortized on a straight-line basis over the life of the agreement. As of December 31, 2025 and 2024, we had timber licenses of $8 million and $23 million, respectively. Certain Canadian timber harvesting licenses also include future requirements for reforestation. The future estimated reforestation obligation is accrued and recognized in cost of sales based on the volume of timber harvested. The obligation is determined by estimating future costs based on various assumptions and judgments, the specific nature of which varies considering the particular facts and circumstances surrounding each reforestation obligation. Subsequent changes to estimates resulting from the passage of time and revisions to calculations are recognized in earnings as they occur. Amortization of timber licenses is expected to be $1 million in 2026 and in each of the subsequent four years.</w:t>
      </w:r>
    </w:p>
    <w:p>
      <w:pPr>
        <w:spacing w:after="0" w:line="76"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Changes in timber licenses for the years ended December 31, 2025 and 2024, are provided in the following table (dollar amounts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00" w:type="dxa"/>
            <w:vAlign w:val="bottom"/>
          </w:tcPr>
          <w:p>
            <w:pPr>
              <w:spacing w:after="0"/>
              <w:rPr>
                <w:sz w:val="20"/>
                <w:szCs w:val="20"/>
                <w:color w:val="auto"/>
              </w:rPr>
            </w:pPr>
          </w:p>
        </w:tc>
        <w:tc>
          <w:tcPr>
            <w:tcW w:w="23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Year Ended December 31,</w:t>
            </w:r>
          </w:p>
        </w:tc>
        <w:tc>
          <w:tcPr>
            <w:tcW w:w="300" w:type="dxa"/>
            <w:vAlign w:val="bottom"/>
          </w:tcPr>
          <w:p>
            <w:pPr>
              <w:spacing w:after="0"/>
              <w:rPr>
                <w:sz w:val="20"/>
                <w:szCs w:val="20"/>
                <w:color w:val="auto"/>
              </w:rPr>
            </w:pPr>
          </w:p>
        </w:tc>
      </w:tr>
      <w:tr>
        <w:trPr>
          <w:trHeight w:val="26"/>
        </w:trPr>
        <w:tc>
          <w:tcPr>
            <w:tcW w:w="67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7"/>
        </w:trPr>
        <w:tc>
          <w:tcPr>
            <w:tcW w:w="67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21"/>
                <w:szCs w:val="21"/>
                <w:color w:val="auto"/>
              </w:rPr>
            </w:pPr>
          </w:p>
        </w:tc>
      </w:tr>
      <w:tr>
        <w:trPr>
          <w:trHeight w:val="33"/>
        </w:trPr>
        <w:tc>
          <w:tcPr>
            <w:tcW w:w="670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70"/>
        </w:trPr>
        <w:tc>
          <w:tcPr>
            <w:tcW w:w="67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Beginning Balance</w:t>
            </w:r>
          </w:p>
        </w:tc>
        <w:tc>
          <w:tcPr>
            <w:tcW w:w="900" w:type="dxa"/>
            <w:vAlign w:val="bottom"/>
            <w:tcBorders>
              <w:bottom w:val="single" w:sz="8" w:color="E6E6E6"/>
            </w:tcBorders>
            <w:shd w:val="clear" w:color="auto" w:fill="E6E6E6"/>
          </w:tcPr>
          <w:p>
            <w:pPr>
              <w:jc w:val="right"/>
              <w:ind w:right="6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23</w:t>
            </w:r>
          </w:p>
        </w:tc>
        <w:tc>
          <w:tcPr>
            <w:tcW w:w="1060" w:type="dxa"/>
            <w:vAlign w:val="bottom"/>
            <w:tcBorders>
              <w:bottom w:val="single" w:sz="8" w:color="E6E6E6"/>
            </w:tcBorders>
            <w:gridSpan w:val="2"/>
            <w:shd w:val="clear" w:color="auto" w:fill="E6E6E6"/>
          </w:tcPr>
          <w:p>
            <w:pPr>
              <w:jc w:val="right"/>
              <w:ind w:right="86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w w:val="99"/>
              </w:rPr>
              <w:t>25</w:t>
            </w:r>
          </w:p>
        </w:tc>
      </w:tr>
      <w:tr>
        <w:trPr>
          <w:trHeight w:val="258"/>
        </w:trPr>
        <w:tc>
          <w:tcPr>
            <w:tcW w:w="6700" w:type="dxa"/>
            <w:vAlign w:val="bottom"/>
          </w:tcPr>
          <w:p>
            <w:pPr>
              <w:ind w:left="60"/>
              <w:spacing w:after="0"/>
              <w:rPr>
                <w:sz w:val="20"/>
                <w:szCs w:val="20"/>
                <w:color w:val="auto"/>
              </w:rPr>
            </w:pPr>
            <w:r>
              <w:rPr>
                <w:rFonts w:ascii="Arial" w:cs="Arial" w:eastAsia="Arial" w:hAnsi="Arial"/>
                <w:sz w:val="18"/>
                <w:szCs w:val="18"/>
                <w:color w:val="auto"/>
              </w:rPr>
              <w:t>Additions</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
        </w:trPr>
        <w:tc>
          <w:tcPr>
            <w:tcW w:w="6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280"/>
        </w:trPr>
        <w:tc>
          <w:tcPr>
            <w:tcW w:w="67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Impairment</w:t>
            </w: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58"/>
        </w:trPr>
        <w:tc>
          <w:tcPr>
            <w:tcW w:w="6700" w:type="dxa"/>
            <w:vAlign w:val="bottom"/>
          </w:tcPr>
          <w:p>
            <w:pPr>
              <w:ind w:left="60"/>
              <w:spacing w:after="0"/>
              <w:rPr>
                <w:sz w:val="20"/>
                <w:szCs w:val="20"/>
                <w:color w:val="auto"/>
              </w:rPr>
            </w:pPr>
            <w:r>
              <w:rPr>
                <w:rFonts w:ascii="Arial" w:cs="Arial" w:eastAsia="Arial" w:hAnsi="Arial"/>
                <w:sz w:val="18"/>
                <w:szCs w:val="18"/>
                <w:color w:val="auto"/>
              </w:rPr>
              <w:t>Amortization</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
        </w:trPr>
        <w:tc>
          <w:tcPr>
            <w:tcW w:w="670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80"/>
        </w:trPr>
        <w:tc>
          <w:tcPr>
            <w:tcW w:w="670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Ending Balance</w:t>
            </w:r>
          </w:p>
        </w:tc>
        <w:tc>
          <w:tcPr>
            <w:tcW w:w="900" w:type="dxa"/>
            <w:vAlign w:val="bottom"/>
            <w:shd w:val="clear" w:color="auto" w:fill="E6E6E6"/>
          </w:tcPr>
          <w:p>
            <w:pPr>
              <w:jc w:val="right"/>
              <w:ind w:right="67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8</w:t>
            </w:r>
          </w:p>
        </w:tc>
        <w:tc>
          <w:tcPr>
            <w:tcW w:w="1060" w:type="dxa"/>
            <w:vAlign w:val="bottom"/>
            <w:gridSpan w:val="2"/>
            <w:shd w:val="clear" w:color="auto" w:fill="E6E6E6"/>
          </w:tcPr>
          <w:p>
            <w:pPr>
              <w:jc w:val="right"/>
              <w:ind w:righ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w w:val="99"/>
              </w:rPr>
              <w:t>23</w:t>
            </w:r>
          </w:p>
        </w:tc>
      </w:tr>
      <w:tr>
        <w:trPr>
          <w:trHeight w:val="20"/>
        </w:trPr>
        <w:tc>
          <w:tcPr>
            <w:tcW w:w="6700" w:type="dxa"/>
            <w:vAlign w:val="bottom"/>
            <w:tcBorders>
              <w:top w:val="single" w:sz="8" w:color="E6E6E6"/>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-983615</wp:posOffset>
            </wp:positionV>
            <wp:extent cx="17208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38">
                      <a:extLst>
                        <a:ext uri="{28A0092B-C50C-407E-A947-70E740481C1C}"/>
                      </a:extLst>
                    </a:blip>
                    <a:srcRect/>
                    <a:stretch>
                      <a:fillRect/>
                    </a:stretch>
                  </pic:blipFill>
                  <pic:spPr bwMode="auto">
                    <a:xfrm>
                      <a:off x="0" y="0"/>
                      <a:ext cx="1720850" cy="2540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-221615</wp:posOffset>
            </wp:positionV>
            <wp:extent cx="17208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39">
                      <a:extLst>
                        <a:ext uri="{28A0092B-C50C-407E-A947-70E740481C1C}"/>
                      </a:extLst>
                    </a:blip>
                    <a:srcRect/>
                    <a:stretch>
                      <a:fillRect/>
                    </a:stretch>
                  </pic:blipFill>
                  <pic:spPr bwMode="auto">
                    <a:xfrm>
                      <a:off x="0" y="0"/>
                      <a:ext cx="1720850" cy="2540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-43815</wp:posOffset>
            </wp:positionV>
            <wp:extent cx="17208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40">
                      <a:extLst>
                        <a:ext uri="{28A0092B-C50C-407E-A947-70E740481C1C}"/>
                      </a:extLst>
                    </a:blip>
                    <a:srcRect/>
                    <a:stretch>
                      <a:fillRect/>
                    </a:stretch>
                  </pic:blipFill>
                  <pic:spPr bwMode="auto">
                    <a:xfrm>
                      <a:off x="0" y="0"/>
                      <a:ext cx="1720850" cy="25400"/>
                    </a:xfrm>
                    <a:prstGeom prst="rect">
                      <a:avLst/>
                    </a:prstGeom>
                    <a:noFill/>
                  </pic:spPr>
                </pic:pic>
              </a:graphicData>
            </a:graphic>
          </wp:anchor>
        </w:drawing>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Included in the balance of timber licenses are values allocated to Canadian forest licenses whose initial value of $35 million is amortized over the estimated useful life of 20 to 25 years. For the year ended December 31, 2025, we recognized $13 million of non-cash, pre-tax impairment charges related to the expiration and non-renewal of certain timber licenses.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Investments in Affiliates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account for investments in affiliates when we do not have a controlling financial interest using the equity method under which LP’s share of earnings and losses of the affiliate is reflected in earnings, and dividends are credited against the investment in the affiliate when declared.</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Cash</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Our restricted cash accounts generally secure outstanding letters of credit. There were no restricted cash balances as of December 31, 2025 and 2024.</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Accounts Payable and Accrued Liabilities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Accounts payable and accrued liabilities were as follows (dollar amounts in millions):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6640" w:type="dxa"/>
            <w:vAlign w:val="bottom"/>
          </w:tcPr>
          <w:p>
            <w:pPr>
              <w:spacing w:after="0"/>
              <w:rPr>
                <w:sz w:val="21"/>
                <w:szCs w:val="21"/>
                <w:color w:val="auto"/>
              </w:rPr>
            </w:pPr>
          </w:p>
        </w:tc>
        <w:tc>
          <w:tcPr>
            <w:tcW w:w="22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Borders>
              <w:bottom w:val="single" w:sz="8" w:color="auto"/>
            </w:tcBorders>
          </w:tcPr>
          <w:p>
            <w:pPr>
              <w:spacing w:after="0"/>
              <w:rPr>
                <w:sz w:val="21"/>
                <w:szCs w:val="21"/>
                <w:color w:val="auto"/>
              </w:rPr>
            </w:pPr>
          </w:p>
        </w:tc>
      </w:tr>
      <w:tr>
        <w:trPr>
          <w:trHeight w:val="247"/>
        </w:trPr>
        <w:tc>
          <w:tcPr>
            <w:tcW w:w="66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0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2024</w:t>
            </w:r>
          </w:p>
        </w:tc>
        <w:tc>
          <w:tcPr>
            <w:tcW w:w="400" w:type="dxa"/>
            <w:vAlign w:val="bottom"/>
          </w:tcPr>
          <w:p>
            <w:pPr>
              <w:spacing w:after="0"/>
              <w:rPr>
                <w:sz w:val="21"/>
                <w:szCs w:val="21"/>
                <w:color w:val="auto"/>
              </w:rPr>
            </w:pPr>
          </w:p>
        </w:tc>
      </w:tr>
      <w:tr>
        <w:trPr>
          <w:trHeight w:val="33"/>
        </w:trPr>
        <w:tc>
          <w:tcPr>
            <w:tcW w:w="664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70"/>
        </w:trPr>
        <w:tc>
          <w:tcPr>
            <w:tcW w:w="66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Trade accounts payable</w:t>
            </w:r>
          </w:p>
        </w:tc>
        <w:tc>
          <w:tcPr>
            <w:tcW w:w="900" w:type="dxa"/>
            <w:vAlign w:val="bottom"/>
            <w:tcBorders>
              <w:bottom w:val="single" w:sz="8" w:color="E6E6E6"/>
            </w:tcBorders>
            <w:shd w:val="clear" w:color="auto" w:fill="E6E6E6"/>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129</w:t>
            </w:r>
          </w:p>
        </w:tc>
        <w:tc>
          <w:tcPr>
            <w:tcW w:w="980" w:type="dxa"/>
            <w:vAlign w:val="bottom"/>
            <w:tcBorders>
              <w:bottom w:val="single" w:sz="8" w:color="E6E6E6"/>
            </w:tcBorders>
            <w:gridSpan w:val="2"/>
            <w:shd w:val="clear" w:color="auto" w:fill="E6E6E6"/>
          </w:tcPr>
          <w:p>
            <w:pPr>
              <w:jc w:val="right"/>
              <w:ind w:right="7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139</w:t>
            </w:r>
          </w:p>
        </w:tc>
      </w:tr>
      <w:tr>
        <w:trPr>
          <w:trHeight w:val="258"/>
        </w:trPr>
        <w:tc>
          <w:tcPr>
            <w:tcW w:w="6640" w:type="dxa"/>
            <w:vAlign w:val="bottom"/>
          </w:tcPr>
          <w:p>
            <w:pPr>
              <w:ind w:left="40"/>
              <w:spacing w:after="0"/>
              <w:rPr>
                <w:sz w:val="20"/>
                <w:szCs w:val="20"/>
                <w:color w:val="auto"/>
              </w:rPr>
            </w:pPr>
            <w:r>
              <w:rPr>
                <w:rFonts w:ascii="Arial" w:cs="Arial" w:eastAsia="Arial" w:hAnsi="Arial"/>
                <w:sz w:val="18"/>
                <w:szCs w:val="18"/>
                <w:color w:val="auto"/>
              </w:rPr>
              <w:t>Salaries and wages payable</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2"/>
        </w:trPr>
        <w:tc>
          <w:tcPr>
            <w:tcW w:w="6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280"/>
        </w:trPr>
        <w:tc>
          <w:tcPr>
            <w:tcW w:w="66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Accrued customer incentives</w:t>
            </w: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48</w:t>
            </w:r>
          </w:p>
        </w:tc>
      </w:tr>
      <w:tr>
        <w:trPr>
          <w:trHeight w:val="258"/>
        </w:trPr>
        <w:tc>
          <w:tcPr>
            <w:tcW w:w="6640" w:type="dxa"/>
            <w:vAlign w:val="bottom"/>
          </w:tcPr>
          <w:p>
            <w:pPr>
              <w:ind w:left="40"/>
              <w:spacing w:after="0"/>
              <w:rPr>
                <w:sz w:val="20"/>
                <w:szCs w:val="20"/>
                <w:color w:val="auto"/>
              </w:rPr>
            </w:pPr>
            <w:r>
              <w:rPr>
                <w:rFonts w:ascii="Arial" w:cs="Arial" w:eastAsia="Arial" w:hAnsi="Arial"/>
                <w:sz w:val="18"/>
                <w:szCs w:val="18"/>
                <w:color w:val="auto"/>
              </w:rPr>
              <w:t>Taxes other than income taxes</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2"/>
        </w:trPr>
        <w:tc>
          <w:tcPr>
            <w:tcW w:w="6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280"/>
        </w:trPr>
        <w:tc>
          <w:tcPr>
            <w:tcW w:w="66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Current portion of operating lease liabilities</w:t>
            </w: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8</w:t>
            </w:r>
          </w:p>
        </w:tc>
      </w:tr>
      <w:tr>
        <w:trPr>
          <w:trHeight w:val="258"/>
        </w:trPr>
        <w:tc>
          <w:tcPr>
            <w:tcW w:w="664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
        </w:trPr>
        <w:tc>
          <w:tcPr>
            <w:tcW w:w="664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70"/>
        </w:trPr>
        <w:tc>
          <w:tcPr>
            <w:tcW w:w="6640" w:type="dxa"/>
            <w:vAlign w:val="bottom"/>
            <w:shd w:val="clear" w:color="auto" w:fill="E6E6E6"/>
          </w:tcPr>
          <w:p>
            <w:pPr>
              <w:ind w:left="180"/>
              <w:spacing w:after="0"/>
              <w:rPr>
                <w:sz w:val="20"/>
                <w:szCs w:val="20"/>
                <w:color w:val="auto"/>
              </w:rPr>
            </w:pPr>
            <w:r>
              <w:rPr>
                <w:rFonts w:ascii="Arial" w:cs="Arial" w:eastAsia="Arial" w:hAnsi="Arial"/>
                <w:sz w:val="18"/>
                <w:szCs w:val="18"/>
                <w:b w:val="1"/>
                <w:bCs w:val="1"/>
                <w:color w:val="auto"/>
              </w:rPr>
              <w:t>Total Accounts payable and accrued liabilities</w:t>
            </w:r>
          </w:p>
        </w:tc>
        <w:tc>
          <w:tcPr>
            <w:tcW w:w="900" w:type="dxa"/>
            <w:vAlign w:val="bottom"/>
            <w:shd w:val="clear" w:color="auto" w:fill="E6E6E6"/>
          </w:tcPr>
          <w:p>
            <w:pPr>
              <w:jc w:val="right"/>
              <w:ind w:right="67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285</w:t>
            </w:r>
          </w:p>
        </w:tc>
        <w:tc>
          <w:tcPr>
            <w:tcW w:w="980" w:type="dxa"/>
            <w:vAlign w:val="bottom"/>
            <w:gridSpan w:val="2"/>
            <w:shd w:val="clear" w:color="auto" w:fill="E6E6E6"/>
          </w:tcPr>
          <w:p>
            <w:pPr>
              <w:jc w:val="right"/>
              <w:ind w:right="76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287</w:t>
            </w:r>
          </w:p>
        </w:tc>
      </w:tr>
      <w:tr>
        <w:trPr>
          <w:trHeight w:val="20"/>
        </w:trPr>
        <w:tc>
          <w:tcPr>
            <w:tcW w:w="6640" w:type="dxa"/>
            <w:vAlign w:val="bottom"/>
            <w:tcBorders>
              <w:top w:val="single" w:sz="8" w:color="E6E6E6"/>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4216400</wp:posOffset>
            </wp:positionH>
            <wp:positionV relativeFrom="paragraph">
              <wp:posOffset>-1364615</wp:posOffset>
            </wp:positionV>
            <wp:extent cx="173037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41">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-221615</wp:posOffset>
            </wp:positionV>
            <wp:extent cx="173037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42">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-43815</wp:posOffset>
            </wp:positionV>
            <wp:extent cx="173037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3">
                      <a:extLst>
                        <a:ext uri="{28A0092B-C50C-407E-A947-70E740481C1C}"/>
                      </a:extLst>
                    </a:blip>
                    <a:srcRect/>
                    <a:stretch>
                      <a:fillRect/>
                    </a:stretch>
                  </pic:blipFill>
                  <pic:spPr bwMode="auto">
                    <a:xfrm>
                      <a:off x="0" y="0"/>
                      <a:ext cx="1730375" cy="25400"/>
                    </a:xfrm>
                    <a:prstGeom prst="rect">
                      <a:avLst/>
                    </a:prstGeom>
                    <a:noFill/>
                  </pic:spPr>
                </pic:pic>
              </a:graphicData>
            </a:graphic>
          </wp:anchor>
        </w:drawing>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Other accrued liabilities at December 31, 2025 and 2024, primarily consisted of accrued interest, the short-term portion of warranty reserves, the short-term portion of workers’ compensation liabilities, and other items. Additionally, trade accounts payable included $33 million and $32 million related to capital expenditures that had not yet been paid as of December 31, 2025 and 2024, respectively.</w:t>
      </w:r>
    </w:p>
    <w:p>
      <w:pPr>
        <w:sectPr>
          <w:pgSz w:w="11880" w:h="15480" w:orient="portrait"/>
          <w:cols w:equalWidth="0" w:num="1">
            <w:col w:w="9360"/>
          </w:cols>
          <w:pgMar w:left="1260" w:top="1197" w:right="1260" w:bottom="225" w:gutter="0" w:footer="0" w:header="0"/>
        </w:sect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9360"/>
          </w:cols>
          <w:pgMar w:left="1260" w:top="1197" w:right="1260" w:bottom="225" w:gutter="0" w:footer="0" w:header="0"/>
          <w:type w:val="continuous"/>
        </w:sectPr>
      </w:pPr>
    </w:p>
    <w:bookmarkStart w:id="73" w:name="page74"/>
    <w:bookmarkEnd w:id="73"/>
    <w:p>
      <w:pPr>
        <w:spacing w:after="0"/>
        <w:rPr>
          <w:sz w:val="20"/>
          <w:szCs w:val="20"/>
          <w:color w:val="auto"/>
        </w:rPr>
      </w:pPr>
      <w:r>
        <w:rPr>
          <w:rFonts w:ascii="Arial" w:cs="Arial" w:eastAsia="Arial" w:hAnsi="Arial"/>
          <w:sz w:val="20"/>
          <w:szCs w:val="20"/>
          <w:b w:val="1"/>
          <w:bCs w:val="1"/>
          <w:color w:val="auto"/>
        </w:rPr>
        <w:t>Other Long-Term Liabilities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Other long-term liabilities were as follows (dollar amounts in millions):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6640" w:type="dxa"/>
            <w:vAlign w:val="bottom"/>
          </w:tcPr>
          <w:p>
            <w:pPr>
              <w:spacing w:after="0"/>
              <w:rPr>
                <w:sz w:val="21"/>
                <w:szCs w:val="21"/>
                <w:color w:val="auto"/>
              </w:rPr>
            </w:pPr>
          </w:p>
        </w:tc>
        <w:tc>
          <w:tcPr>
            <w:tcW w:w="23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21"/>
                <w:szCs w:val="21"/>
                <w:color w:val="auto"/>
              </w:rPr>
            </w:pPr>
          </w:p>
        </w:tc>
      </w:tr>
      <w:tr>
        <w:trPr>
          <w:trHeight w:val="247"/>
        </w:trPr>
        <w:tc>
          <w:tcPr>
            <w:tcW w:w="66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3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2024</w:t>
            </w:r>
          </w:p>
        </w:tc>
        <w:tc>
          <w:tcPr>
            <w:tcW w:w="360" w:type="dxa"/>
            <w:vAlign w:val="bottom"/>
          </w:tcPr>
          <w:p>
            <w:pPr>
              <w:spacing w:after="0"/>
              <w:rPr>
                <w:sz w:val="21"/>
                <w:szCs w:val="21"/>
                <w:color w:val="auto"/>
              </w:rPr>
            </w:pPr>
          </w:p>
        </w:tc>
      </w:tr>
      <w:tr>
        <w:trPr>
          <w:trHeight w:val="33"/>
        </w:trPr>
        <w:tc>
          <w:tcPr>
            <w:tcW w:w="6640" w:type="dxa"/>
            <w:vAlign w:val="bottom"/>
            <w:tcBorders>
              <w:bottom w:val="single" w:sz="8" w:color="E6E6E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70"/>
        </w:trPr>
        <w:tc>
          <w:tcPr>
            <w:tcW w:w="66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Post-retirement obligations</w:t>
            </w:r>
          </w:p>
        </w:tc>
        <w:tc>
          <w:tcPr>
            <w:tcW w:w="940" w:type="dxa"/>
            <w:vAlign w:val="bottom"/>
            <w:tcBorders>
              <w:bottom w:val="single" w:sz="8" w:color="E6E6E6"/>
            </w:tcBorders>
            <w:shd w:val="clear" w:color="auto" w:fill="E6E6E6"/>
          </w:tcPr>
          <w:p>
            <w:pPr>
              <w:jc w:val="right"/>
              <w:ind w:right="7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1020" w:type="dxa"/>
            <w:vAlign w:val="bottom"/>
            <w:tcBorders>
              <w:bottom w:val="single" w:sz="8" w:color="E6E6E6"/>
            </w:tcBorders>
            <w:gridSpan w:val="2"/>
            <w:shd w:val="clear" w:color="auto" w:fill="E6E6E6"/>
          </w:tcPr>
          <w:p>
            <w:pPr>
              <w:jc w:val="right"/>
              <w:ind w:right="8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w:t>
            </w:r>
          </w:p>
        </w:tc>
      </w:tr>
      <w:tr>
        <w:trPr>
          <w:trHeight w:val="258"/>
        </w:trPr>
        <w:tc>
          <w:tcPr>
            <w:tcW w:w="664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9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2"/>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r>
      <w:tr>
        <w:trPr>
          <w:trHeight w:val="280"/>
        </w:trPr>
        <w:tc>
          <w:tcPr>
            <w:tcW w:w="66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Uncertain tax positions</w:t>
            </w:r>
          </w:p>
        </w:tc>
        <w:tc>
          <w:tcPr>
            <w:tcW w:w="94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E6E6E6"/>
            </w:tcBorders>
            <w:shd w:val="clear" w:color="auto" w:fill="E6E6E6"/>
          </w:tcPr>
          <w:p>
            <w:pPr>
              <w:spacing w:after="0"/>
              <w:rPr>
                <w:sz w:val="24"/>
                <w:szCs w:val="24"/>
                <w:color w:val="auto"/>
              </w:rPr>
            </w:pPr>
          </w:p>
        </w:tc>
        <w:tc>
          <w:tcPr>
            <w:tcW w:w="94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w:t>
            </w:r>
          </w:p>
        </w:tc>
      </w:tr>
      <w:tr>
        <w:trPr>
          <w:trHeight w:val="258"/>
        </w:trPr>
        <w:tc>
          <w:tcPr>
            <w:tcW w:w="6640" w:type="dxa"/>
            <w:vAlign w:val="bottom"/>
          </w:tcPr>
          <w:p>
            <w:pPr>
              <w:ind w:left="40"/>
              <w:spacing w:after="0"/>
              <w:rPr>
                <w:sz w:val="20"/>
                <w:szCs w:val="20"/>
                <w:color w:val="auto"/>
              </w:rPr>
            </w:pPr>
            <w:r>
              <w:rPr>
                <w:rFonts w:ascii="Arial" w:cs="Arial" w:eastAsia="Arial" w:hAnsi="Arial"/>
                <w:sz w:val="18"/>
                <w:szCs w:val="18"/>
                <w:color w:val="auto"/>
              </w:rPr>
              <w:t>Warranty reserves</w:t>
            </w:r>
          </w:p>
        </w:tc>
        <w:tc>
          <w:tcPr>
            <w:tcW w:w="9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2"/>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r>
      <w:tr>
        <w:trPr>
          <w:trHeight w:val="280"/>
        </w:trPr>
        <w:tc>
          <w:tcPr>
            <w:tcW w:w="66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8"/>
                <w:szCs w:val="18"/>
                <w:color w:val="auto"/>
              </w:rPr>
              <w:t>Pension benefit obligation</w:t>
            </w:r>
          </w:p>
        </w:tc>
        <w:tc>
          <w:tcPr>
            <w:tcW w:w="94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E6E6E6"/>
            </w:tcBorders>
            <w:shd w:val="clear" w:color="auto" w:fill="E6E6E6"/>
          </w:tcPr>
          <w:p>
            <w:pPr>
              <w:spacing w:after="0"/>
              <w:rPr>
                <w:sz w:val="24"/>
                <w:szCs w:val="24"/>
                <w:color w:val="auto"/>
              </w:rPr>
            </w:pPr>
          </w:p>
        </w:tc>
        <w:tc>
          <w:tcPr>
            <w:tcW w:w="94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w:t>
            </w:r>
          </w:p>
        </w:tc>
      </w:tr>
      <w:tr>
        <w:trPr>
          <w:trHeight w:val="258"/>
        </w:trPr>
        <w:tc>
          <w:tcPr>
            <w:tcW w:w="6640" w:type="dxa"/>
            <w:vAlign w:val="bottom"/>
          </w:tcPr>
          <w:p>
            <w:pPr>
              <w:ind w:left="4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
        </w:trPr>
        <w:tc>
          <w:tcPr>
            <w:tcW w:w="6640" w:type="dxa"/>
            <w:vAlign w:val="bottom"/>
            <w:tcBorders>
              <w:bottom w:val="single" w:sz="8" w:color="E6E6E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70"/>
        </w:trPr>
        <w:tc>
          <w:tcPr>
            <w:tcW w:w="6640" w:type="dxa"/>
            <w:vAlign w:val="bottom"/>
            <w:shd w:val="clear" w:color="auto" w:fill="E6E6E6"/>
          </w:tcPr>
          <w:p>
            <w:pPr>
              <w:ind w:left="180"/>
              <w:spacing w:after="0"/>
              <w:rPr>
                <w:sz w:val="20"/>
                <w:szCs w:val="20"/>
                <w:color w:val="auto"/>
              </w:rPr>
            </w:pPr>
            <w:r>
              <w:rPr>
                <w:rFonts w:ascii="Arial" w:cs="Arial" w:eastAsia="Arial" w:hAnsi="Arial"/>
                <w:sz w:val="18"/>
                <w:szCs w:val="18"/>
                <w:b w:val="1"/>
                <w:bCs w:val="1"/>
                <w:color w:val="auto"/>
              </w:rPr>
              <w:t>Total Other long-term liabilities</w:t>
            </w:r>
          </w:p>
        </w:tc>
        <w:tc>
          <w:tcPr>
            <w:tcW w:w="940" w:type="dxa"/>
            <w:vAlign w:val="bottom"/>
            <w:shd w:val="clear" w:color="auto" w:fill="E6E6E6"/>
          </w:tcPr>
          <w:p>
            <w:pPr>
              <w:jc w:val="right"/>
              <w:ind w:right="71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33</w:t>
            </w:r>
          </w:p>
        </w:tc>
        <w:tc>
          <w:tcPr>
            <w:tcW w:w="1020" w:type="dxa"/>
            <w:vAlign w:val="bottom"/>
            <w:gridSpan w:val="2"/>
            <w:shd w:val="clear" w:color="auto" w:fill="E6E6E6"/>
          </w:tcPr>
          <w:p>
            <w:pPr>
              <w:jc w:val="right"/>
              <w:ind w:right="8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43</w:t>
            </w:r>
          </w:p>
        </w:tc>
      </w:tr>
      <w:tr>
        <w:trPr>
          <w:trHeight w:val="20"/>
        </w:trPr>
        <w:tc>
          <w:tcPr>
            <w:tcW w:w="6640" w:type="dxa"/>
            <w:vAlign w:val="bottom"/>
            <w:tcBorders>
              <w:top w:val="single" w:sz="8" w:color="E6E6E6"/>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5045075</wp:posOffset>
            </wp:positionH>
            <wp:positionV relativeFrom="paragraph">
              <wp:posOffset>-1555115</wp:posOffset>
            </wp:positionV>
            <wp:extent cx="90170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44">
                      <a:extLst>
                        <a:ext uri="{28A0092B-C50C-407E-A947-70E740481C1C}"/>
                      </a:extLst>
                    </a:blip>
                    <a:srcRect/>
                    <a:stretch>
                      <a:fillRect/>
                    </a:stretch>
                  </pic:blipFill>
                  <pic:spPr bwMode="auto">
                    <a:xfrm>
                      <a:off x="0" y="0"/>
                      <a:ext cx="901700" cy="25400"/>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-1364615</wp:posOffset>
            </wp:positionV>
            <wp:extent cx="173037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45">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-221615</wp:posOffset>
            </wp:positionV>
            <wp:extent cx="173037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6">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-43815</wp:posOffset>
            </wp:positionV>
            <wp:extent cx="1730375" cy="508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47">
                      <a:extLst>
                        <a:ext uri="{28A0092B-C50C-407E-A947-70E740481C1C}"/>
                      </a:extLst>
                    </a:blip>
                    <a:srcRect/>
                    <a:stretch>
                      <a:fillRect/>
                    </a:stretch>
                  </pic:blipFill>
                  <pic:spPr bwMode="auto">
                    <a:xfrm>
                      <a:off x="0" y="0"/>
                      <a:ext cx="1730375" cy="50800"/>
                    </a:xfrm>
                    <a:prstGeom prst="rect">
                      <a:avLst/>
                    </a:prstGeom>
                    <a:noFill/>
                  </pic:spPr>
                </pic:pic>
              </a:graphicData>
            </a:graphic>
          </wp:anchor>
        </w:drawing>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Other long-term liabilities at December 31, 2025 and 2024, consisted primarily of the long-term portion of workers’ compensation liabilities. Other long-term liabilities at December 31, 2024 previously included $14 million of investment tax incentives associated with property, plant, and equipment that was reclassified from other long-term liabilities to property, plant, and equipment in 2025.</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 Retirement Obligations</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record the fair value of the legal and conditional obligations to retire and remove long-lived assets in the periods in which the obligations are incurred. These obligations primarily consist of monitoring costs on closed landfills, timber reforestation obligations associated with our timber licenses in Canada, and site restoration costs. When the related liability is initially recorded, we capitalize the cost by increasing the carrying amount of the related long-lived asset. Over time, the liability is accreted to its settlement value, and the capitalized cost is depreciated over the useful life of the related asset. Upon settlement of the liability, we recognize a gain or loss for any difference between the settlement amount and the liability recorded.</w:t>
      </w:r>
    </w:p>
    <w:p>
      <w:pPr>
        <w:spacing w:after="0" w:line="73"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activity in our asset retirement obligation liability for 2025 and 2024 is summarized in the following table (dollar amounts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660" w:type="dxa"/>
            <w:vAlign w:val="bottom"/>
          </w:tcPr>
          <w:p>
            <w:pPr>
              <w:spacing w:after="0"/>
              <w:rPr>
                <w:sz w:val="21"/>
                <w:szCs w:val="21"/>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Borders>
              <w:bottom w:val="single" w:sz="8" w:color="auto"/>
            </w:tcBorders>
          </w:tcPr>
          <w:p>
            <w:pPr>
              <w:spacing w:after="0"/>
              <w:rPr>
                <w:sz w:val="21"/>
                <w:szCs w:val="21"/>
                <w:color w:val="auto"/>
              </w:rPr>
            </w:pPr>
          </w:p>
        </w:tc>
      </w:tr>
      <w:tr>
        <w:trPr>
          <w:trHeight w:val="247"/>
        </w:trPr>
        <w:tc>
          <w:tcPr>
            <w:tcW w:w="6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00" w:type="dxa"/>
            <w:vAlign w:val="bottom"/>
          </w:tcPr>
          <w:p>
            <w:pPr>
              <w:spacing w:after="0"/>
              <w:rPr>
                <w:sz w:val="21"/>
                <w:szCs w:val="21"/>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21"/>
                <w:szCs w:val="21"/>
                <w:color w:val="auto"/>
              </w:rPr>
            </w:pPr>
          </w:p>
        </w:tc>
      </w:tr>
      <w:tr>
        <w:trPr>
          <w:trHeight w:val="33"/>
        </w:trPr>
        <w:tc>
          <w:tcPr>
            <w:tcW w:w="6660" w:type="dxa"/>
            <w:vAlign w:val="bottom"/>
            <w:tcBorders>
              <w:bottom w:val="single" w:sz="8" w:color="E6E6E6"/>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70"/>
        </w:trPr>
        <w:tc>
          <w:tcPr>
            <w:tcW w:w="66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Beginning balance</w:t>
            </w:r>
          </w:p>
        </w:tc>
        <w:tc>
          <w:tcPr>
            <w:tcW w:w="920" w:type="dxa"/>
            <w:vAlign w:val="bottom"/>
            <w:tcBorders>
              <w:bottom w:val="single" w:sz="8" w:color="E6E6E6"/>
            </w:tcBorders>
            <w:shd w:val="clear" w:color="auto" w:fill="E6E6E6"/>
          </w:tcPr>
          <w:p>
            <w:pPr>
              <w:jc w:val="right"/>
              <w:ind w:right="6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9</w:t>
            </w:r>
          </w:p>
        </w:tc>
        <w:tc>
          <w:tcPr>
            <w:tcW w:w="1100" w:type="dxa"/>
            <w:vAlign w:val="bottom"/>
            <w:tcBorders>
              <w:bottom w:val="single" w:sz="8" w:color="E6E6E6"/>
            </w:tcBorders>
            <w:gridSpan w:val="2"/>
            <w:shd w:val="clear" w:color="auto" w:fill="E6E6E6"/>
          </w:tcPr>
          <w:p>
            <w:pPr>
              <w:jc w:val="right"/>
              <w:ind w:right="79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8</w:t>
            </w:r>
          </w:p>
        </w:tc>
      </w:tr>
      <w:tr>
        <w:trPr>
          <w:trHeight w:val="258"/>
        </w:trPr>
        <w:tc>
          <w:tcPr>
            <w:tcW w:w="6660" w:type="dxa"/>
            <w:vAlign w:val="bottom"/>
          </w:tcPr>
          <w:p>
            <w:pPr>
              <w:ind w:left="180"/>
              <w:spacing w:after="0"/>
              <w:rPr>
                <w:sz w:val="20"/>
                <w:szCs w:val="20"/>
                <w:color w:val="auto"/>
              </w:rPr>
            </w:pPr>
            <w:r>
              <w:rPr>
                <w:rFonts w:ascii="Arial" w:cs="Arial" w:eastAsia="Arial" w:hAnsi="Arial"/>
                <w:sz w:val="18"/>
                <w:szCs w:val="18"/>
                <w:color w:val="auto"/>
              </w:rPr>
              <w:t>Accretion expense</w:t>
            </w:r>
          </w:p>
        </w:tc>
        <w:tc>
          <w:tcPr>
            <w:tcW w:w="920" w:type="dxa"/>
            <w:vAlign w:val="bottom"/>
          </w:tcPr>
          <w:p>
            <w:pPr>
              <w:spacing w:after="0"/>
              <w:rPr>
                <w:sz w:val="22"/>
                <w:szCs w:val="22"/>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42"/>
        </w:trPr>
        <w:tc>
          <w:tcPr>
            <w:tcW w:w="6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295"/>
        </w:trPr>
        <w:tc>
          <w:tcPr>
            <w:tcW w:w="666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Adjusted to expense (cost of sales and other operating credits and charges, net)</w:t>
            </w:r>
          </w:p>
        </w:tc>
        <w:tc>
          <w:tcPr>
            <w:tcW w:w="92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104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jc w:val="right"/>
              <w:ind w:right="50"/>
              <w:spacing w:after="0"/>
              <w:rPr>
                <w:sz w:val="20"/>
                <w:szCs w:val="20"/>
                <w:color w:val="auto"/>
              </w:rPr>
            </w:pPr>
            <w:r>
              <w:rPr>
                <w:rFonts w:ascii="Arial" w:cs="Arial" w:eastAsia="Arial" w:hAnsi="Arial"/>
                <w:sz w:val="18"/>
                <w:szCs w:val="18"/>
                <w:color w:val="auto"/>
              </w:rPr>
              <w:t>1</w:t>
            </w:r>
          </w:p>
        </w:tc>
      </w:tr>
      <w:tr>
        <w:trPr>
          <w:trHeight w:val="260"/>
        </w:trPr>
        <w:tc>
          <w:tcPr>
            <w:tcW w:w="6660" w:type="dxa"/>
            <w:vAlign w:val="bottom"/>
            <w:tcBorders>
              <w:top w:val="single" w:sz="8" w:color="E6E6E6"/>
            </w:tcBorders>
          </w:tcPr>
          <w:p>
            <w:pPr>
              <w:ind w:left="60"/>
              <w:spacing w:after="0"/>
              <w:rPr>
                <w:sz w:val="20"/>
                <w:szCs w:val="20"/>
                <w:color w:val="auto"/>
              </w:rPr>
            </w:pPr>
            <w:r>
              <w:rPr>
                <w:rFonts w:ascii="Arial" w:cs="Arial" w:eastAsia="Arial" w:hAnsi="Arial"/>
                <w:sz w:val="18"/>
                <w:szCs w:val="18"/>
                <w:b w:val="1"/>
                <w:bCs w:val="1"/>
                <w:color w:val="auto"/>
              </w:rPr>
              <w:t>Ending balance</w:t>
            </w:r>
          </w:p>
        </w:tc>
        <w:tc>
          <w:tcPr>
            <w:tcW w:w="92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tcBorders>
              <w:top w:val="single" w:sz="8" w:color="E6E6E6"/>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r>
      <w:tr>
        <w:trPr>
          <w:trHeight w:val="20"/>
        </w:trPr>
        <w:tc>
          <w:tcPr>
            <w:tcW w:w="6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-793115</wp:posOffset>
            </wp:positionV>
            <wp:extent cx="173037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48">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-221615</wp:posOffset>
            </wp:positionV>
            <wp:extent cx="173037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49">
                      <a:extLst>
                        <a:ext uri="{28A0092B-C50C-407E-A947-70E740481C1C}"/>
                      </a:extLst>
                    </a:blip>
                    <a:srcRect/>
                    <a:stretch>
                      <a:fillRect/>
                    </a:stretch>
                  </pic:blipFill>
                  <pic:spPr bwMode="auto">
                    <a:xfrm>
                      <a:off x="0" y="0"/>
                      <a:ext cx="1730375" cy="2540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account for income taxes under an asset and liability approach that requires the recognition of deferred tax assets and liabilities for the expected future tax consequences of events that have been recognized in our Consolidated Financial Statements or tax returns. In estimating future tax consequences, we generally consider all expected future events other than the enactment of changes in tax laws or rates. The effect on deferred tax assets and liabilities of a change in tax rates will be recognized as income or expense in the period that includes the enactment date. Additionally, deferred tax assets are reduced by a valuation allowance when it is more likely than not that some portion of the deferred tax assets will not be realized.</w:t>
      </w:r>
    </w:p>
    <w:p>
      <w:pPr>
        <w:spacing w:after="0" w:line="73"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We recognize the effect of income tax positions only if those positions are more likely than not to be sustained. Recognized income tax positions are measured at the largest amount that is greater than 50% likely of being realized. Changes in recognition or measurement are reflected in the period in which the change in judgment occurs.</w:t>
      </w:r>
    </w:p>
    <w:p>
      <w:pPr>
        <w:spacing w:after="0" w:line="4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We classify interest related to income tax liabilities or uncertain tax positions as interest expense or interest income and, if applicable, penalties are recognized as a component of income tax expense.</w:t>
      </w:r>
    </w:p>
    <w:p>
      <w:pPr>
        <w:sectPr>
          <w:pgSz w:w="11880" w:h="15480" w:orient="portrait"/>
          <w:cols w:equalWidth="0" w:num="1">
            <w:col w:w="9360"/>
          </w:cols>
          <w:pgMar w:left="1260" w:top="1190" w:right="1260" w:bottom="225"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9360"/>
          </w:cols>
          <w:pgMar w:left="1260" w:top="1190" w:right="1260" w:bottom="225" w:gutter="0" w:footer="0" w:header="0"/>
          <w:type w:val="continuous"/>
        </w:sectPr>
      </w:pPr>
    </w:p>
    <w:bookmarkStart w:id="74" w:name="page75"/>
    <w:bookmarkEnd w:id="74"/>
    <w:p>
      <w:pPr>
        <w:jc w:val="both"/>
        <w:spacing w:after="0" w:line="283" w:lineRule="auto"/>
        <w:rPr>
          <w:sz w:val="20"/>
          <w:szCs w:val="20"/>
          <w:color w:val="auto"/>
        </w:rPr>
      </w:pPr>
      <w:r>
        <w:rPr>
          <w:rFonts w:ascii="Arial" w:cs="Arial" w:eastAsia="Arial" w:hAnsi="Arial"/>
          <w:sz w:val="20"/>
          <w:szCs w:val="20"/>
          <w:color w:val="auto"/>
        </w:rPr>
        <w:t>We are subject to global intangible low-taxed income, an incremental tax on foreign income. We have made an accounting election to record this tax in the period the tax arises.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have stock award plans covering certain key employees and directors, which provide for awards of restricted stock units, performance stock units, stock-settled stock appreciation rights (SSARS), and stock options. In addition, we offer an employee stock purchase plan to employees.</w:t>
      </w:r>
    </w:p>
    <w:p>
      <w:pPr>
        <w:spacing w:after="0" w:line="75"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fair value of our restricted stock and restricted stock units is the closing stock price of LP’s common stock the day preceding the grant date. The fair value of our performance stock units is estimated using the Monte Carlo simulation pricing model. The key assumptions used in this model include expected volatility, risk-free rate, and average and grant date stock prices. The estimate of expected volatility for performance stock units is based upon historical stock price volatility and the length of the performance period. The risk-free interest rate is based on zero-coupon U.S. Treasury bonds. The beginning average stock price equals the average closing value stock price over the defined period of trading days with the assumption that dividends distributed during the period were reinvested.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functional currency for our Canadian subsidiaries is the U.S. dollar. The books and records for these subsidiaries are maintained in the Canadian dollar. The financial statements of these foreign subsidiaries are remeasured into U.S. dollars using the historical exchange rate for property, plant, and equipment, timber and timberlands (related depreciation and amortization on both property, plant, and equipment and timber and timberlands), goodwill, and certain other non-monetary assets. We use the exchange rate at the balance sheet date for the remaining assets and liabilities, including deferred taxes. A weighted average exchange rate is used for each period for revenues and expenses. These transaction gains or losses are recorded in other non-operating income (expense) on the Consolidated Statements of Income.</w:t>
      </w:r>
    </w:p>
    <w:p>
      <w:pPr>
        <w:spacing w:after="0" w:line="85"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functional currencies of our Chilean, Brazilian, Colombian, Peruvian, Paraguayan, and Mexican subsidiaries are their respective local currencies. Assets and liabilities are translated into U.S. dollars using rates of exchange at the balance sheet date. Translation adjustments, which are based upon the exchange rate at the balance sheet date for assets and liabilities and the weighted average rate for the income statement, are recorded in accumulated comprehensive loss in stockholders’ equity on the Consolidated Balance Sheets. Our Argentine subsidiary operates under a highly inflationary economy and uses the Chilean Peso as the functional currency. Transaction gains and losses are recorded in other non-operating items on the Consolidated Statements of Income.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Advertising Costs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Advertising costs of $40 million, $37 million, and $25 million in 2025, 2024, and 2023, respectively, are principally expensed as incurred and included as part of selling, general, and administrative expenses within our Consolidated Statements of Income. Advertising costs include product displays, media production costs, agency fees, sponsorships, and cooperating advertising.</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Operating Credits and Charges, Net</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classify amounts unrelated to ongoing core operating activities as other operating credits and charges, net in the Consolidated Statements of Income. Such items include, but are not limited to, restructuring charges (including severance charges), business exit credits and charges, charges to establish and maintain litigation or environmental reserves, product reserves, gains or losses from settlements with governmental or other organizations, and gains or losses on the sale or disposal of long-lived assets. Due to the nature of these items, amounts in the income statement can fluctuate from year to year. The determination of which items are considered significant and unrelated to core operations is based upon management’s judgment.</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Retirement Benefits</w:t>
      </w:r>
    </w:p>
    <w:p>
      <w:pPr>
        <w:spacing w:after="0" w:line="137"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We are required to use actuarial methods and assumptions in the valuation of defined benefit obligations and the determination of expense. Actuarial gains or losses, curtailments, prior service costs or credits, and transition obligations not previously recognized are recorded as a component of accumulated comprehensive loss.</w:t>
      </w:r>
    </w:p>
    <w:p>
      <w:pPr>
        <w:sectPr>
          <w:pgSz w:w="11880" w:h="15480" w:orient="portrait"/>
          <w:cols w:equalWidth="0" w:num="1">
            <w:col w:w="9360"/>
          </w:cols>
          <w:pgMar w:left="1260" w:top="1197"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9360"/>
          </w:cols>
          <w:pgMar w:left="1260" w:top="1197" w:right="1260" w:bottom="225" w:gutter="0" w:footer="0" w:header="0"/>
          <w:type w:val="continuous"/>
        </w:sectPr>
      </w:pPr>
    </w:p>
    <w:bookmarkStart w:id="75" w:name="page76"/>
    <w:bookmarkEnd w:id="75"/>
    <w:p>
      <w:pPr>
        <w:spacing w:after="0"/>
        <w:rPr>
          <w:sz w:val="20"/>
          <w:szCs w:val="20"/>
          <w:color w:val="auto"/>
        </w:rPr>
      </w:pPr>
      <w:r>
        <w:rPr>
          <w:rFonts w:ascii="Arial" w:cs="Arial" w:eastAsia="Arial" w:hAnsi="Arial"/>
          <w:sz w:val="20"/>
          <w:szCs w:val="20"/>
          <w:b w:val="1"/>
          <w:bCs w:val="1"/>
          <w:color w:val="auto"/>
        </w:rPr>
        <w:t>Comprehensive Income</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Comprehensive income consists of net income and other gains and losses affecting stockholders’ equity that are excluded from net income, including foreign currency translation adjustments and costs associated with pension or other post-retirement benefits that have not been recognized as components of net periodic benefit costs and is presented in the accompanying Consolidated Statements of Comprehensive Income.</w:t>
      </w:r>
    </w:p>
    <w:p>
      <w:pPr>
        <w:spacing w:after="0" w:line="57" w:lineRule="exact"/>
        <w:rPr>
          <w:sz w:val="20"/>
          <w:szCs w:val="20"/>
          <w:color w:val="auto"/>
        </w:rPr>
      </w:pPr>
    </w:p>
    <w:p>
      <w:pPr>
        <w:ind w:right="2280"/>
        <w:spacing w:after="0" w:line="377" w:lineRule="auto"/>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PRESENT AND PROSPECTIVE ACCOUNTING PRONOUNCEMENTS Recently Adopted Accounting Pronouncements</w:t>
      </w:r>
    </w:p>
    <w:p>
      <w:pPr>
        <w:spacing w:after="0" w:line="1"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Income Taxes (Topic 740): Improvements to Income Tax Disclosures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 December 2023, the Financial Accounting Standards Board (FASB) issued Accounting Standards Update (ASU) 2023-09, Income Taxes (Topic 740): Improvements to Income Tax Disclosures, which focuses on the rate reconciliation and income taxes paid. ASU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This pronouncement is effective for fiscal years beginning after December 15, 2024, with early adoption permitted. We have adopted ASU 2023-09 for the year ended December 31, 2025, on a prospective basis. See “Note 6 - Income Taxes” of the Notes to the Consolidated Financial Statements included in Item 8 of this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Pronouncements Not Yet Adopted</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Statement (Subtopic 220-40): Disaggregation of Income Statement Expenses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 November 2024, the FASB issued ASU 2024-03, Income Statement—Reporting Comprehensive Income— Expense Disaggregation Disclosures (Subtopic 220-40), which requires entities to provide more detailed disaggregation of expenses in the income statement, focusing on the nature of the expenses rather than their function. ASU 2024-03 will require entities to separately present expenses for significant line items, including but not limited to, depreciation, amortization, and employee compensation. Entities will also be required to provide a qualitative description of the amounts remaining in relevant expense captions that are not separately disaggregated quantitatively, disclose the total amount of selling expenses and, in annual reporting periods, provide a definition of what constitutes selling expenses. This pronouncement is effective for fiscal years beginning after December 15, 2026, and interim periods within fiscal years beginning after December 15, 2027, with early adoption permitted. We are currently evaluating the impact of adopting this ASU on our consolidated financial statements and related disclosures.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b w:val="1"/>
          <w:bCs w:val="1"/>
          <w:i w:val="1"/>
          <w:iCs w:val="1"/>
          <w:color w:val="auto"/>
        </w:rPr>
        <w:t>Intangibles - Goodwill and Other-Internal-Use Software (Subtopic 350-40): Targeted Improvements to the Accounting for Internal-Use Software</w:t>
      </w:r>
    </w:p>
    <w:p>
      <w:pPr>
        <w:spacing w:after="0" w:line="5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In September 2025, the FASB issued ASU 2025-06, Intangibles-Goodwill and Other-Internal-Use Software (Subtopic 350-40): Targeted Improvements to the Accounting for Internal-Use Software, which modernizes the accounting for costs related to internal-use software by removing all references to project stages and clarifying the threshold entities apply to begin capitalizing costs. The guidance is effective for annual reporting periods beginning after December 15, 2027, and interim reporting periods within those annual reporting periods, and may be applied using a prospective, retrospective or modified transition approach. Early adoption is permitted as of the beginning of an annual reporting period. We are currently evaluating the impact of adopting this ASU on our consolidated financial statements and related disclosures.</w:t>
      </w:r>
    </w:p>
    <w:p>
      <w:pPr>
        <w:spacing w:after="0" w:line="187" w:lineRule="exact"/>
        <w:rPr>
          <w:sz w:val="20"/>
          <w:szCs w:val="20"/>
          <w:color w:val="auto"/>
        </w:rPr>
      </w:pPr>
    </w:p>
    <w:p>
      <w:pPr>
        <w:ind w:left="720" w:hanging="72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25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disaggregate revenue from contracts with customers into major product lines. We have determined that disaggregating revenue into these categories depicts how the nature, amount, timing, and uncertainty of revenue and cash flows are affected by economic factors.</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9360"/>
          </w:cols>
          <w:pgMar w:left="1260" w:top="1190" w:right="1260" w:bottom="225" w:gutter="0" w:footer="0" w:header="0"/>
          <w:type w:val="continuous"/>
        </w:sectPr>
      </w:pPr>
    </w:p>
    <w:bookmarkStart w:id="76" w:name="page77"/>
    <w:bookmarkEnd w:id="76"/>
    <w:p>
      <w:pPr>
        <w:jc w:val="both"/>
        <w:spacing w:after="0" w:line="254" w:lineRule="auto"/>
        <w:rPr>
          <w:sz w:val="20"/>
          <w:szCs w:val="20"/>
          <w:color w:val="auto"/>
        </w:rPr>
      </w:pPr>
      <w:r>
        <w:rPr>
          <w:rFonts w:ascii="Arial" w:cs="Arial" w:eastAsia="Arial" w:hAnsi="Arial"/>
          <w:sz w:val="20"/>
          <w:szCs w:val="20"/>
          <w:color w:val="auto"/>
        </w:rPr>
        <w:t>The Company conducts business through three operating segments: Siding, OSB and LPSA. In the fourth quarter of 2025, the Company determined that LPSA did not meet the reportable segment criteria and beginning with the fourth quarter of 2025, the financial information for the LPSA operating segment is included in Other. These changes had no impact on our consolidated results of operations or financial position. Prior period segment information has been recast to conform to our current presentation. Our other operating segments, Siding and OSB remain reportable operating segments. Other now comprises our South American operations and other products that are not individually significant. See “Note 15 - Segment Information” of the Notes to the Consolidated Financial Statements included in Item 8 of this annual report on Form 10-K for further information regarding our reportable segments.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revenues disaggregated by revenue source (dollar amounts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bottom w:val="single" w:sz="8" w:color="auto"/>
            </w:tcBorders>
          </w:tcPr>
          <w:p>
            <w:pPr>
              <w:spacing w:after="0"/>
              <w:rPr>
                <w:sz w:val="21"/>
                <w:szCs w:val="21"/>
                <w:color w:val="auto"/>
              </w:rPr>
            </w:pPr>
          </w:p>
        </w:tc>
      </w:tr>
      <w:tr>
        <w:trPr>
          <w:trHeight w:val="280"/>
        </w:trPr>
        <w:tc>
          <w:tcPr>
            <w:tcW w:w="532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bottom w:val="single" w:sz="8" w:color="E6E6E6"/>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290"/>
        </w:trPr>
        <w:tc>
          <w:tcPr>
            <w:tcW w:w="5320" w:type="dxa"/>
            <w:vAlign w:val="bottom"/>
            <w:shd w:val="clear" w:color="auto" w:fill="E6E6E6"/>
          </w:tcPr>
          <w:p>
            <w:pPr>
              <w:ind w:left="180"/>
              <w:spacing w:after="0"/>
              <w:rPr>
                <w:sz w:val="20"/>
                <w:szCs w:val="20"/>
                <w:color w:val="auto"/>
              </w:rPr>
            </w:pPr>
            <w:r>
              <w:rPr>
                <w:rFonts w:ascii="Arial" w:cs="Arial" w:eastAsia="Arial" w:hAnsi="Arial"/>
                <w:sz w:val="18"/>
                <w:szCs w:val="18"/>
                <w:color w:val="auto"/>
              </w:rPr>
              <w:t>Siding</w:t>
            </w:r>
          </w:p>
        </w:tc>
        <w:tc>
          <w:tcPr>
            <w:tcW w:w="320" w:type="dxa"/>
            <w:vAlign w:val="bottom"/>
            <w:shd w:val="clear" w:color="auto" w:fill="E6E6E6"/>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1,679</w:t>
            </w:r>
          </w:p>
        </w:tc>
        <w:tc>
          <w:tcPr>
            <w:tcW w:w="20" w:type="dxa"/>
            <w:vAlign w:val="bottom"/>
            <w:shd w:val="clear" w:color="auto" w:fill="E6E6E6"/>
          </w:tcPr>
          <w:p>
            <w:pPr>
              <w:spacing w:after="0"/>
              <w:rPr>
                <w:sz w:val="24"/>
                <w:szCs w:val="24"/>
                <w:color w:val="auto"/>
              </w:rPr>
            </w:pPr>
          </w:p>
        </w:tc>
        <w:tc>
          <w:tcPr>
            <w:tcW w:w="360" w:type="dxa"/>
            <w:vAlign w:val="bottom"/>
            <w:gridSpan w:val="3"/>
            <w:shd w:val="clear" w:color="auto" w:fill="E6E6E6"/>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1,549</w:t>
            </w:r>
          </w:p>
        </w:tc>
        <w:tc>
          <w:tcPr>
            <w:tcW w:w="440" w:type="dxa"/>
            <w:vAlign w:val="bottom"/>
            <w:gridSpan w:val="2"/>
            <w:shd w:val="clear" w:color="auto" w:fill="E6E6E6"/>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1,319</w:t>
            </w:r>
          </w:p>
        </w:tc>
      </w:tr>
      <w:tr>
        <w:trPr>
          <w:trHeight w:val="290"/>
        </w:trPr>
        <w:tc>
          <w:tcPr>
            <w:tcW w:w="5320" w:type="dxa"/>
            <w:vAlign w:val="bottom"/>
            <w:tcBorders>
              <w:bottom w:val="single" w:sz="8" w:color="E6E6E6"/>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E6E6E6"/>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90"/>
        </w:trPr>
        <w:tc>
          <w:tcPr>
            <w:tcW w:w="532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Net sales attributable to Siding</w:t>
            </w:r>
          </w:p>
        </w:tc>
        <w:tc>
          <w:tcPr>
            <w:tcW w:w="3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1,689</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1,558</w:t>
            </w: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1,328</w:t>
            </w:r>
          </w:p>
        </w:tc>
      </w:tr>
      <w:tr>
        <w:trPr>
          <w:trHeight w:val="293"/>
        </w:trPr>
        <w:tc>
          <w:tcPr>
            <w:tcW w:w="5320" w:type="dxa"/>
            <w:vAlign w:val="bottom"/>
          </w:tcPr>
          <w:p>
            <w:pPr>
              <w:ind w:left="180"/>
              <w:spacing w:after="0"/>
              <w:rPr>
                <w:sz w:val="20"/>
                <w:szCs w:val="20"/>
                <w:color w:val="auto"/>
              </w:rPr>
            </w:pPr>
            <w:r>
              <w:rPr>
                <w:rFonts w:ascii="Arial" w:cs="Arial" w:eastAsia="Arial" w:hAnsi="Arial"/>
                <w:sz w:val="18"/>
                <w:szCs w:val="18"/>
                <w:color w:val="auto"/>
              </w:rPr>
              <w:t>OSB - Structural Solutions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307"/>
        </w:trPr>
        <w:tc>
          <w:tcPr>
            <w:tcW w:w="5320" w:type="dxa"/>
            <w:vAlign w:val="bottom"/>
            <w:shd w:val="clear" w:color="auto" w:fill="E6E6E6"/>
          </w:tcPr>
          <w:p>
            <w:pPr>
              <w:ind w:left="180"/>
              <w:spacing w:after="0"/>
              <w:rPr>
                <w:sz w:val="20"/>
                <w:szCs w:val="20"/>
                <w:color w:val="auto"/>
              </w:rPr>
            </w:pPr>
            <w:r>
              <w:rPr>
                <w:rFonts w:ascii="Arial" w:cs="Arial" w:eastAsia="Arial" w:hAnsi="Arial"/>
                <w:sz w:val="18"/>
                <w:szCs w:val="18"/>
                <w:color w:val="auto"/>
              </w:rPr>
              <w:t>OSB - Commodity</w:t>
            </w:r>
          </w:p>
        </w:tc>
        <w:tc>
          <w:tcPr>
            <w:tcW w:w="3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347</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514</w:t>
            </w: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446</w:t>
            </w:r>
          </w:p>
        </w:tc>
      </w:tr>
      <w:tr>
        <w:trPr>
          <w:trHeight w:val="290"/>
        </w:trPr>
        <w:tc>
          <w:tcPr>
            <w:tcW w:w="5320" w:type="dxa"/>
            <w:vAlign w:val="bottom"/>
            <w:tcBorders>
              <w:bottom w:val="single" w:sz="8" w:color="E6E6E6"/>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E6E6E6"/>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E6E6E6"/>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90"/>
        </w:trPr>
        <w:tc>
          <w:tcPr>
            <w:tcW w:w="532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Net sales attributable to OSB</w:t>
            </w:r>
          </w:p>
        </w:tc>
        <w:tc>
          <w:tcPr>
            <w:tcW w:w="320" w:type="dxa"/>
            <w:vAlign w:val="bottom"/>
            <w:shd w:val="clear" w:color="auto" w:fill="E6E6E6"/>
          </w:tcPr>
          <w:p>
            <w:pPr>
              <w:spacing w:after="0"/>
              <w:rPr>
                <w:sz w:val="24"/>
                <w:szCs w:val="24"/>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832</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1,184</w:t>
            </w:r>
          </w:p>
        </w:tc>
        <w:tc>
          <w:tcPr>
            <w:tcW w:w="60" w:type="dxa"/>
            <w:vAlign w:val="bottom"/>
            <w:shd w:val="clear" w:color="auto" w:fill="E6E6E6"/>
          </w:tcPr>
          <w:p>
            <w:pPr>
              <w:spacing w:after="0"/>
              <w:rPr>
                <w:sz w:val="24"/>
                <w:szCs w:val="24"/>
                <w:color w:val="auto"/>
              </w:rPr>
            </w:pPr>
          </w:p>
        </w:tc>
        <w:tc>
          <w:tcPr>
            <w:tcW w:w="38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1,026</w:t>
            </w:r>
          </w:p>
        </w:tc>
      </w:tr>
      <w:tr>
        <w:trPr>
          <w:trHeight w:val="290"/>
        </w:trPr>
        <w:tc>
          <w:tcPr>
            <w:tcW w:w="5320" w:type="dxa"/>
            <w:vAlign w:val="bottom"/>
            <w:tcBorders>
              <w:bottom w:val="single" w:sz="8" w:color="E6E6E6"/>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0" w:type="dxa"/>
            <w:vAlign w:val="bottom"/>
            <w:tcBorders>
              <w:bottom w:val="single" w:sz="8" w:color="E6E6E6"/>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Borders>
              <w:bottom w:val="single" w:sz="8" w:color="E6E6E6"/>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80"/>
        </w:trPr>
        <w:tc>
          <w:tcPr>
            <w:tcW w:w="532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Total Sales</w:t>
            </w:r>
          </w:p>
        </w:tc>
        <w:tc>
          <w:tcPr>
            <w:tcW w:w="320" w:type="dxa"/>
            <w:vAlign w:val="bottom"/>
            <w:shd w:val="clear" w:color="auto" w:fill="E6E6E6"/>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2,708</w:t>
            </w:r>
          </w:p>
        </w:tc>
        <w:tc>
          <w:tcPr>
            <w:tcW w:w="20" w:type="dxa"/>
            <w:vAlign w:val="bottom"/>
            <w:shd w:val="clear" w:color="auto" w:fill="E6E6E6"/>
          </w:tcPr>
          <w:p>
            <w:pPr>
              <w:spacing w:after="0"/>
              <w:rPr>
                <w:sz w:val="24"/>
                <w:szCs w:val="24"/>
                <w:color w:val="auto"/>
              </w:rPr>
            </w:pPr>
          </w:p>
        </w:tc>
        <w:tc>
          <w:tcPr>
            <w:tcW w:w="360" w:type="dxa"/>
            <w:vAlign w:val="bottom"/>
            <w:gridSpan w:val="3"/>
            <w:shd w:val="clear" w:color="auto" w:fill="E6E6E6"/>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2,941</w:t>
            </w:r>
          </w:p>
        </w:tc>
        <w:tc>
          <w:tcPr>
            <w:tcW w:w="440" w:type="dxa"/>
            <w:vAlign w:val="bottom"/>
            <w:gridSpan w:val="2"/>
            <w:shd w:val="clear" w:color="auto" w:fill="E6E6E6"/>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2,581</w:t>
            </w:r>
          </w:p>
        </w:tc>
      </w:tr>
      <w:tr>
        <w:trPr>
          <w:trHeight w:val="20"/>
        </w:trPr>
        <w:tc>
          <w:tcPr>
            <w:tcW w:w="5320" w:type="dxa"/>
            <w:vAlign w:val="bottom"/>
            <w:tcBorders>
              <w:top w:val="single" w:sz="8" w:color="E6E6E6"/>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4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3368675</wp:posOffset>
            </wp:positionH>
            <wp:positionV relativeFrom="paragraph">
              <wp:posOffset>-1745615</wp:posOffset>
            </wp:positionV>
            <wp:extent cx="258762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50">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-1364615</wp:posOffset>
            </wp:positionV>
            <wp:extent cx="258762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51">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-602615</wp:posOffset>
            </wp:positionV>
            <wp:extent cx="258762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52">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-221615</wp:posOffset>
            </wp:positionV>
            <wp:extent cx="258762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53">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-43815</wp:posOffset>
            </wp:positionV>
            <wp:extent cx="2587625" cy="508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54">
                      <a:extLst>
                        <a:ext uri="{28A0092B-C50C-407E-A947-70E740481C1C}"/>
                      </a:extLst>
                    </a:blip>
                    <a:srcRect/>
                    <a:stretch>
                      <a:fillRect/>
                    </a:stretch>
                  </pic:blipFill>
                  <pic:spPr bwMode="auto">
                    <a:xfrm>
                      <a:off x="0" y="0"/>
                      <a:ext cx="2587625" cy="50800"/>
                    </a:xfrm>
                    <a:prstGeom prst="rect">
                      <a:avLst/>
                    </a:prstGeom>
                    <a:noFill/>
                  </pic:spPr>
                </pic:pic>
              </a:graphicData>
            </a:graphic>
          </wp:anchor>
        </w:drawing>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Revenue is recognized when obligations under the terms of a contract (</w:t>
      </w:r>
      <w:r>
        <w:rPr>
          <w:rFonts w:ascii="Arial" w:cs="Arial" w:eastAsia="Arial" w:hAnsi="Arial"/>
          <w:sz w:val="18"/>
          <w:szCs w:val="18"/>
          <w:b w:val="1"/>
          <w:bCs w:val="1"/>
          <w:i w:val="1"/>
          <w:iCs w:val="1"/>
          <w:color w:val="auto"/>
        </w:rPr>
        <w:t>e.g.</w:t>
      </w:r>
      <w:r>
        <w:rPr>
          <w:rFonts w:ascii="Arial" w:cs="Arial" w:eastAsia="Arial" w:hAnsi="Arial"/>
          <w:sz w:val="18"/>
          <w:szCs w:val="18"/>
          <w:color w:val="auto"/>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55" w:lineRule="exact"/>
        <w:rPr>
          <w:sz w:val="20"/>
          <w:szCs w:val="20"/>
          <w:color w:val="auto"/>
        </w:rPr>
      </w:pPr>
    </w:p>
    <w:p>
      <w:pPr>
        <w:jc w:val="both"/>
        <w:spacing w:after="0" w:line="341" w:lineRule="auto"/>
        <w:rPr>
          <w:sz w:val="20"/>
          <w:szCs w:val="20"/>
          <w:color w:val="auto"/>
        </w:rPr>
      </w:pPr>
      <w:r>
        <w:rPr>
          <w:rFonts w:ascii="Arial" w:cs="Arial" w:eastAsia="Arial" w:hAnsi="Arial"/>
          <w:sz w:val="18"/>
          <w:szCs w:val="18"/>
          <w:color w:val="auto"/>
        </w:rPr>
        <w:t>During 2025, 2024, and 2023, our top ten customers accounted for approximately 47%, 49%, and 50% of our sales, respectively, in the aggregate. No individual customer exceeded 10% of our sales in 2025, 2024, or 2023.</w:t>
      </w:r>
    </w:p>
    <w:p>
      <w:pPr>
        <w:spacing w:after="0" w:line="1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Our businesses routinely incur customer program costs to obtain favorable product placement, promote sales of products, and maintain competitive pricing. Customer program costs and incentives, including rebates and promotion and volume allowances, are accounted for as a reduction in net sales at the time the program is initiated and/or the revenue is recognized. The costs include, but are not limited to, volume allowances and rebates, promotional allowances, and cooperative advertising programs. These costs are recorded at the later of the time of sale or the implementation of the program based on management’s best estimates. Estimates are based on historical and projected experience for each type of program or customer. Volume allowances are accrued based on our estimates of customer volume achievement and other factors incorporated into customer agreements, such as new product purchases, store sell-through, merchandising support, and customer training. Management adjusts accruals when circumstances indicate (typically as a result of a change in volume expectations). As of December 31, 2025 and 2024, we accrued $50 million and $48 million, respectively, for customer rebates recorded in accounts payable and accrued liabilities on our Consolidated Balance Sheets.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 The amount of consignment inventory as of December 31, 2025 and 2024, was $18 million and $23 million, respectively.</w:t>
      </w:r>
    </w:p>
    <w:p>
      <w:pPr>
        <w:sectPr>
          <w:pgSz w:w="11880" w:h="15480" w:orient="portrait"/>
          <w:cols w:equalWidth="0" w:num="1">
            <w:col w:w="9360"/>
          </w:cols>
          <w:pgMar w:left="1260" w:top="1197" w:right="1260" w:bottom="2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9360"/>
          </w:cols>
          <w:pgMar w:left="1260" w:top="1197" w:right="1260" w:bottom="227" w:gutter="0" w:footer="0" w:header="0"/>
          <w:type w:val="continuous"/>
        </w:sectPr>
      </w:pPr>
    </w:p>
    <w:bookmarkStart w:id="77" w:name="page78"/>
    <w:bookmarkEnd w:id="77"/>
    <w:p>
      <w:pPr>
        <w:ind w:left="720" w:hanging="72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EARNINGS PER SHARE</w:t>
      </w:r>
    </w:p>
    <w:p>
      <w:pPr>
        <w:spacing w:after="0" w:line="25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Basic earnings per share is based on the weighted average number of shares of common stock outstanding. Diluted earnings per share is based upon the weighted 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SSARs, restricted stock or units, and performance stock units) be excluded from the calculation of diluted earnings per share for the periods in which losses from continuing operations are reported because the effect is anti-dilutive.</w:t>
      </w:r>
    </w:p>
    <w:p>
      <w:pPr>
        <w:spacing w:after="0" w:line="90"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following table sets forth the computation of basic and diluted earnings per share (dollar and share amounts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96"/>
              </w:rPr>
              <w:t>Year Ended December 31,</w:t>
            </w:r>
          </w:p>
        </w:tc>
        <w:tc>
          <w:tcPr>
            <w:tcW w:w="920" w:type="dxa"/>
            <w:vAlign w:val="bottom"/>
            <w:tcBorders>
              <w:bottom w:val="single" w:sz="8" w:color="auto"/>
            </w:tcBorders>
          </w:tcPr>
          <w:p>
            <w:pPr>
              <w:spacing w:after="0"/>
              <w:rPr>
                <w:sz w:val="21"/>
                <w:szCs w:val="21"/>
                <w:color w:val="auto"/>
              </w:rPr>
            </w:pPr>
          </w:p>
        </w:tc>
      </w:tr>
      <w:tr>
        <w:trPr>
          <w:trHeight w:val="247"/>
        </w:trPr>
        <w:tc>
          <w:tcPr>
            <w:tcW w:w="5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33"/>
        </w:trPr>
        <w:tc>
          <w:tcPr>
            <w:tcW w:w="5340" w:type="dxa"/>
            <w:vAlign w:val="bottom"/>
            <w:tcBorders>
              <w:bottom w:val="single" w:sz="8" w:color="E6E6E6"/>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Net income</w:t>
            </w:r>
          </w:p>
        </w:tc>
        <w:tc>
          <w:tcPr>
            <w:tcW w:w="860" w:type="dxa"/>
            <w:vAlign w:val="bottom"/>
            <w:tcBorders>
              <w:bottom w:val="single" w:sz="8" w:color="E6E6E6"/>
            </w:tcBorders>
            <w:shd w:val="clear" w:color="auto" w:fill="E6E6E6"/>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146</w:t>
            </w:r>
          </w:p>
        </w:tc>
        <w:tc>
          <w:tcPr>
            <w:tcW w:w="360" w:type="dxa"/>
            <w:vAlign w:val="bottom"/>
            <w:tcBorders>
              <w:bottom w:val="single" w:sz="8" w:color="E6E6E6"/>
            </w:tcBorders>
            <w:gridSpan w:val="3"/>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420</w:t>
            </w:r>
          </w:p>
        </w:tc>
        <w:tc>
          <w:tcPr>
            <w:tcW w:w="440" w:type="dxa"/>
            <w:vAlign w:val="bottom"/>
            <w:tcBorders>
              <w:bottom w:val="single" w:sz="8" w:color="E6E6E6"/>
            </w:tcBorders>
            <w:gridSpan w:val="3"/>
            <w:shd w:val="clear" w:color="auto" w:fill="E6E6E6"/>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178</w:t>
            </w:r>
          </w:p>
        </w:tc>
      </w:tr>
      <w:tr>
        <w:trPr>
          <w:trHeight w:val="300"/>
        </w:trPr>
        <w:tc>
          <w:tcPr>
            <w:tcW w:w="5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0"/>
        </w:trPr>
        <w:tc>
          <w:tcPr>
            <w:tcW w:w="534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Weighted average common shares outstanding - basic</w:t>
            </w:r>
          </w:p>
        </w:tc>
        <w:tc>
          <w:tcPr>
            <w:tcW w:w="86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70</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72</w:t>
            </w:r>
          </w:p>
        </w:tc>
      </w:tr>
      <w:tr>
        <w:trPr>
          <w:trHeight w:val="258"/>
        </w:trPr>
        <w:tc>
          <w:tcPr>
            <w:tcW w:w="5340" w:type="dxa"/>
            <w:vAlign w:val="bottom"/>
          </w:tcPr>
          <w:p>
            <w:pPr>
              <w:ind w:left="180"/>
              <w:spacing w:after="0"/>
              <w:rPr>
                <w:sz w:val="20"/>
                <w:szCs w:val="20"/>
                <w:color w:val="auto"/>
              </w:rPr>
            </w:pPr>
            <w:r>
              <w:rPr>
                <w:rFonts w:ascii="Arial" w:cs="Arial" w:eastAsia="Arial" w:hAnsi="Arial"/>
                <w:sz w:val="18"/>
                <w:szCs w:val="18"/>
                <w:color w:val="auto"/>
              </w:rPr>
              <w:t>Dilutive effect of employee stock plans</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
        </w:trPr>
        <w:tc>
          <w:tcPr>
            <w:tcW w:w="5340" w:type="dxa"/>
            <w:vAlign w:val="bottom"/>
            <w:tcBorders>
              <w:bottom w:val="single" w:sz="8" w:color="E6E6E6"/>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00"/>
        </w:trPr>
        <w:tc>
          <w:tcPr>
            <w:tcW w:w="53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Shares used for diluted earnings per share</w:t>
            </w:r>
          </w:p>
        </w:tc>
        <w:tc>
          <w:tcPr>
            <w:tcW w:w="860" w:type="dxa"/>
            <w:vAlign w:val="bottom"/>
            <w:tcBorders>
              <w:bottom w:val="single" w:sz="8" w:color="auto"/>
            </w:tcBorders>
            <w:shd w:val="clear" w:color="auto" w:fill="E6E6E6"/>
          </w:tcPr>
          <w:p>
            <w:pPr>
              <w:spacing w:after="0"/>
              <w:rPr>
                <w:sz w:val="24"/>
                <w:szCs w:val="24"/>
                <w:color w:val="auto"/>
              </w:rPr>
            </w:pPr>
          </w:p>
        </w:tc>
        <w:tc>
          <w:tcPr>
            <w:tcW w:w="4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70</w:t>
            </w:r>
          </w:p>
        </w:tc>
        <w:tc>
          <w:tcPr>
            <w:tcW w:w="6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72</w:t>
            </w:r>
          </w:p>
        </w:tc>
      </w:tr>
      <w:tr>
        <w:trPr>
          <w:trHeight w:val="227"/>
        </w:trPr>
        <w:tc>
          <w:tcPr>
            <w:tcW w:w="5340" w:type="dxa"/>
            <w:vAlign w:val="bottom"/>
          </w:tcPr>
          <w:p>
            <w:pPr>
              <w:ind w:left="60"/>
              <w:spacing w:after="0"/>
              <w:rPr>
                <w:sz w:val="20"/>
                <w:szCs w:val="20"/>
                <w:color w:val="auto"/>
              </w:rPr>
            </w:pPr>
            <w:r>
              <w:rPr>
                <w:rFonts w:ascii="Arial" w:cs="Arial" w:eastAsia="Arial" w:hAnsi="Arial"/>
                <w:sz w:val="18"/>
                <w:szCs w:val="18"/>
                <w:b w:val="1"/>
                <w:bCs w:val="1"/>
                <w:color w:val="auto"/>
              </w:rPr>
              <w:t>Net income per share of common stock:</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3"/>
        </w:trPr>
        <w:tc>
          <w:tcPr>
            <w:tcW w:w="5340" w:type="dxa"/>
            <w:vAlign w:val="bottom"/>
            <w:tcBorders>
              <w:bottom w:val="single" w:sz="8" w:color="E6E6E6"/>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5"/>
        </w:trPr>
        <w:tc>
          <w:tcPr>
            <w:tcW w:w="534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E6E6E6"/>
            </w:tcBorders>
            <w:shd w:val="clear" w:color="auto" w:fill="E6E6E6"/>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6"/>
              </w:rPr>
              <w:t>2.09</w:t>
            </w:r>
          </w:p>
        </w:tc>
        <w:tc>
          <w:tcPr>
            <w:tcW w:w="360" w:type="dxa"/>
            <w:vAlign w:val="bottom"/>
            <w:tcBorders>
              <w:bottom w:val="single" w:sz="8" w:color="E6E6E6"/>
            </w:tcBorders>
            <w:gridSpan w:val="3"/>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5.91</w:t>
            </w:r>
          </w:p>
        </w:tc>
        <w:tc>
          <w:tcPr>
            <w:tcW w:w="440" w:type="dxa"/>
            <w:vAlign w:val="bottom"/>
            <w:tcBorders>
              <w:bottom w:val="single" w:sz="8" w:color="E6E6E6"/>
            </w:tcBorders>
            <w:gridSpan w:val="3"/>
            <w:shd w:val="clear" w:color="auto" w:fill="E6E6E6"/>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2.47</w:t>
            </w:r>
          </w:p>
        </w:tc>
      </w:tr>
      <w:tr>
        <w:trPr>
          <w:trHeight w:val="260"/>
        </w:trPr>
        <w:tc>
          <w:tcPr>
            <w:tcW w:w="5340" w:type="dxa"/>
            <w:vAlign w:val="bottom"/>
            <w:tcBorders>
              <w:top w:val="single" w:sz="8" w:color="E6E6E6"/>
            </w:tcBorders>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2.08</w:t>
            </w:r>
          </w:p>
        </w:tc>
        <w:tc>
          <w:tcPr>
            <w:tcW w:w="80" w:type="dxa"/>
            <w:vAlign w:val="bottom"/>
            <w:tcBorders>
              <w:top w:val="single" w:sz="8" w:color="E6E6E6"/>
            </w:tcBorders>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top w:val="single" w:sz="8" w:color="E6E6E6"/>
            </w:tcBorders>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0"/>
        </w:trPr>
        <w:tc>
          <w:tcPr>
            <w:tcW w:w="5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3378200</wp:posOffset>
            </wp:positionH>
            <wp:positionV relativeFrom="paragraph">
              <wp:posOffset>-1555115</wp:posOffset>
            </wp:positionV>
            <wp:extent cx="257810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55">
                      <a:extLst>
                        <a:ext uri="{28A0092B-C50C-407E-A947-70E740481C1C}"/>
                      </a:extLst>
                    </a:blip>
                    <a:srcRect/>
                    <a:stretch>
                      <a:fillRect/>
                    </a:stretch>
                  </pic:blipFill>
                  <pic:spPr bwMode="auto">
                    <a:xfrm>
                      <a:off x="0" y="0"/>
                      <a:ext cx="2578100" cy="25400"/>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-793115</wp:posOffset>
            </wp:positionV>
            <wp:extent cx="257810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56">
                      <a:extLst>
                        <a:ext uri="{28A0092B-C50C-407E-A947-70E740481C1C}"/>
                      </a:extLst>
                    </a:blip>
                    <a:srcRect/>
                    <a:stretch>
                      <a:fillRect/>
                    </a:stretch>
                  </pic:blipFill>
                  <pic:spPr bwMode="auto">
                    <a:xfrm>
                      <a:off x="0" y="0"/>
                      <a:ext cx="2578100" cy="25400"/>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-615315</wp:posOffset>
            </wp:positionV>
            <wp:extent cx="2578100" cy="508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57">
                      <a:extLst>
                        <a:ext uri="{28A0092B-C50C-407E-A947-70E740481C1C}"/>
                      </a:extLst>
                    </a:blip>
                    <a:srcRect/>
                    <a:stretch>
                      <a:fillRect/>
                    </a:stretch>
                  </pic:blipFill>
                  <pic:spPr bwMode="auto">
                    <a:xfrm>
                      <a:off x="0" y="0"/>
                      <a:ext cx="2578100" cy="50800"/>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-412115</wp:posOffset>
            </wp:positionV>
            <wp:extent cx="257810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58">
                      <a:extLst>
                        <a:ext uri="{28A0092B-C50C-407E-A947-70E740481C1C}"/>
                      </a:extLst>
                    </a:blip>
                    <a:srcRect/>
                    <a:stretch>
                      <a:fillRect/>
                    </a:stretch>
                  </pic:blipFill>
                  <pic:spPr bwMode="auto">
                    <a:xfrm>
                      <a:off x="0" y="0"/>
                      <a:ext cx="2578100" cy="25400"/>
                    </a:xfrm>
                    <a:prstGeom prst="rect">
                      <a:avLst/>
                    </a:prstGeom>
                    <a:noFill/>
                  </pic:spPr>
                </pic:pic>
              </a:graphicData>
            </a:graphic>
          </wp:anchor>
        </w:drawing>
        <w:drawing>
          <wp:anchor simplePos="0" relativeHeight="251657728" behindDoc="1" locked="0" layoutInCell="0" allowOverlap="1">
            <wp:simplePos x="0" y="0"/>
            <wp:positionH relativeFrom="column">
              <wp:posOffset>3378200</wp:posOffset>
            </wp:positionH>
            <wp:positionV relativeFrom="paragraph">
              <wp:posOffset>-221615</wp:posOffset>
            </wp:positionV>
            <wp:extent cx="257810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59">
                      <a:extLst>
                        <a:ext uri="{28A0092B-C50C-407E-A947-70E740481C1C}"/>
                      </a:extLst>
                    </a:blip>
                    <a:srcRect/>
                    <a:stretch>
                      <a:fillRect/>
                    </a:stretch>
                  </pic:blipFill>
                  <pic:spPr bwMode="auto">
                    <a:xfrm>
                      <a:off x="0" y="0"/>
                      <a:ext cx="2578100" cy="25400"/>
                    </a:xfrm>
                    <a:prstGeom prst="rect">
                      <a:avLst/>
                    </a:prstGeom>
                    <a:noFill/>
                  </pic:spPr>
                </pic:pic>
              </a:graphicData>
            </a:graphic>
          </wp:anchor>
        </w:drawing>
      </w:r>
    </w:p>
    <w:p>
      <w:pPr>
        <w:spacing w:after="0" w:line="223" w:lineRule="exact"/>
        <w:rPr>
          <w:sz w:val="20"/>
          <w:szCs w:val="20"/>
          <w:color w:val="auto"/>
        </w:rPr>
      </w:pPr>
    </w:p>
    <w:p>
      <w:pPr>
        <w:ind w:left="720" w:hanging="720"/>
        <w:spacing w:after="0"/>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BUSINESS EXIT CREDITS AND CHARGES</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During the second quarter of 2023, we ceased the manufacturing operations of Entekra, an off-site framing operation previously reported within Other, which comprises other products that are not individually significant. During 2024, the equity method investment held by Entekra sold substantially all of its net assets resulting in a $16 million distribution to LP and a gain of $11 million, which was recorded within equity in unconsolidated affiliate on the Consolidated Statements of Income. Business exit credits and charges, net consisted of the following (dollar amounts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Year Ended December 31,</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320" w:type="dxa"/>
            <w:vAlign w:val="bottom"/>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3"/>
        </w:trPr>
        <w:tc>
          <w:tcPr>
            <w:tcW w:w="5320" w:type="dxa"/>
            <w:vAlign w:val="bottom"/>
            <w:tcBorders>
              <w:bottom w:val="single" w:sz="8" w:color="E6E6E6"/>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320" w:type="dxa"/>
            <w:vAlign w:val="bottom"/>
            <w:shd w:val="clear" w:color="auto" w:fill="E6E6E6"/>
          </w:tcPr>
          <w:p>
            <w:pPr>
              <w:ind w:left="60"/>
              <w:spacing w:after="0" w:line="172" w:lineRule="exact"/>
              <w:rPr>
                <w:sz w:val="20"/>
                <w:szCs w:val="20"/>
                <w:color w:val="auto"/>
              </w:rPr>
            </w:pPr>
            <w:r>
              <w:rPr>
                <w:rFonts w:ascii="Arial" w:cs="Arial" w:eastAsia="Arial" w:hAnsi="Arial"/>
                <w:sz w:val="18"/>
                <w:szCs w:val="18"/>
                <w:color w:val="auto"/>
                <w:w w:val="95"/>
              </w:rPr>
              <w:t>Impairment of property, plant and equipment, operating lease assets,</w:t>
            </w:r>
          </w:p>
        </w:tc>
        <w:tc>
          <w:tcPr>
            <w:tcW w:w="920" w:type="dxa"/>
            <w:vAlign w:val="bottom"/>
            <w:vMerge w:val="restart"/>
            <w:shd w:val="clear" w:color="auto" w:fill="E6E6E6"/>
          </w:tcPr>
          <w:p>
            <w:pPr>
              <w:jc w:val="right"/>
              <w:ind w:right="69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E6E6E6"/>
          </w:tcPr>
          <w:p>
            <w:pPr>
              <w:ind w:left="14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E6E6E6"/>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3"/>
            <w:vMerge w:val="restart"/>
            <w:shd w:val="clear" w:color="auto" w:fill="E6E6E6"/>
          </w:tcPr>
          <w:p>
            <w:pPr>
              <w:ind w:left="740"/>
              <w:spacing w:after="0"/>
              <w:rPr>
                <w:sz w:val="20"/>
                <w:szCs w:val="20"/>
                <w:color w:val="auto"/>
              </w:rPr>
            </w:pPr>
            <w:r>
              <w:rPr>
                <w:rFonts w:ascii="Arial" w:cs="Arial" w:eastAsia="Arial" w:hAnsi="Arial"/>
                <w:sz w:val="18"/>
                <w:szCs w:val="18"/>
                <w:color w:val="auto"/>
              </w:rPr>
              <w:t>—  $</w:t>
            </w: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3"/>
        </w:trPr>
        <w:tc>
          <w:tcPr>
            <w:tcW w:w="5320" w:type="dxa"/>
            <w:vAlign w:val="bottom"/>
            <w:shd w:val="clear" w:color="auto" w:fill="E6E6E6"/>
          </w:tcPr>
          <w:p>
            <w:pPr>
              <w:ind w:left="60"/>
              <w:spacing w:after="0"/>
              <w:rPr>
                <w:sz w:val="20"/>
                <w:szCs w:val="20"/>
                <w:color w:val="auto"/>
              </w:rPr>
            </w:pPr>
            <w:r>
              <w:rPr>
                <w:rFonts w:ascii="Arial" w:cs="Arial" w:eastAsia="Arial" w:hAnsi="Arial"/>
                <w:sz w:val="18"/>
                <w:szCs w:val="18"/>
                <w:color w:val="auto"/>
              </w:rPr>
              <w:t>and other intangible assets</w:t>
            </w:r>
            <w:r>
              <w:rPr>
                <w:rFonts w:ascii="Arial" w:cs="Arial" w:eastAsia="Arial" w:hAnsi="Arial"/>
                <w:sz w:val="11"/>
                <w:szCs w:val="11"/>
                <w:color w:val="auto"/>
              </w:rPr>
              <w:t>1</w:t>
            </w:r>
          </w:p>
        </w:tc>
        <w:tc>
          <w:tcPr>
            <w:tcW w:w="920" w:type="dxa"/>
            <w:vAlign w:val="bottom"/>
            <w:vMerge w:val="continue"/>
            <w:shd w:val="clear" w:color="auto" w:fill="E6E6E6"/>
          </w:tcPr>
          <w:p>
            <w:pPr>
              <w:spacing w:after="0"/>
              <w:rPr>
                <w:sz w:val="22"/>
                <w:szCs w:val="22"/>
                <w:color w:val="auto"/>
              </w:rPr>
            </w:pPr>
          </w:p>
        </w:tc>
        <w:tc>
          <w:tcPr>
            <w:tcW w:w="400" w:type="dxa"/>
            <w:vAlign w:val="bottom"/>
            <w:vMerge w:val="continue"/>
            <w:shd w:val="clear" w:color="auto" w:fill="E6E6E6"/>
          </w:tcPr>
          <w:p>
            <w:pPr>
              <w:spacing w:after="0"/>
              <w:rPr>
                <w:sz w:val="22"/>
                <w:szCs w:val="22"/>
                <w:color w:val="auto"/>
              </w:rPr>
            </w:pPr>
          </w:p>
        </w:tc>
        <w:tc>
          <w:tcPr>
            <w:tcW w:w="360" w:type="dxa"/>
            <w:vAlign w:val="bottom"/>
            <w:gridSpan w:val="2"/>
            <w:vMerge w:val="continue"/>
            <w:shd w:val="clear" w:color="auto" w:fill="E6E6E6"/>
          </w:tcPr>
          <w:p>
            <w:pPr>
              <w:spacing w:after="0"/>
              <w:rPr>
                <w:sz w:val="22"/>
                <w:szCs w:val="22"/>
                <w:color w:val="auto"/>
              </w:rPr>
            </w:pPr>
          </w:p>
        </w:tc>
        <w:tc>
          <w:tcPr>
            <w:tcW w:w="1440" w:type="dxa"/>
            <w:vAlign w:val="bottom"/>
            <w:gridSpan w:val="3"/>
            <w:vMerge w:val="continue"/>
            <w:shd w:val="clear" w:color="auto" w:fill="E6E6E6"/>
          </w:tcPr>
          <w:p>
            <w:pPr>
              <w:spacing w:after="0"/>
              <w:rPr>
                <w:sz w:val="22"/>
                <w:szCs w:val="22"/>
                <w:color w:val="auto"/>
              </w:rPr>
            </w:pPr>
          </w:p>
        </w:tc>
        <w:tc>
          <w:tcPr>
            <w:tcW w:w="920" w:type="dxa"/>
            <w:vAlign w:val="bottom"/>
            <w:vMerge w:val="continue"/>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320" w:type="dxa"/>
            <w:vAlign w:val="bottom"/>
          </w:tcPr>
          <w:p>
            <w:pPr>
              <w:ind w:left="60"/>
              <w:spacing w:after="0"/>
              <w:rPr>
                <w:sz w:val="20"/>
                <w:szCs w:val="20"/>
                <w:color w:val="auto"/>
              </w:rPr>
            </w:pPr>
            <w:r>
              <w:rPr>
                <w:rFonts w:ascii="Arial" w:cs="Arial" w:eastAsia="Arial" w:hAnsi="Arial"/>
                <w:sz w:val="18"/>
                <w:szCs w:val="18"/>
                <w:color w:val="auto"/>
              </w:rPr>
              <w:t>Gain on sale of assets from an equity method investment</w:t>
            </w:r>
            <w:r>
              <w:rPr>
                <w:rFonts w:ascii="Arial" w:cs="Arial" w:eastAsia="Arial" w:hAnsi="Arial"/>
                <w:sz w:val="11"/>
                <w:szCs w:val="11"/>
                <w:color w:val="auto"/>
              </w:rPr>
              <w:t>2</w:t>
            </w:r>
          </w:p>
        </w:tc>
        <w:tc>
          <w:tcPr>
            <w:tcW w:w="920" w:type="dxa"/>
            <w:vAlign w:val="bottom"/>
          </w:tcPr>
          <w:p>
            <w:pPr>
              <w:spacing w:after="0"/>
              <w:rPr>
                <w:sz w:val="22"/>
                <w:szCs w:val="22"/>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26670</wp:posOffset>
                </wp:positionV>
                <wp:extent cx="5943600" cy="19050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90500"/>
                        </a:xfrm>
                        <a:prstGeom prst="rect">
                          <a:avLst/>
                        </a:prstGeom>
                        <a:solidFill>
                          <a:srgbClr val="E6E6E6"/>
                        </a:solidFill>
                      </wps:spPr>
                      <wps:bodyPr/>
                    </wps:wsp>
                  </a:graphicData>
                </a:graphic>
              </wp:anchor>
            </w:drawing>
          </mc:Choice>
          <mc:Fallback>
            <w:pict>
              <v:rect id="Shape 206" o:spid="_x0000_s1231" style="position:absolute;margin-left:0pt;margin-top:2.1pt;width:468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drawing>
          <wp:anchor simplePos="0" relativeHeight="251657728" behindDoc="1" locked="0" layoutInCell="0" allowOverlap="1">
            <wp:simplePos x="0" y="0"/>
            <wp:positionH relativeFrom="column">
              <wp:posOffset>3368675</wp:posOffset>
            </wp:positionH>
            <wp:positionV relativeFrom="paragraph">
              <wp:posOffset>-452120</wp:posOffset>
            </wp:positionV>
            <wp:extent cx="258762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60">
                      <a:extLst>
                        <a:ext uri="{28A0092B-C50C-407E-A947-70E740481C1C}"/>
                      </a:extLst>
                    </a:blip>
                    <a:srcRect/>
                    <a:stretch>
                      <a:fillRect/>
                    </a:stretch>
                  </pic:blipFill>
                  <pic:spPr bwMode="auto">
                    <a:xfrm>
                      <a:off x="0" y="0"/>
                      <a:ext cx="2587625" cy="25400"/>
                    </a:xfrm>
                    <a:prstGeom prst="rect">
                      <a:avLst/>
                    </a:prstGeom>
                    <a:noFill/>
                  </pic:spPr>
                </pic:pic>
              </a:graphicData>
            </a:graphic>
          </wp:anchor>
        </w:drawing>
      </w:r>
    </w:p>
    <w:p>
      <w:pPr>
        <w:spacing w:after="0" w:line="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Restructuring and other related charges:</w:t>
      </w:r>
    </w:p>
    <w:p>
      <w:pPr>
        <w:sectPr>
          <w:pgSz w:w="11880" w:h="15480" w:orient="portrait"/>
          <w:cols w:equalWidth="0" w:num="1">
            <w:col w:w="9360"/>
          </w:cols>
          <w:pgMar w:left="1260" w:top="1190" w:right="1260" w:bottom="225" w:gutter="0" w:footer="0" w:header="0"/>
        </w:sectPr>
      </w:pPr>
    </w:p>
    <w:p>
      <w:pPr>
        <w:spacing w:after="0" w:line="9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Inventory write-down</w:t>
      </w: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5956300" cy="2889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61">
                      <a:extLst>
                        <a:ext uri="{28A0092B-C50C-407E-A947-70E740481C1C}"/>
                      </a:extLst>
                    </a:blip>
                    <a:srcRect/>
                    <a:stretch>
                      <a:fillRect/>
                    </a:stretch>
                  </pic:blipFill>
                  <pic:spPr bwMode="auto">
                    <a:xfrm>
                      <a:off x="0" y="0"/>
                      <a:ext cx="5956300" cy="288925"/>
                    </a:xfrm>
                    <a:prstGeom prst="rect">
                      <a:avLst/>
                    </a:prstGeom>
                    <a:noFill/>
                  </pic:spPr>
                </pic:pic>
              </a:graphicData>
            </a:graphic>
          </wp:anchor>
        </w:drawing>
      </w:r>
    </w:p>
    <w:p>
      <w:pPr>
        <w:spacing w:after="0" w:line="50" w:lineRule="exact"/>
        <w:rPr>
          <w:sz w:val="20"/>
          <w:szCs w:val="20"/>
          <w:color w:val="auto"/>
        </w:rPr>
      </w:pPr>
    </w:p>
    <w:p>
      <w:pPr>
        <w:ind w:left="180" w:right="500"/>
        <w:spacing w:after="0" w:line="241" w:lineRule="auto"/>
        <w:rPr>
          <w:sz w:val="20"/>
          <w:szCs w:val="20"/>
          <w:color w:val="auto"/>
        </w:rPr>
      </w:pPr>
      <w:r>
        <w:rPr>
          <w:rFonts w:ascii="Arial" w:cs="Arial" w:eastAsia="Arial" w:hAnsi="Arial"/>
          <w:sz w:val="18"/>
          <w:szCs w:val="18"/>
          <w:color w:val="auto"/>
        </w:rPr>
        <w:t>Other operating credits and charges including personnel-related costs such as severance</w:t>
      </w:r>
      <w:r>
        <w:rPr>
          <w:rFonts w:ascii="Arial" w:cs="Arial" w:eastAsia="Arial" w:hAnsi="Arial"/>
          <w:sz w:val="11"/>
          <w:szCs w:val="11"/>
          <w:color w:val="auto"/>
        </w:rPr>
        <w:t>4</w:t>
      </w:r>
    </w:p>
    <w:p>
      <w:pPr>
        <w:spacing w:after="0" w:line="37" w:lineRule="exact"/>
        <w:rPr>
          <w:sz w:val="20"/>
          <w:szCs w:val="20"/>
          <w:color w:val="auto"/>
        </w:rPr>
      </w:pPr>
    </w:p>
    <w:p>
      <w:pPr>
        <w:ind w:left="60"/>
        <w:spacing w:after="0"/>
        <w:tabs>
          <w:tab w:leader="none" w:pos="5360" w:val="left"/>
        </w:tabs>
        <w:rPr>
          <w:sz w:val="20"/>
          <w:szCs w:val="20"/>
          <w:color w:val="auto"/>
        </w:rPr>
      </w:pPr>
      <w:r>
        <w:rPr>
          <w:rFonts w:ascii="Arial" w:cs="Arial" w:eastAsia="Arial" w:hAnsi="Arial"/>
          <w:sz w:val="18"/>
          <w:szCs w:val="18"/>
          <w:b w:val="1"/>
          <w:bCs w:val="1"/>
          <w:color w:val="auto"/>
        </w:rPr>
        <w:t>Total business exit credits and charges</w:t>
      </w:r>
      <w:r>
        <w:rPr>
          <w:sz w:val="20"/>
          <w:szCs w:val="20"/>
          <w:color w:val="auto"/>
        </w:rPr>
        <w:tab/>
      </w:r>
      <w:r>
        <w:rPr>
          <w:rFonts w:ascii="Arial" w:cs="Arial" w:eastAsia="Arial" w:hAnsi="Arial"/>
          <w:sz w:val="14"/>
          <w:szCs w:val="14"/>
          <w:b w:val="1"/>
          <w:bCs w:val="1"/>
          <w:color w:val="auto"/>
        </w:rPr>
        <w:t>$</w:t>
      </w:r>
    </w:p>
    <w:p>
      <w:pPr>
        <w:spacing w:after="0" w:line="145" w:lineRule="exact"/>
        <w:rPr>
          <w:sz w:val="20"/>
          <w:szCs w:val="20"/>
          <w:color w:val="auto"/>
        </w:rPr>
      </w:pPr>
    </w:p>
    <w:p>
      <w:pPr>
        <w:ind w:left="80" w:hanging="80"/>
        <w:spacing w:after="0"/>
        <w:tabs>
          <w:tab w:leader="none" w:pos="80" w:val="left"/>
        </w:tabs>
        <w:numPr>
          <w:ilvl w:val="0"/>
          <w:numId w:val="15"/>
        </w:numPr>
        <w:rPr>
          <w:rFonts w:ascii="Arial" w:cs="Arial" w:eastAsia="Arial" w:hAnsi="Arial"/>
          <w:sz w:val="10"/>
          <w:szCs w:val="10"/>
          <w:color w:val="auto"/>
        </w:rPr>
      </w:pPr>
      <w:r>
        <w:rPr>
          <w:rFonts w:ascii="Arial" w:cs="Arial" w:eastAsia="Arial" w:hAnsi="Arial"/>
          <w:sz w:val="15"/>
          <w:szCs w:val="15"/>
          <w:color w:val="auto"/>
        </w:rPr>
        <w:t>Included within loss on impairments on the Consolidated Statements of Income.</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9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8"/>
        </w:trPr>
        <w:tc>
          <w:tcPr>
            <w:tcW w:w="9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99"/>
        </w:trPr>
        <w:tc>
          <w:tcPr>
            <w:tcW w:w="3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260"/>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  $</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20"/>
        </w:trPr>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-669290</wp:posOffset>
                </wp:positionH>
                <wp:positionV relativeFrom="paragraph">
                  <wp:posOffset>-31750</wp:posOffset>
                </wp:positionV>
                <wp:extent cx="82804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6999pt,-2.4999pt" to="12.5pt,-2.4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-669290</wp:posOffset>
                </wp:positionH>
                <wp:positionV relativeFrom="paragraph">
                  <wp:posOffset>-6350</wp:posOffset>
                </wp:positionV>
                <wp:extent cx="828040"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6999pt,-0.4999pt" to="12.5pt,-0.4999pt" o:allowincell="f" strokecolor="#000000" strokeweight="1pt"/>
            </w:pict>
          </mc:Fallback>
        </mc:AlternateContent>
      </w:r>
    </w:p>
    <w:p>
      <w:pPr>
        <w:spacing w:after="0" w:line="252" w:lineRule="exact"/>
        <w:rPr>
          <w:sz w:val="20"/>
          <w:szCs w:val="20"/>
          <w:color w:val="auto"/>
        </w:rPr>
      </w:pPr>
    </w:p>
    <w:p>
      <w:pPr>
        <w:sectPr>
          <w:pgSz w:w="11880" w:h="15480" w:orient="portrait"/>
          <w:cols w:equalWidth="0" w:num="2">
            <w:col w:w="5660" w:space="720"/>
            <w:col w:w="2980"/>
          </w:cols>
          <w:pgMar w:left="1260" w:top="1190" w:right="1260" w:bottom="225" w:gutter="0" w:footer="0" w:header="0"/>
          <w:type w:val="continuous"/>
        </w:sectPr>
      </w:pPr>
    </w:p>
    <w:p>
      <w:pPr>
        <w:ind w:left="80" w:hanging="80"/>
        <w:spacing w:after="0"/>
        <w:tabs>
          <w:tab w:leader="none" w:pos="80" w:val="left"/>
        </w:tabs>
        <w:numPr>
          <w:ilvl w:val="0"/>
          <w:numId w:val="16"/>
        </w:numPr>
        <w:rPr>
          <w:rFonts w:ascii="Arial" w:cs="Arial" w:eastAsia="Arial" w:hAnsi="Arial"/>
          <w:sz w:val="10"/>
          <w:szCs w:val="10"/>
          <w:color w:val="auto"/>
        </w:rPr>
      </w:pPr>
      <w:r>
        <w:rPr>
          <w:rFonts w:ascii="Arial" w:cs="Arial" w:eastAsia="Arial" w:hAnsi="Arial"/>
          <w:sz w:val="15"/>
          <w:szCs w:val="15"/>
          <w:color w:val="auto"/>
        </w:rPr>
        <w:t>Included within equity in unconsolidated affiliates on the Consolidated Statements of Income.</w:t>
      </w:r>
    </w:p>
    <w:p>
      <w:pPr>
        <w:spacing w:after="0" w:line="39"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0"/>
          <w:szCs w:val="10"/>
          <w:color w:val="auto"/>
        </w:rPr>
        <w:t xml:space="preserve">3 </w:t>
      </w:r>
      <w:r>
        <w:rPr>
          <w:rFonts w:ascii="Arial" w:cs="Arial" w:eastAsia="Arial" w:hAnsi="Arial"/>
          <w:sz w:val="16"/>
          <w:szCs w:val="16"/>
          <w:color w:val="auto"/>
        </w:rPr>
        <w:t>Included within cost of sales on the Consolidated Statements of Income.</w:t>
      </w:r>
    </w:p>
    <w:p>
      <w:pPr>
        <w:spacing w:after="0" w:line="8"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9"/>
          <w:szCs w:val="9"/>
          <w:color w:val="auto"/>
        </w:rPr>
        <w:t xml:space="preserve">4 </w:t>
      </w:r>
      <w:r>
        <w:rPr>
          <w:rFonts w:ascii="Arial" w:cs="Arial" w:eastAsia="Arial" w:hAnsi="Arial"/>
          <w:sz w:val="14"/>
          <w:szCs w:val="14"/>
          <w:color w:val="auto"/>
        </w:rPr>
        <w:t>Included within other operating credits and charges, net on the Consolidated Statements of Income.</w:t>
      </w:r>
    </w:p>
    <w:p>
      <w:pPr>
        <w:sectPr>
          <w:pgSz w:w="11880" w:h="15480" w:orient="portrait"/>
          <w:cols w:equalWidth="0" w:num="1">
            <w:col w:w="9360"/>
          </w:cols>
          <w:pgMar w:left="1260" w:top="1190" w:right="1260" w:bottom="22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9360"/>
          </w:cols>
          <w:pgMar w:left="1260" w:top="1190" w:right="1260" w:bottom="225" w:gutter="0" w:footer="0" w:header="0"/>
          <w:type w:val="continuous"/>
        </w:sectPr>
      </w:pPr>
    </w:p>
    <w:bookmarkStart w:id="78" w:name="page79"/>
    <w:bookmarkEnd w:id="78"/>
    <w:p>
      <w:pPr>
        <w:ind w:left="720" w:hanging="72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Provision</w:t>
      </w:r>
    </w:p>
    <w:p>
      <w:pPr>
        <w:spacing w:after="0" w:line="137"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The components of income from continuing operations before income taxes, including equity in unconsolidated affiliates, were (dollar amounts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w w:val="95"/>
              </w:rPr>
              <w:t>Year Ended December 31,</w:t>
            </w:r>
          </w:p>
        </w:tc>
        <w:tc>
          <w:tcPr>
            <w:tcW w:w="920" w:type="dxa"/>
            <w:vAlign w:val="bottom"/>
            <w:tcBorders>
              <w:bottom w:val="single" w:sz="8" w:color="auto"/>
            </w:tcBorders>
          </w:tcPr>
          <w:p>
            <w:pPr>
              <w:spacing w:after="0"/>
              <w:rPr>
                <w:sz w:val="21"/>
                <w:szCs w:val="21"/>
                <w:color w:val="auto"/>
              </w:rPr>
            </w:pPr>
          </w:p>
        </w:tc>
      </w:tr>
      <w:tr>
        <w:trPr>
          <w:trHeight w:val="247"/>
        </w:trPr>
        <w:tc>
          <w:tcPr>
            <w:tcW w:w="5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33"/>
        </w:trPr>
        <w:tc>
          <w:tcPr>
            <w:tcW w:w="530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Domestic</w:t>
            </w:r>
          </w:p>
        </w:tc>
        <w:tc>
          <w:tcPr>
            <w:tcW w:w="900" w:type="dxa"/>
            <w:vAlign w:val="bottom"/>
            <w:tcBorders>
              <w:bottom w:val="single" w:sz="8" w:color="E6E6E6"/>
            </w:tcBorders>
            <w:shd w:val="clear" w:color="auto" w:fill="E6E6E6"/>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9"/>
              </w:rPr>
              <w:t>163</w:t>
            </w:r>
          </w:p>
        </w:tc>
        <w:tc>
          <w:tcPr>
            <w:tcW w:w="380" w:type="dxa"/>
            <w:vAlign w:val="bottom"/>
            <w:tcBorders>
              <w:bottom w:val="single" w:sz="8" w:color="E6E6E6"/>
            </w:tcBorders>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469</w:t>
            </w:r>
          </w:p>
        </w:tc>
        <w:tc>
          <w:tcPr>
            <w:tcW w:w="460" w:type="dxa"/>
            <w:vAlign w:val="bottom"/>
            <w:tcBorders>
              <w:bottom w:val="single" w:sz="8" w:color="E6E6E6"/>
            </w:tcBorders>
            <w:gridSpan w:val="2"/>
            <w:shd w:val="clear" w:color="auto" w:fill="E6E6E6"/>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207</w:t>
            </w: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Foreign</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
        </w:trPr>
        <w:tc>
          <w:tcPr>
            <w:tcW w:w="530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00" w:type="dxa"/>
            <w:vAlign w:val="bottom"/>
            <w:shd w:val="clear" w:color="auto" w:fill="E6E6E6"/>
          </w:tcPr>
          <w:p>
            <w:pPr>
              <w:ind w:left="180"/>
              <w:spacing w:after="0"/>
              <w:rPr>
                <w:sz w:val="20"/>
                <w:szCs w:val="20"/>
                <w:color w:val="auto"/>
              </w:rPr>
            </w:pPr>
            <w:r>
              <w:rPr>
                <w:rFonts w:ascii="Arial" w:cs="Arial" w:eastAsia="Arial" w:hAnsi="Arial"/>
                <w:sz w:val="18"/>
                <w:szCs w:val="18"/>
                <w:b w:val="1"/>
                <w:bCs w:val="1"/>
                <w:color w:val="auto"/>
              </w:rPr>
              <w:t>Total</w:t>
            </w:r>
          </w:p>
        </w:tc>
        <w:tc>
          <w:tcPr>
            <w:tcW w:w="900" w:type="dxa"/>
            <w:vAlign w:val="bottom"/>
            <w:shd w:val="clear" w:color="auto" w:fill="E6E6E6"/>
          </w:tcPr>
          <w:p>
            <w:pPr>
              <w:jc w:val="right"/>
              <w:ind w:right="67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w w:val="99"/>
              </w:rPr>
              <w:t>196</w:t>
            </w:r>
          </w:p>
        </w:tc>
        <w:tc>
          <w:tcPr>
            <w:tcW w:w="38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560</w:t>
            </w:r>
          </w:p>
        </w:tc>
        <w:tc>
          <w:tcPr>
            <w:tcW w:w="460" w:type="dxa"/>
            <w:vAlign w:val="bottom"/>
            <w:gridSpan w:val="2"/>
            <w:shd w:val="clear" w:color="auto" w:fill="E6E6E6"/>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252</w:t>
            </w:r>
          </w:p>
        </w:tc>
      </w:tr>
      <w:tr>
        <w:trPr>
          <w:trHeight w:val="20"/>
        </w:trPr>
        <w:tc>
          <w:tcPr>
            <w:tcW w:w="5300" w:type="dxa"/>
            <w:vAlign w:val="bottom"/>
            <w:tcBorders>
              <w:top w:val="single" w:sz="8" w:color="E6E6E6"/>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-602615</wp:posOffset>
            </wp:positionV>
            <wp:extent cx="260667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62">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-221615</wp:posOffset>
            </wp:positionV>
            <wp:extent cx="260667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63">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-43815</wp:posOffset>
            </wp:positionV>
            <wp:extent cx="2606675" cy="508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64">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income tax provision (benefit) from continuing operations were (dollar amounts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95"/>
              </w:rPr>
              <w:t>Year Ended December 31,</w:t>
            </w:r>
          </w:p>
        </w:tc>
        <w:tc>
          <w:tcPr>
            <w:tcW w:w="920" w:type="dxa"/>
            <w:vAlign w:val="bottom"/>
            <w:tcBorders>
              <w:bottom w:val="single" w:sz="8" w:color="auto"/>
            </w:tcBorders>
          </w:tcPr>
          <w:p>
            <w:pPr>
              <w:spacing w:after="0"/>
              <w:rPr>
                <w:sz w:val="21"/>
                <w:szCs w:val="21"/>
                <w:color w:val="auto"/>
              </w:rPr>
            </w:pPr>
          </w:p>
        </w:tc>
      </w:tr>
      <w:tr>
        <w:trPr>
          <w:trHeight w:val="247"/>
        </w:trPr>
        <w:tc>
          <w:tcPr>
            <w:tcW w:w="5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33"/>
        </w:trPr>
        <w:tc>
          <w:tcPr>
            <w:tcW w:w="530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i w:val="1"/>
                <w:iCs w:val="1"/>
                <w:color w:val="auto"/>
              </w:rPr>
              <w:t>Current tax provision (benefit):</w:t>
            </w:r>
          </w:p>
        </w:tc>
        <w:tc>
          <w:tcPr>
            <w:tcW w:w="90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E6E6E6"/>
            </w:tcBorders>
            <w:shd w:val="clear" w:color="auto" w:fill="E6E6E6"/>
          </w:tcPr>
          <w:p>
            <w:pPr>
              <w:spacing w:after="0"/>
              <w:rPr>
                <w:sz w:val="23"/>
                <w:szCs w:val="23"/>
                <w:color w:val="auto"/>
              </w:rPr>
            </w:pP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U.S. federal</w:t>
            </w:r>
          </w:p>
        </w:tc>
        <w:tc>
          <w:tcPr>
            <w:tcW w:w="90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2"/>
        </w:trPr>
        <w:tc>
          <w:tcPr>
            <w:tcW w:w="5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State and local</w:t>
            </w: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Foreign</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
        </w:trPr>
        <w:tc>
          <w:tcPr>
            <w:tcW w:w="530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b w:val="1"/>
                <w:bCs w:val="1"/>
                <w:color w:val="auto"/>
              </w:rPr>
              <w:t>Net current tax provision</w:t>
            </w:r>
          </w:p>
        </w:tc>
        <w:tc>
          <w:tcPr>
            <w:tcW w:w="900" w:type="dxa"/>
            <w:vAlign w:val="bottom"/>
            <w:tcBorders>
              <w:bottom w:val="single" w:sz="8" w:color="E6E6E6"/>
            </w:tcBorders>
            <w:shd w:val="clear" w:color="auto" w:fill="E6E6E6"/>
          </w:tcPr>
          <w:p>
            <w:pPr>
              <w:spacing w:after="0"/>
              <w:rPr>
                <w:sz w:val="23"/>
                <w:szCs w:val="23"/>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26</w:t>
            </w:r>
          </w:p>
        </w:tc>
        <w:tc>
          <w:tcPr>
            <w:tcW w:w="8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144</w:t>
            </w:r>
          </w:p>
        </w:tc>
        <w:tc>
          <w:tcPr>
            <w:tcW w:w="8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30</w:t>
            </w: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Deferred tax provision (benefit):</w:t>
            </w: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42"/>
        </w:trPr>
        <w:tc>
          <w:tcPr>
            <w:tcW w:w="5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U.S. federal</w:t>
            </w: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22</w:t>
            </w: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State and local</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
        </w:trPr>
        <w:tc>
          <w:tcPr>
            <w:tcW w:w="5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Foreign</w:t>
            </w: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21</w:t>
            </w:r>
          </w:p>
        </w:tc>
      </w:tr>
      <w:tr>
        <w:trPr>
          <w:trHeight w:val="259"/>
        </w:trPr>
        <w:tc>
          <w:tcPr>
            <w:tcW w:w="5300" w:type="dxa"/>
            <w:vAlign w:val="bottom"/>
          </w:tcPr>
          <w:p>
            <w:pPr>
              <w:ind w:left="60"/>
              <w:spacing w:after="0"/>
              <w:rPr>
                <w:sz w:val="20"/>
                <w:szCs w:val="20"/>
                <w:color w:val="auto"/>
              </w:rPr>
            </w:pPr>
            <w:r>
              <w:rPr>
                <w:rFonts w:ascii="Arial" w:cs="Arial" w:eastAsia="Arial" w:hAnsi="Arial"/>
                <w:sz w:val="18"/>
                <w:szCs w:val="18"/>
                <w:color w:val="auto"/>
              </w:rPr>
              <w:t>Net valuation allowance increase (decrease)</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
        </w:trPr>
        <w:tc>
          <w:tcPr>
            <w:tcW w:w="530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5"/>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Net deferred tax provision (benefit)</w:t>
            </w: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24</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44</w:t>
            </w:r>
          </w:p>
        </w:tc>
      </w:tr>
      <w:tr>
        <w:trPr>
          <w:trHeight w:val="260"/>
        </w:trPr>
        <w:tc>
          <w:tcPr>
            <w:tcW w:w="5300" w:type="dxa"/>
            <w:vAlign w:val="bottom"/>
            <w:tcBorders>
              <w:top w:val="single" w:sz="8" w:color="E6E6E6"/>
            </w:tcBorders>
          </w:tcPr>
          <w:p>
            <w:pPr>
              <w:ind w:left="180"/>
              <w:spacing w:after="0"/>
              <w:rPr>
                <w:sz w:val="20"/>
                <w:szCs w:val="20"/>
                <w:color w:val="auto"/>
              </w:rPr>
            </w:pPr>
            <w:r>
              <w:rPr>
                <w:rFonts w:ascii="Arial" w:cs="Arial" w:eastAsia="Arial" w:hAnsi="Arial"/>
                <w:sz w:val="18"/>
                <w:szCs w:val="18"/>
                <w:b w:val="1"/>
                <w:bCs w:val="1"/>
                <w:color w:val="auto"/>
              </w:rPr>
              <w:t>Total income tax provision</w:t>
            </w:r>
          </w:p>
        </w:tc>
        <w:tc>
          <w:tcPr>
            <w:tcW w:w="90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80" w:type="dxa"/>
            <w:vAlign w:val="bottom"/>
            <w:tcBorders>
              <w:top w:val="single" w:sz="8" w:color="E6E6E6"/>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80" w:type="dxa"/>
            <w:vAlign w:val="bottom"/>
            <w:tcBorders>
              <w:top w:val="single" w:sz="8" w:color="E6E6E6"/>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r>
      <w:tr>
        <w:trPr>
          <w:trHeight w:val="20"/>
        </w:trPr>
        <w:tc>
          <w:tcPr>
            <w:tcW w:w="5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-2317115</wp:posOffset>
            </wp:positionV>
            <wp:extent cx="260667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65">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-1555115</wp:posOffset>
            </wp:positionV>
            <wp:extent cx="260667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66">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-412115</wp:posOffset>
            </wp:positionV>
            <wp:extent cx="260667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67">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-221615</wp:posOffset>
            </wp:positionV>
            <wp:extent cx="260667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68">
                      <a:extLst>
                        <a:ext uri="{28A0092B-C50C-407E-A947-70E740481C1C}"/>
                      </a:extLst>
                    </a:blip>
                    <a:srcRect/>
                    <a:stretch>
                      <a:fillRect/>
                    </a:stretch>
                  </pic:blipFill>
                  <pic:spPr bwMode="auto">
                    <a:xfrm>
                      <a:off x="0" y="0"/>
                      <a:ext cx="2606675" cy="25400"/>
                    </a:xfrm>
                    <a:prstGeom prst="rect">
                      <a:avLst/>
                    </a:prstGeom>
                    <a:noFill/>
                  </pic:spPr>
                </pic:pic>
              </a:graphicData>
            </a:graphic>
          </wp:anchor>
        </w:drawing>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9360"/>
          </w:cols>
          <w:pgMar w:left="1260" w:top="1190" w:right="1260" w:bottom="225" w:gutter="0" w:footer="0" w:header="0"/>
          <w:type w:val="continuous"/>
        </w:sectPr>
      </w:pPr>
    </w:p>
    <w:bookmarkStart w:id="79" w:name="page80"/>
    <w:bookmarkEnd w:id="79"/>
    <w:p>
      <w:pPr>
        <w:spacing w:after="0"/>
        <w:rPr>
          <w:sz w:val="20"/>
          <w:szCs w:val="20"/>
          <w:color w:val="auto"/>
        </w:rPr>
      </w:pPr>
      <w:r>
        <w:rPr>
          <w:rFonts w:ascii="Arial" w:cs="Arial" w:eastAsia="Arial" w:hAnsi="Arial"/>
          <w:sz w:val="20"/>
          <w:szCs w:val="20"/>
          <w:b w:val="1"/>
          <w:bCs w:val="1"/>
          <w:color w:val="auto"/>
        </w:rPr>
        <w:t>Deferred Taxes</w:t>
      </w:r>
    </w:p>
    <w:p>
      <w:pPr>
        <w:spacing w:after="0" w:line="137"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The tax effects of significant temporary differences creating deferred tax assets and liabilities were (dollar amounts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80" w:type="dxa"/>
            <w:vAlign w:val="bottom"/>
          </w:tcPr>
          <w:p>
            <w:pPr>
              <w:spacing w:after="0"/>
              <w:rPr>
                <w:sz w:val="21"/>
                <w:szCs w:val="21"/>
                <w:color w:val="auto"/>
              </w:rPr>
            </w:pPr>
          </w:p>
        </w:tc>
        <w:tc>
          <w:tcPr>
            <w:tcW w:w="224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Borders>
              <w:bottom w:val="single" w:sz="8" w:color="auto"/>
            </w:tcBorders>
          </w:tcPr>
          <w:p>
            <w:pPr>
              <w:spacing w:after="0"/>
              <w:rPr>
                <w:sz w:val="21"/>
                <w:szCs w:val="21"/>
                <w:color w:val="auto"/>
              </w:rPr>
            </w:pPr>
          </w:p>
        </w:tc>
      </w:tr>
      <w:tr>
        <w:trPr>
          <w:trHeight w:val="247"/>
        </w:trPr>
        <w:tc>
          <w:tcPr>
            <w:tcW w:w="66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440" w:type="dxa"/>
            <w:vAlign w:val="bottom"/>
          </w:tcPr>
          <w:p>
            <w:pPr>
              <w:spacing w:after="0"/>
              <w:rPr>
                <w:sz w:val="21"/>
                <w:szCs w:val="21"/>
                <w:color w:val="auto"/>
              </w:rPr>
            </w:pPr>
          </w:p>
        </w:tc>
      </w:tr>
      <w:tr>
        <w:trPr>
          <w:trHeight w:val="33"/>
        </w:trPr>
        <w:tc>
          <w:tcPr>
            <w:tcW w:w="6680" w:type="dxa"/>
            <w:vAlign w:val="bottom"/>
            <w:tcBorders>
              <w:bottom w:val="single" w:sz="8" w:color="E6E6E6"/>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70"/>
        </w:trPr>
        <w:tc>
          <w:tcPr>
            <w:tcW w:w="6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Deferred tax assets:</w:t>
            </w:r>
          </w:p>
        </w:tc>
        <w:tc>
          <w:tcPr>
            <w:tcW w:w="860" w:type="dxa"/>
            <w:vAlign w:val="bottom"/>
            <w:tcBorders>
              <w:bottom w:val="single" w:sz="8" w:color="E6E6E6"/>
            </w:tcBorders>
            <w:shd w:val="clear" w:color="auto" w:fill="E6E6E6"/>
          </w:tcPr>
          <w:p>
            <w:pPr>
              <w:spacing w:after="0"/>
              <w:rPr>
                <w:sz w:val="23"/>
                <w:szCs w:val="23"/>
                <w:color w:val="auto"/>
              </w:rPr>
            </w:pPr>
          </w:p>
        </w:tc>
        <w:tc>
          <w:tcPr>
            <w:tcW w:w="44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840" w:type="dxa"/>
            <w:vAlign w:val="bottom"/>
            <w:tcBorders>
              <w:bottom w:val="single" w:sz="8" w:color="E6E6E6"/>
            </w:tcBorders>
            <w:shd w:val="clear" w:color="auto" w:fill="E6E6E6"/>
          </w:tcPr>
          <w:p>
            <w:pPr>
              <w:spacing w:after="0"/>
              <w:rPr>
                <w:sz w:val="23"/>
                <w:szCs w:val="23"/>
                <w:color w:val="auto"/>
              </w:rPr>
            </w:pPr>
          </w:p>
        </w:tc>
        <w:tc>
          <w:tcPr>
            <w:tcW w:w="440" w:type="dxa"/>
            <w:vAlign w:val="bottom"/>
            <w:tcBorders>
              <w:bottom w:val="single" w:sz="8" w:color="E6E6E6"/>
            </w:tcBorders>
            <w:shd w:val="clear" w:color="auto" w:fill="E6E6E6"/>
          </w:tcPr>
          <w:p>
            <w:pPr>
              <w:spacing w:after="0"/>
              <w:rPr>
                <w:sz w:val="23"/>
                <w:szCs w:val="23"/>
                <w:color w:val="auto"/>
              </w:rPr>
            </w:pPr>
          </w:p>
        </w:tc>
      </w:tr>
      <w:tr>
        <w:trPr>
          <w:trHeight w:val="258"/>
        </w:trPr>
        <w:tc>
          <w:tcPr>
            <w:tcW w:w="6680" w:type="dxa"/>
            <w:vAlign w:val="bottom"/>
          </w:tcPr>
          <w:p>
            <w:pPr>
              <w:ind w:left="60"/>
              <w:spacing w:after="0"/>
              <w:rPr>
                <w:sz w:val="20"/>
                <w:szCs w:val="20"/>
                <w:color w:val="auto"/>
              </w:rPr>
            </w:pPr>
            <w:r>
              <w:rPr>
                <w:rFonts w:ascii="Arial" w:cs="Arial" w:eastAsia="Arial" w:hAnsi="Arial"/>
                <w:sz w:val="18"/>
                <w:szCs w:val="18"/>
                <w:color w:val="auto"/>
              </w:rPr>
              <w:t>Accrued liabilities</w:t>
            </w:r>
          </w:p>
        </w:tc>
        <w:tc>
          <w:tcPr>
            <w:tcW w:w="8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940" w:type="dxa"/>
            <w:vAlign w:val="bottom"/>
            <w:gridSpan w:val="3"/>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2"/>
        </w:trPr>
        <w:tc>
          <w:tcPr>
            <w:tcW w:w="6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80"/>
        </w:trPr>
        <w:tc>
          <w:tcPr>
            <w:tcW w:w="6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Benefit relating to capital loss, operating loss, and credit carryforwards</w:t>
            </w:r>
          </w:p>
        </w:tc>
        <w:tc>
          <w:tcPr>
            <w:tcW w:w="86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w:t>
            </w:r>
          </w:p>
        </w:tc>
      </w:tr>
      <w:tr>
        <w:trPr>
          <w:trHeight w:val="258"/>
        </w:trPr>
        <w:tc>
          <w:tcPr>
            <w:tcW w:w="6680" w:type="dxa"/>
            <w:vAlign w:val="bottom"/>
          </w:tcPr>
          <w:p>
            <w:pPr>
              <w:ind w:left="60"/>
              <w:spacing w:after="0"/>
              <w:rPr>
                <w:sz w:val="20"/>
                <w:szCs w:val="20"/>
                <w:color w:val="auto"/>
              </w:rPr>
            </w:pPr>
            <w:r>
              <w:rPr>
                <w:rFonts w:ascii="Arial" w:cs="Arial" w:eastAsia="Arial" w:hAnsi="Arial"/>
                <w:sz w:val="18"/>
                <w:szCs w:val="18"/>
                <w:color w:val="auto"/>
              </w:rPr>
              <w:t>Inventories</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2"/>
        </w:trPr>
        <w:tc>
          <w:tcPr>
            <w:tcW w:w="6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80"/>
        </w:trPr>
        <w:tc>
          <w:tcPr>
            <w:tcW w:w="6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Operating lease liabilities</w:t>
            </w:r>
          </w:p>
        </w:tc>
        <w:tc>
          <w:tcPr>
            <w:tcW w:w="86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w:t>
            </w:r>
          </w:p>
        </w:tc>
      </w:tr>
      <w:tr>
        <w:trPr>
          <w:trHeight w:val="258"/>
        </w:trPr>
        <w:tc>
          <w:tcPr>
            <w:tcW w:w="6680" w:type="dxa"/>
            <w:vAlign w:val="bottom"/>
          </w:tcPr>
          <w:p>
            <w:pPr>
              <w:ind w:left="60"/>
              <w:spacing w:after="0"/>
              <w:rPr>
                <w:sz w:val="20"/>
                <w:szCs w:val="20"/>
                <w:color w:val="auto"/>
              </w:rPr>
            </w:pPr>
            <w:r>
              <w:rPr>
                <w:rFonts w:ascii="Arial" w:cs="Arial" w:eastAsia="Arial" w:hAnsi="Arial"/>
                <w:sz w:val="18"/>
                <w:szCs w:val="18"/>
                <w:color w:val="auto"/>
              </w:rPr>
              <w:t>Stock-based compensation</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2"/>
        </w:trPr>
        <w:tc>
          <w:tcPr>
            <w:tcW w:w="6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80"/>
        </w:trPr>
        <w:tc>
          <w:tcPr>
            <w:tcW w:w="6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Currency remeasurement loss</w:t>
            </w:r>
          </w:p>
        </w:tc>
        <w:tc>
          <w:tcPr>
            <w:tcW w:w="86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w:t>
            </w:r>
          </w:p>
        </w:tc>
      </w:tr>
      <w:tr>
        <w:trPr>
          <w:trHeight w:val="259"/>
        </w:trPr>
        <w:tc>
          <w:tcPr>
            <w:tcW w:w="6680" w:type="dxa"/>
            <w:vAlign w:val="bottom"/>
          </w:tcPr>
          <w:p>
            <w:pPr>
              <w:ind w:left="60"/>
              <w:spacing w:after="0"/>
              <w:rPr>
                <w:sz w:val="20"/>
                <w:szCs w:val="20"/>
                <w:color w:val="auto"/>
              </w:rPr>
            </w:pPr>
            <w:r>
              <w:rPr>
                <w:rFonts w:ascii="Arial" w:cs="Arial" w:eastAsia="Arial" w:hAnsi="Arial"/>
                <w:sz w:val="18"/>
                <w:szCs w:val="18"/>
                <w:color w:val="auto"/>
              </w:rPr>
              <w:t>Deferred revenue</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
        </w:trPr>
        <w:tc>
          <w:tcPr>
            <w:tcW w:w="6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80"/>
        </w:trPr>
        <w:tc>
          <w:tcPr>
            <w:tcW w:w="6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Research expenditures</w:t>
            </w:r>
          </w:p>
        </w:tc>
        <w:tc>
          <w:tcPr>
            <w:tcW w:w="86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26</w:t>
            </w:r>
          </w:p>
        </w:tc>
      </w:tr>
      <w:tr>
        <w:trPr>
          <w:trHeight w:val="259"/>
        </w:trPr>
        <w:tc>
          <w:tcPr>
            <w:tcW w:w="6680" w:type="dxa"/>
            <w:vAlign w:val="bottom"/>
          </w:tcPr>
          <w:p>
            <w:pPr>
              <w:ind w:left="60"/>
              <w:spacing w:after="0"/>
              <w:rPr>
                <w:sz w:val="20"/>
                <w:szCs w:val="20"/>
                <w:color w:val="auto"/>
              </w:rPr>
            </w:pPr>
            <w:r>
              <w:rPr>
                <w:rFonts w:ascii="Arial" w:cs="Arial" w:eastAsia="Arial" w:hAnsi="Arial"/>
                <w:sz w:val="18"/>
                <w:szCs w:val="18"/>
                <w:color w:val="auto"/>
              </w:rPr>
              <w:t>Other deferred tax assets</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
        </w:trPr>
        <w:tc>
          <w:tcPr>
            <w:tcW w:w="6680" w:type="dxa"/>
            <w:vAlign w:val="bottom"/>
            <w:tcBorders>
              <w:bottom w:val="single" w:sz="8" w:color="E6E6E6"/>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70"/>
        </w:trPr>
        <w:tc>
          <w:tcPr>
            <w:tcW w:w="668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18"/>
                <w:szCs w:val="18"/>
                <w:b w:val="1"/>
                <w:bCs w:val="1"/>
                <w:color w:val="auto"/>
              </w:rPr>
              <w:t>Total deferred tax assets</w:t>
            </w:r>
          </w:p>
        </w:tc>
        <w:tc>
          <w:tcPr>
            <w:tcW w:w="860" w:type="dxa"/>
            <w:vAlign w:val="bottom"/>
            <w:tcBorders>
              <w:bottom w:val="single" w:sz="8" w:color="E6E6E6"/>
            </w:tcBorders>
            <w:shd w:val="clear" w:color="auto" w:fill="E6E6E6"/>
          </w:tcPr>
          <w:p>
            <w:pPr>
              <w:spacing w:after="0"/>
              <w:rPr>
                <w:sz w:val="23"/>
                <w:szCs w:val="23"/>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82</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840" w:type="dxa"/>
            <w:vAlign w:val="bottom"/>
            <w:tcBorders>
              <w:bottom w:val="single" w:sz="8" w:color="E6E6E6"/>
            </w:tcBorders>
            <w:shd w:val="clear" w:color="auto" w:fill="E6E6E6"/>
          </w:tcPr>
          <w:p>
            <w:pPr>
              <w:spacing w:after="0"/>
              <w:rPr>
                <w:sz w:val="23"/>
                <w:szCs w:val="23"/>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91</w:t>
            </w:r>
          </w:p>
        </w:tc>
      </w:tr>
      <w:tr>
        <w:trPr>
          <w:trHeight w:val="259"/>
        </w:trPr>
        <w:tc>
          <w:tcPr>
            <w:tcW w:w="6680" w:type="dxa"/>
            <w:vAlign w:val="bottom"/>
          </w:tcPr>
          <w:p>
            <w:pPr>
              <w:ind w:left="60"/>
              <w:spacing w:after="0"/>
              <w:rPr>
                <w:sz w:val="20"/>
                <w:szCs w:val="20"/>
                <w:color w:val="auto"/>
              </w:rPr>
            </w:pPr>
            <w:r>
              <w:rPr>
                <w:rFonts w:ascii="Arial" w:cs="Arial" w:eastAsia="Arial" w:hAnsi="Arial"/>
                <w:sz w:val="18"/>
                <w:szCs w:val="18"/>
                <w:color w:val="auto"/>
              </w:rPr>
              <w:t>Valuation allowance</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
        </w:trPr>
        <w:tc>
          <w:tcPr>
            <w:tcW w:w="6680" w:type="dxa"/>
            <w:vAlign w:val="bottom"/>
            <w:tcBorders>
              <w:bottom w:val="single" w:sz="8" w:color="E6E6E6"/>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300"/>
        </w:trPr>
        <w:tc>
          <w:tcPr>
            <w:tcW w:w="6680" w:type="dxa"/>
            <w:vAlign w:val="bottom"/>
            <w:shd w:val="clear" w:color="auto" w:fill="E6E6E6"/>
          </w:tcPr>
          <w:p>
            <w:pPr>
              <w:ind w:left="300"/>
              <w:spacing w:after="0"/>
              <w:rPr>
                <w:sz w:val="20"/>
                <w:szCs w:val="20"/>
                <w:color w:val="auto"/>
              </w:rPr>
            </w:pPr>
            <w:r>
              <w:rPr>
                <w:rFonts w:ascii="Arial" w:cs="Arial" w:eastAsia="Arial" w:hAnsi="Arial"/>
                <w:sz w:val="18"/>
                <w:szCs w:val="18"/>
                <w:b w:val="1"/>
                <w:bCs w:val="1"/>
                <w:color w:val="auto"/>
              </w:rPr>
              <w:t>Total deferred tax asset net of valuation allowance</w:t>
            </w:r>
          </w:p>
        </w:tc>
        <w:tc>
          <w:tcPr>
            <w:tcW w:w="860" w:type="dxa"/>
            <w:vAlign w:val="bottom"/>
            <w:shd w:val="clear" w:color="auto" w:fill="E6E6E6"/>
          </w:tcPr>
          <w:p>
            <w:pPr>
              <w:jc w:val="right"/>
              <w:ind w:right="63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68</w:t>
            </w:r>
          </w:p>
        </w:tc>
        <w:tc>
          <w:tcPr>
            <w:tcW w:w="940" w:type="dxa"/>
            <w:vAlign w:val="bottom"/>
            <w:gridSpan w:val="3"/>
            <w:shd w:val="clear" w:color="auto" w:fill="E6E6E6"/>
          </w:tcPr>
          <w:p>
            <w:pPr>
              <w:jc w:val="right"/>
              <w:ind w:right="63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81</w:t>
            </w:r>
          </w:p>
        </w:tc>
      </w:tr>
      <w:tr>
        <w:trPr>
          <w:trHeight w:val="270"/>
        </w:trPr>
        <w:tc>
          <w:tcPr>
            <w:tcW w:w="6680" w:type="dxa"/>
            <w:vAlign w:val="bottom"/>
            <w:tcBorders>
              <w:top w:val="single" w:sz="8" w:color="E6E6E6"/>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0" w:type="dxa"/>
            <w:vAlign w:val="bottom"/>
            <w:tcBorders>
              <w:top w:val="single" w:sz="8" w:color="E6E6E6"/>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r>
      <w:tr>
        <w:trPr>
          <w:trHeight w:val="280"/>
        </w:trPr>
        <w:tc>
          <w:tcPr>
            <w:tcW w:w="6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Deferred tax liabilities:</w:t>
            </w:r>
          </w:p>
        </w:tc>
        <w:tc>
          <w:tcPr>
            <w:tcW w:w="86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r>
      <w:tr>
        <w:trPr>
          <w:trHeight w:val="259"/>
        </w:trPr>
        <w:tc>
          <w:tcPr>
            <w:tcW w:w="6680" w:type="dxa"/>
            <w:vAlign w:val="bottom"/>
          </w:tcPr>
          <w:p>
            <w:pPr>
              <w:ind w:left="60"/>
              <w:spacing w:after="0"/>
              <w:rPr>
                <w:sz w:val="20"/>
                <w:szCs w:val="20"/>
                <w:color w:val="auto"/>
              </w:rPr>
            </w:pPr>
            <w:r>
              <w:rPr>
                <w:rFonts w:ascii="Arial" w:cs="Arial" w:eastAsia="Arial" w:hAnsi="Arial"/>
                <w:sz w:val="18"/>
                <w:szCs w:val="18"/>
                <w:color w:val="auto"/>
              </w:rPr>
              <w:t>Property, plant and equipment</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(201)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(192)</w:t>
            </w:r>
          </w:p>
        </w:tc>
      </w:tr>
      <w:tr>
        <w:trPr>
          <w:trHeight w:val="41"/>
        </w:trPr>
        <w:tc>
          <w:tcPr>
            <w:tcW w:w="6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80"/>
        </w:trPr>
        <w:tc>
          <w:tcPr>
            <w:tcW w:w="6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Unremitted foreign earnings</w:t>
            </w:r>
          </w:p>
        </w:tc>
        <w:tc>
          <w:tcPr>
            <w:tcW w:w="86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(19)</w:t>
            </w:r>
          </w:p>
        </w:tc>
      </w:tr>
      <w:tr>
        <w:trPr>
          <w:trHeight w:val="259"/>
        </w:trPr>
        <w:tc>
          <w:tcPr>
            <w:tcW w:w="6680" w:type="dxa"/>
            <w:vAlign w:val="bottom"/>
          </w:tcPr>
          <w:p>
            <w:pPr>
              <w:ind w:left="60"/>
              <w:spacing w:after="0"/>
              <w:rPr>
                <w:sz w:val="20"/>
                <w:szCs w:val="20"/>
                <w:color w:val="auto"/>
              </w:rPr>
            </w:pPr>
            <w:r>
              <w:rPr>
                <w:rFonts w:ascii="Arial" w:cs="Arial" w:eastAsia="Arial" w:hAnsi="Arial"/>
                <w:sz w:val="18"/>
                <w:szCs w:val="18"/>
                <w:color w:val="auto"/>
              </w:rPr>
              <w:t>Operating lease assets</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
        </w:trPr>
        <w:tc>
          <w:tcPr>
            <w:tcW w:w="6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95"/>
        </w:trPr>
        <w:tc>
          <w:tcPr>
            <w:tcW w:w="6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Other deferred tax liabilities</w:t>
            </w:r>
          </w:p>
        </w:tc>
        <w:tc>
          <w:tcPr>
            <w:tcW w:w="86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w:t>
            </w:r>
          </w:p>
        </w:tc>
      </w:tr>
      <w:tr>
        <w:trPr>
          <w:trHeight w:val="247"/>
        </w:trPr>
        <w:tc>
          <w:tcPr>
            <w:tcW w:w="6680" w:type="dxa"/>
            <w:vAlign w:val="bottom"/>
            <w:tcBorders>
              <w:top w:val="single" w:sz="8" w:color="E6E6E6"/>
            </w:tcBorders>
          </w:tcPr>
          <w:p>
            <w:pPr>
              <w:ind w:left="300"/>
              <w:spacing w:after="0"/>
              <w:rPr>
                <w:sz w:val="20"/>
                <w:szCs w:val="20"/>
                <w:color w:val="auto"/>
              </w:rPr>
            </w:pPr>
            <w:r>
              <w:rPr>
                <w:rFonts w:ascii="Arial" w:cs="Arial" w:eastAsia="Arial" w:hAnsi="Arial"/>
                <w:sz w:val="18"/>
                <w:szCs w:val="18"/>
                <w:b w:val="1"/>
                <w:bCs w:val="1"/>
                <w:color w:val="auto"/>
              </w:rPr>
              <w:t>Total deferred tax liabilities</w:t>
            </w:r>
          </w:p>
        </w:tc>
        <w:tc>
          <w:tcPr>
            <w:tcW w:w="8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(237)</w:t>
            </w:r>
          </w:p>
        </w:tc>
        <w:tc>
          <w:tcPr>
            <w:tcW w:w="80" w:type="dxa"/>
            <w:vAlign w:val="bottom"/>
            <w:tcBorders>
              <w:top w:val="single" w:sz="8" w:color="E6E6E6"/>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(222)</w:t>
            </w:r>
          </w:p>
        </w:tc>
      </w:tr>
      <w:tr>
        <w:trPr>
          <w:trHeight w:val="33"/>
        </w:trPr>
        <w:tc>
          <w:tcPr>
            <w:tcW w:w="6680" w:type="dxa"/>
            <w:vAlign w:val="bottom"/>
            <w:tcBorders>
              <w:bottom w:val="single" w:sz="8" w:color="E6E6E6"/>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300"/>
        </w:trPr>
        <w:tc>
          <w:tcPr>
            <w:tcW w:w="668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Net deferred tax liabilities</w:t>
            </w:r>
          </w:p>
        </w:tc>
        <w:tc>
          <w:tcPr>
            <w:tcW w:w="860" w:type="dxa"/>
            <w:vAlign w:val="bottom"/>
            <w:shd w:val="clear" w:color="auto" w:fill="E6E6E6"/>
          </w:tcPr>
          <w:p>
            <w:pPr>
              <w:jc w:val="right"/>
              <w:ind w:right="63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w w:val="95"/>
              </w:rPr>
              <w:t>(169)</w:t>
            </w:r>
          </w:p>
        </w:tc>
        <w:tc>
          <w:tcPr>
            <w:tcW w:w="940" w:type="dxa"/>
            <w:vAlign w:val="bottom"/>
            <w:gridSpan w:val="3"/>
            <w:shd w:val="clear" w:color="auto" w:fill="E6E6E6"/>
          </w:tcPr>
          <w:p>
            <w:pPr>
              <w:jc w:val="right"/>
              <w:ind w:right="63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w w:val="95"/>
              </w:rPr>
              <w:t>(141)</w:t>
            </w:r>
          </w:p>
        </w:tc>
      </w:tr>
      <w:tr>
        <w:trPr>
          <w:trHeight w:val="270"/>
        </w:trPr>
        <w:tc>
          <w:tcPr>
            <w:tcW w:w="6680" w:type="dxa"/>
            <w:vAlign w:val="bottom"/>
            <w:tcBorders>
              <w:top w:val="single" w:sz="8" w:color="E6E6E6"/>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0" w:type="dxa"/>
            <w:vAlign w:val="bottom"/>
            <w:tcBorders>
              <w:top w:val="single" w:sz="8" w:color="E6E6E6"/>
            </w:tcBorders>
          </w:tcPr>
          <w:p>
            <w:pPr>
              <w:spacing w:after="0"/>
              <w:rPr>
                <w:sz w:val="23"/>
                <w:szCs w:val="23"/>
                <w:color w:val="auto"/>
              </w:rPr>
            </w:pPr>
          </w:p>
        </w:tc>
        <w:tc>
          <w:tcPr>
            <w:tcW w:w="20" w:type="dxa"/>
            <w:vAlign w:val="bottom"/>
            <w:tcBorders>
              <w:top w:val="single" w:sz="8" w:color="E6E6E6"/>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r>
      <w:tr>
        <w:trPr>
          <w:trHeight w:val="280"/>
        </w:trPr>
        <w:tc>
          <w:tcPr>
            <w:tcW w:w="6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Balance sheet classification:</w:t>
            </w:r>
          </w:p>
        </w:tc>
        <w:tc>
          <w:tcPr>
            <w:tcW w:w="86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spacing w:after="0"/>
              <w:rPr>
                <w:sz w:val="24"/>
                <w:szCs w:val="24"/>
                <w:color w:val="auto"/>
              </w:rPr>
            </w:pPr>
          </w:p>
        </w:tc>
      </w:tr>
      <w:tr>
        <w:trPr>
          <w:trHeight w:val="259"/>
        </w:trPr>
        <w:tc>
          <w:tcPr>
            <w:tcW w:w="6680" w:type="dxa"/>
            <w:vAlign w:val="bottom"/>
          </w:tcPr>
          <w:p>
            <w:pPr>
              <w:ind w:left="420"/>
              <w:spacing w:after="0"/>
              <w:rPr>
                <w:sz w:val="20"/>
                <w:szCs w:val="20"/>
                <w:color w:val="auto"/>
              </w:rPr>
            </w:pPr>
            <w:r>
              <w:rPr>
                <w:rFonts w:ascii="Arial" w:cs="Arial" w:eastAsia="Arial" w:hAnsi="Arial"/>
                <w:sz w:val="18"/>
                <w:szCs w:val="18"/>
                <w:color w:val="auto"/>
              </w:rPr>
              <w:t>Long-term deferred tax asset</w:t>
            </w:r>
          </w:p>
        </w:tc>
        <w:tc>
          <w:tcPr>
            <w:tcW w:w="8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940" w:type="dxa"/>
            <w:vAlign w:val="bottom"/>
            <w:gridSpan w:val="3"/>
          </w:tcPr>
          <w:p>
            <w:pPr>
              <w:jc w:val="right"/>
              <w:ind w:right="63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
        </w:trPr>
        <w:tc>
          <w:tcPr>
            <w:tcW w:w="6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95"/>
        </w:trPr>
        <w:tc>
          <w:tcPr>
            <w:tcW w:w="6680" w:type="dxa"/>
            <w:vAlign w:val="bottom"/>
            <w:tcBorders>
              <w:bottom w:val="single" w:sz="8" w:color="E6E6E6"/>
            </w:tcBorders>
            <w:shd w:val="clear" w:color="auto" w:fill="E6E6E6"/>
          </w:tcPr>
          <w:p>
            <w:pPr>
              <w:ind w:left="420"/>
              <w:spacing w:after="0"/>
              <w:rPr>
                <w:sz w:val="20"/>
                <w:szCs w:val="20"/>
                <w:color w:val="auto"/>
              </w:rPr>
            </w:pPr>
            <w:r>
              <w:rPr>
                <w:rFonts w:ascii="Arial" w:cs="Arial" w:eastAsia="Arial" w:hAnsi="Arial"/>
                <w:sz w:val="18"/>
                <w:szCs w:val="18"/>
                <w:color w:val="auto"/>
              </w:rPr>
              <w:t>Long-term deferred tax liability</w:t>
            </w:r>
          </w:p>
        </w:tc>
        <w:tc>
          <w:tcPr>
            <w:tcW w:w="86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5"/>
              </w:rPr>
              <w:t>(177)</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840" w:type="dxa"/>
            <w:vAlign w:val="bottom"/>
            <w:tcBorders>
              <w:bottom w:val="single" w:sz="8" w:color="E6E6E6"/>
            </w:tcBorders>
            <w:shd w:val="clear" w:color="auto" w:fill="E6E6E6"/>
          </w:tcPr>
          <w:p>
            <w:pPr>
              <w:spacing w:after="0"/>
              <w:rPr>
                <w:sz w:val="24"/>
                <w:szCs w:val="24"/>
                <w:color w:val="auto"/>
              </w:rPr>
            </w:pPr>
          </w:p>
        </w:tc>
        <w:tc>
          <w:tcPr>
            <w:tcW w:w="4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95"/>
              </w:rPr>
              <w:t>(145)</w:t>
            </w:r>
          </w:p>
        </w:tc>
      </w:tr>
      <w:tr>
        <w:trPr>
          <w:trHeight w:val="260"/>
        </w:trPr>
        <w:tc>
          <w:tcPr>
            <w:tcW w:w="6680" w:type="dxa"/>
            <w:vAlign w:val="bottom"/>
            <w:tcBorders>
              <w:top w:val="single" w:sz="8" w:color="E6E6E6"/>
            </w:tcBorders>
          </w:tcPr>
          <w:p>
            <w:pPr>
              <w:ind w:left="60"/>
              <w:spacing w:after="0"/>
              <w:rPr>
                <w:sz w:val="20"/>
                <w:szCs w:val="20"/>
                <w:color w:val="auto"/>
              </w:rPr>
            </w:pPr>
            <w:r>
              <w:rPr>
                <w:rFonts w:ascii="Arial" w:cs="Arial" w:eastAsia="Arial" w:hAnsi="Arial"/>
                <w:sz w:val="18"/>
                <w:szCs w:val="18"/>
                <w:b w:val="1"/>
                <w:bCs w:val="1"/>
                <w:color w:val="auto"/>
              </w:rPr>
              <w:t>Net deferred tax liabilities</w:t>
            </w:r>
          </w:p>
        </w:tc>
        <w:tc>
          <w:tcPr>
            <w:tcW w:w="86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(169)</w:t>
            </w:r>
          </w:p>
        </w:tc>
        <w:tc>
          <w:tcPr>
            <w:tcW w:w="100" w:type="dxa"/>
            <w:vAlign w:val="bottom"/>
            <w:tcBorders>
              <w:top w:val="single" w:sz="8" w:color="E6E6E6"/>
            </w:tcBorders>
            <w:gridSpan w:val="2"/>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(141)</w:t>
            </w:r>
          </w:p>
        </w:tc>
      </w:tr>
      <w:tr>
        <w:trPr>
          <w:trHeight w:val="20"/>
        </w:trPr>
        <w:tc>
          <w:tcPr>
            <w:tcW w:w="6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-4984115</wp:posOffset>
            </wp:positionV>
            <wp:extent cx="173037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69">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-3079115</wp:posOffset>
            </wp:positionV>
            <wp:extent cx="173037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70">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-2698115</wp:posOffset>
            </wp:positionV>
            <wp:extent cx="173037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71">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-2520315</wp:posOffset>
            </wp:positionV>
            <wp:extent cx="1730375" cy="508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72">
                      <a:extLst>
                        <a:ext uri="{28A0092B-C50C-407E-A947-70E740481C1C}"/>
                      </a:extLst>
                    </a:blip>
                    <a:srcRect/>
                    <a:stretch>
                      <a:fillRect/>
                    </a:stretch>
                  </pic:blipFill>
                  <pic:spPr bwMode="auto">
                    <a:xfrm>
                      <a:off x="0" y="0"/>
                      <a:ext cx="1730375" cy="508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-1364615</wp:posOffset>
            </wp:positionV>
            <wp:extent cx="173037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73">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-1174115</wp:posOffset>
            </wp:positionV>
            <wp:extent cx="173037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74">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-996315</wp:posOffset>
            </wp:positionV>
            <wp:extent cx="1730375" cy="508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75">
                      <a:extLst>
                        <a:ext uri="{28A0092B-C50C-407E-A947-70E740481C1C}"/>
                      </a:extLst>
                    </a:blip>
                    <a:srcRect/>
                    <a:stretch>
                      <a:fillRect/>
                    </a:stretch>
                  </pic:blipFill>
                  <pic:spPr bwMode="auto">
                    <a:xfrm>
                      <a:off x="0" y="0"/>
                      <a:ext cx="1730375" cy="508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-221615</wp:posOffset>
            </wp:positionV>
            <wp:extent cx="173037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76">
                      <a:extLst>
                        <a:ext uri="{28A0092B-C50C-407E-A947-70E740481C1C}"/>
                      </a:extLst>
                    </a:blip>
                    <a:srcRect/>
                    <a:stretch>
                      <a:fillRect/>
                    </a:stretch>
                  </pic:blipFill>
                  <pic:spPr bwMode="auto">
                    <a:xfrm>
                      <a:off x="0" y="0"/>
                      <a:ext cx="1730375" cy="2540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The benefit relating to capital loss, operating loss, and credit carryforwards included in the above table at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consisted of (dollar amounts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Operating</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Benefit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Valuation</w:t>
            </w:r>
          </w:p>
        </w:tc>
        <w:tc>
          <w:tcPr>
            <w:tcW w:w="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r>
      <w:tr>
        <w:trPr>
          <w:trHeight w:val="245"/>
        </w:trPr>
        <w:tc>
          <w:tcPr>
            <w:tcW w:w="4080" w:type="dxa"/>
            <w:vAlign w:val="bottom"/>
            <w:tcBorders>
              <w:bottom w:val="single" w:sz="8" w:color="E6E6E6"/>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Loss</w:t>
            </w:r>
          </w:p>
        </w:tc>
        <w:tc>
          <w:tcPr>
            <w:tcW w:w="60" w:type="dxa"/>
            <w:vAlign w:val="bottom"/>
            <w:tcBorders>
              <w:bottom w:val="single" w:sz="8" w:color="E6E6E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60" w:type="dxa"/>
            <w:vAlign w:val="bottom"/>
            <w:tcBorders>
              <w:bottom w:val="single" w:sz="8" w:color="E6E6E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Allowance</w:t>
            </w:r>
          </w:p>
        </w:tc>
        <w:tc>
          <w:tcPr>
            <w:tcW w:w="60" w:type="dxa"/>
            <w:vAlign w:val="bottom"/>
            <w:tcBorders>
              <w:bottom w:val="single" w:sz="8" w:color="E6E6E6"/>
            </w:tcBorders>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Beginning in</w:t>
            </w:r>
          </w:p>
        </w:tc>
      </w:tr>
      <w:tr>
        <w:trPr>
          <w:trHeight w:val="270"/>
        </w:trPr>
        <w:tc>
          <w:tcPr>
            <w:tcW w:w="40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Federal credit carryforwards</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3"/>
                <w:szCs w:val="23"/>
                <w:color w:val="auto"/>
              </w:rPr>
            </w:pPr>
          </w:p>
        </w:tc>
        <w:tc>
          <w:tcPr>
            <w:tcW w:w="128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8"/>
                <w:szCs w:val="18"/>
                <w:color w:val="auto"/>
                <w:w w:val="92"/>
              </w:rPr>
              <w:t>No expiration</w:t>
            </w:r>
          </w:p>
        </w:tc>
      </w:tr>
      <w:tr>
        <w:trPr>
          <w:trHeight w:val="258"/>
        </w:trPr>
        <w:tc>
          <w:tcPr>
            <w:tcW w:w="4080" w:type="dxa"/>
            <w:vAlign w:val="bottom"/>
          </w:tcPr>
          <w:p>
            <w:pPr>
              <w:ind w:left="60"/>
              <w:spacing w:after="0"/>
              <w:rPr>
                <w:sz w:val="20"/>
                <w:szCs w:val="20"/>
                <w:color w:val="auto"/>
              </w:rPr>
            </w:pPr>
            <w:r>
              <w:rPr>
                <w:rFonts w:ascii="Arial" w:cs="Arial" w:eastAsia="Arial" w:hAnsi="Arial"/>
                <w:sz w:val="18"/>
                <w:szCs w:val="18"/>
                <w:color w:val="auto"/>
              </w:rPr>
              <w:t>State credit carryforwards</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2034</w:t>
            </w:r>
          </w:p>
        </w:tc>
      </w:tr>
      <w:tr>
        <w:trPr>
          <w:trHeight w:val="42"/>
        </w:trPr>
        <w:tc>
          <w:tcPr>
            <w:tcW w:w="4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0"/>
        </w:trPr>
        <w:tc>
          <w:tcPr>
            <w:tcW w:w="40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Canadian capital loss carryforwards</w:t>
            </w:r>
          </w:p>
        </w:tc>
        <w:tc>
          <w:tcPr>
            <w:tcW w:w="200" w:type="dxa"/>
            <w:vAlign w:val="bottom"/>
            <w:tcBorders>
              <w:bottom w:val="single" w:sz="8" w:color="E6E6E6"/>
            </w:tcBorders>
            <w:shd w:val="clear" w:color="auto" w:fill="E6E6E6"/>
          </w:tcPr>
          <w:p>
            <w:pPr>
              <w:spacing w:after="0"/>
              <w:rPr>
                <w:sz w:val="24"/>
                <w:szCs w:val="24"/>
                <w:color w:val="auto"/>
              </w:rPr>
            </w:pP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E6E6E6"/>
            </w:tcBorders>
            <w:shd w:val="clear" w:color="auto" w:fill="E6E6E6"/>
          </w:tcPr>
          <w:p>
            <w:pPr>
              <w:spacing w:after="0"/>
              <w:rPr>
                <w:sz w:val="24"/>
                <w:szCs w:val="24"/>
                <w:color w:val="auto"/>
              </w:rPr>
            </w:pPr>
          </w:p>
        </w:tc>
        <w:tc>
          <w:tcPr>
            <w:tcW w:w="128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18"/>
                <w:szCs w:val="18"/>
                <w:color w:val="auto"/>
                <w:w w:val="92"/>
              </w:rPr>
              <w:t>No expiration</w:t>
            </w:r>
          </w:p>
        </w:tc>
      </w:tr>
      <w:tr>
        <w:trPr>
          <w:trHeight w:val="258"/>
        </w:trPr>
        <w:tc>
          <w:tcPr>
            <w:tcW w:w="4080" w:type="dxa"/>
            <w:vAlign w:val="bottom"/>
          </w:tcPr>
          <w:p>
            <w:pPr>
              <w:ind w:left="60"/>
              <w:spacing w:after="0"/>
              <w:rPr>
                <w:sz w:val="20"/>
                <w:szCs w:val="20"/>
                <w:color w:val="auto"/>
              </w:rPr>
            </w:pPr>
            <w:r>
              <w:rPr>
                <w:rFonts w:ascii="Arial" w:cs="Arial" w:eastAsia="Arial" w:hAnsi="Arial"/>
                <w:sz w:val="18"/>
                <w:szCs w:val="18"/>
                <w:color w:val="auto"/>
              </w:rPr>
              <w:t>Chile foreign tax credit carryforwards</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80" w:type="dxa"/>
            <w:vAlign w:val="bottom"/>
          </w:tcPr>
          <w:p>
            <w:pPr>
              <w:ind w:left="280"/>
              <w:spacing w:after="0"/>
              <w:rPr>
                <w:sz w:val="20"/>
                <w:szCs w:val="20"/>
                <w:color w:val="auto"/>
              </w:rPr>
            </w:pPr>
            <w:r>
              <w:rPr>
                <w:rFonts w:ascii="Arial" w:cs="Arial" w:eastAsia="Arial" w:hAnsi="Arial"/>
                <w:sz w:val="18"/>
                <w:szCs w:val="18"/>
                <w:color w:val="auto"/>
                <w:w w:val="92"/>
              </w:rPr>
              <w:t>No expiration</w:t>
            </w:r>
          </w:p>
        </w:tc>
      </w:tr>
      <w:tr>
        <w:trPr>
          <w:trHeight w:val="42"/>
        </w:trPr>
        <w:tc>
          <w:tcPr>
            <w:tcW w:w="4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5"/>
        </w:trPr>
        <w:tc>
          <w:tcPr>
            <w:tcW w:w="40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Foreign operating loss carryforwards</w:t>
            </w:r>
          </w:p>
        </w:tc>
        <w:tc>
          <w:tcPr>
            <w:tcW w:w="200" w:type="dxa"/>
            <w:vAlign w:val="bottom"/>
            <w:tcBorders>
              <w:bottom w:val="single" w:sz="8" w:color="E6E6E6"/>
            </w:tcBorders>
            <w:shd w:val="clear" w:color="auto" w:fill="E6E6E6"/>
          </w:tcPr>
          <w:p>
            <w:pPr>
              <w:spacing w:after="0"/>
              <w:rPr>
                <w:sz w:val="24"/>
                <w:szCs w:val="24"/>
                <w:color w:val="auto"/>
              </w:rPr>
            </w:pP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10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134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rPr>
              <w:t>2030</w:t>
            </w:r>
          </w:p>
        </w:tc>
      </w:tr>
      <w:tr>
        <w:trPr>
          <w:trHeight w:val="260"/>
        </w:trPr>
        <w:tc>
          <w:tcPr>
            <w:tcW w:w="4080" w:type="dxa"/>
            <w:vAlign w:val="bottom"/>
            <w:tcBorders>
              <w:top w:val="single" w:sz="8" w:color="E6E6E6"/>
            </w:tcBorders>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60" w:type="dxa"/>
            <w:vAlign w:val="bottom"/>
            <w:tcBorders>
              <w:top w:val="single" w:sz="8" w:color="E6E6E6"/>
            </w:tcBorders>
          </w:tcPr>
          <w:p>
            <w:pPr>
              <w:spacing w:after="0"/>
              <w:rPr>
                <w:sz w:val="22"/>
                <w:szCs w:val="22"/>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60" w:type="dxa"/>
            <w:vAlign w:val="bottom"/>
            <w:tcBorders>
              <w:top w:val="single" w:sz="8" w:color="E6E6E6"/>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60" w:type="dxa"/>
            <w:vAlign w:val="bottom"/>
            <w:tcBorders>
              <w:top w:val="single" w:sz="8" w:color="E6E6E6"/>
            </w:tcBorders>
          </w:tcPr>
          <w:p>
            <w:pPr>
              <w:spacing w:after="0"/>
              <w:rPr>
                <w:sz w:val="22"/>
                <w:szCs w:val="22"/>
                <w:color w:val="auto"/>
              </w:rPr>
            </w:pPr>
          </w:p>
        </w:tc>
        <w:tc>
          <w:tcPr>
            <w:tcW w:w="1280" w:type="dxa"/>
            <w:vAlign w:val="bottom"/>
            <w:tcBorders>
              <w:top w:val="single" w:sz="8" w:color="E6E6E6"/>
            </w:tcBorders>
          </w:tcPr>
          <w:p>
            <w:pPr>
              <w:spacing w:after="0"/>
              <w:rPr>
                <w:sz w:val="22"/>
                <w:szCs w:val="22"/>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-1174115</wp:posOffset>
            </wp:positionV>
            <wp:extent cx="337820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77">
                      <a:extLst>
                        <a:ext uri="{28A0092B-C50C-407E-A947-70E740481C1C}"/>
                      </a:extLst>
                    </a:blip>
                    <a:srcRect/>
                    <a:stretch>
                      <a:fillRect/>
                    </a:stretch>
                  </pic:blipFill>
                  <pic:spPr bwMode="auto">
                    <a:xfrm>
                      <a:off x="0" y="0"/>
                      <a:ext cx="3378200" cy="2540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-221615</wp:posOffset>
            </wp:positionV>
            <wp:extent cx="253047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78">
                      <a:extLst>
                        <a:ext uri="{28A0092B-C50C-407E-A947-70E740481C1C}"/>
                      </a:extLst>
                    </a:blip>
                    <a:srcRect/>
                    <a:stretch>
                      <a:fillRect/>
                    </a:stretch>
                  </pic:blipFill>
                  <pic:spPr bwMode="auto">
                    <a:xfrm>
                      <a:off x="0" y="0"/>
                      <a:ext cx="2530475" cy="25400"/>
                    </a:xfrm>
                    <a:prstGeom prst="rect">
                      <a:avLst/>
                    </a:prstGeom>
                    <a:noFill/>
                  </pic:spPr>
                </pic:pic>
              </a:graphicData>
            </a:graphic>
          </wp:anchor>
        </w:drawing>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9360"/>
          </w:cols>
          <w:pgMar w:left="1260" w:top="1190" w:right="1260" w:bottom="225" w:gutter="0" w:footer="0" w:header="0"/>
          <w:type w:val="continuous"/>
        </w:sectPr>
      </w:pPr>
    </w:p>
    <w:bookmarkStart w:id="80" w:name="page81"/>
    <w:bookmarkEnd w:id="80"/>
    <w:p>
      <w:pPr>
        <w:jc w:val="both"/>
        <w:spacing w:after="0" w:line="255" w:lineRule="auto"/>
        <w:rPr>
          <w:sz w:val="20"/>
          <w:szCs w:val="20"/>
          <w:color w:val="auto"/>
        </w:rPr>
      </w:pPr>
      <w:r>
        <w:rPr>
          <w:rFonts w:ascii="Arial" w:cs="Arial" w:eastAsia="Arial" w:hAnsi="Arial"/>
          <w:sz w:val="20"/>
          <w:szCs w:val="20"/>
          <w:color w:val="auto"/>
        </w:rPr>
        <w:t>We periodically review the need for valuation allowances against deferred tax assets and recognize these deferred tax assets to the extent that their realization is more likely than not. As part of our review, we consider all positive and negative evidence, including earnings history, the future reversal of deferred tax liabilities, and the relevant expirations of carryforwards. We believe that the valuation allowances provided are appropriate. If future years’ earnings differ from the estimates used to establish these valuation allowances, or other objective positive or negative evidence arises, we may record an adjustment to the valuation allowance resulting in an impact on tax provision (benefit) for that period.</w:t>
      </w:r>
    </w:p>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2023 we made the determination that a substantial portion of unremitted foreign earnings was no longer indefinitely reinvested and as of December 31, 2023, we recorded a deferred tax liability of $21 million related to the taxes expected to be imposed upon the repatriation of such foreign earnings to the United States. As of December 31, 2025, and 2024, the deferred tax liability related to unremitted foreign earnings was $25 million and $19 million, respectively.</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2021, the Organization for Economic Cooperation and Development (OECD) announced an Inclusive Framework on Base Erosion and Profit Shifting, including the Pillar Two Model Rules (Pillar Two), applicable to large multinational corporations. These rules establish a global per-country minimum tax of 15%. Although, the United States has not enacted legislation to adopt the Pillar Two framework, and future adoption remains uncertain, certain countries where our operations are conducted have enacted such legislation.</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20"/>
          <w:szCs w:val="20"/>
          <w:color w:val="auto"/>
        </w:rPr>
        <w:t>Specifically, the Canadian and Brazilian governments enacted legislation in 2024 implementing certain aspects of the OECD’s minimum tax rules under the Pillar Two Framework. To date, no other jurisdictions in which LP operates have enacted Pillar Two legislation. At this time, Pillar Two legislation is not expected to have a material impact on the Company’s effective tax rate, consolidated results of operations, financial position, or cash flows. The Company will continue to monitor future developments related to Pillar Two legislation to assess any potential impact in the relevant jurisdictions.</w:t>
      </w:r>
    </w:p>
    <w:p>
      <w:pPr>
        <w:spacing w:after="0" w:line="8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On July 4, 2025, H.R. 1, a bill to provide for reconciliation pursuant to title II of H. Con. Res. 14, informally known as the One Big Beautiful Bill Act (“The Tax Act”), was enacted in the U.S., introducing a series of corporate tax changes in the U.S., including significant provisions such as the permanent extension of certain expiring provisions of the Tax Cuts and Jobs Act of 2017, modifications to the international tax framework, and the restoration of favorable tax treatment for certain business provisions. The legislation has multiple effective dates, with certain provisions effective in 2025 and others implemented thereafter through 2027. The provisions of The Tax Act effective in 2025 include 100% bonus depreciation on qualified property and full expensing for research and experimental expenditures. The impacts of The Tax Act are reflected in our results for the year ended December 31, 2025, and have no material impact on our income tax expense or effective tax rate. Certain provisions of The Tax Act decreased cash taxes paid during the year and may change the timing of cash tax payments in future periods.</w:t>
      </w:r>
    </w:p>
    <w:p>
      <w:pPr>
        <w:sectPr>
          <w:pgSz w:w="11880" w:h="15480" w:orient="portrait"/>
          <w:cols w:equalWidth="0" w:num="1">
            <w:col w:w="9360"/>
          </w:cols>
          <w:pgMar w:left="1260" w:top="1197"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9360"/>
          </w:cols>
          <w:pgMar w:left="1260" w:top="1197" w:right="1260" w:bottom="225" w:gutter="0" w:footer="0" w:header="0"/>
          <w:type w:val="continuous"/>
        </w:sectPr>
      </w:pPr>
    </w:p>
    <w:bookmarkStart w:id="81" w:name="page82"/>
    <w:bookmarkEnd w:id="81"/>
    <w:p>
      <w:pPr>
        <w:spacing w:after="0"/>
        <w:rPr>
          <w:sz w:val="20"/>
          <w:szCs w:val="20"/>
          <w:color w:val="auto"/>
        </w:rPr>
      </w:pPr>
      <w:r>
        <w:rPr>
          <w:rFonts w:ascii="Arial" w:cs="Arial" w:eastAsia="Arial" w:hAnsi="Arial"/>
          <w:sz w:val="20"/>
          <w:szCs w:val="20"/>
          <w:b w:val="1"/>
          <w:bCs w:val="1"/>
          <w:color w:val="auto"/>
        </w:rPr>
        <w:t>Reconciliation of the U.S. Federal Statutory Rate to the Effective Rate</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As further described in “Note 2 - Present and Prospective Accounting Pronouncements,” the Company has elected to prospectively adopt the guidance in ASU 2023-09, Income Taxes (Topic 740): Improvements to Income Taxes Disclosures. The following table is a reconciliation of the U.S. federal statutory tax rate to the total effective tax rates from continuing operations for the year ended December 31, 2025 in accordance with the guidance in ASU 2023-09 (dollar amounts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7"/>
              </w:rPr>
              <w:t>Year Ended December 31,</w:t>
            </w:r>
          </w:p>
        </w:tc>
      </w:tr>
      <w:tr>
        <w:trPr>
          <w:trHeight w:val="247"/>
        </w:trPr>
        <w:tc>
          <w:tcPr>
            <w:tcW w:w="6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2025</w:t>
            </w:r>
          </w:p>
        </w:tc>
        <w:tc>
          <w:tcPr>
            <w:tcW w:w="1120" w:type="dxa"/>
            <w:vAlign w:val="bottom"/>
          </w:tcPr>
          <w:p>
            <w:pPr>
              <w:spacing w:after="0"/>
              <w:rPr>
                <w:sz w:val="21"/>
                <w:szCs w:val="21"/>
                <w:color w:val="auto"/>
              </w:rPr>
            </w:pPr>
          </w:p>
        </w:tc>
      </w:tr>
      <w:tr>
        <w:trPr>
          <w:trHeight w:val="33"/>
        </w:trPr>
        <w:tc>
          <w:tcPr>
            <w:tcW w:w="6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7"/>
        </w:trPr>
        <w:tc>
          <w:tcPr>
            <w:tcW w:w="6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4"/>
              </w:rPr>
              <w:t>Amount ($)</w:t>
            </w: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Percent (%)</w:t>
            </w:r>
          </w:p>
        </w:tc>
      </w:tr>
      <w:tr>
        <w:trPr>
          <w:trHeight w:val="33"/>
        </w:trPr>
        <w:tc>
          <w:tcPr>
            <w:tcW w:w="6700" w:type="dxa"/>
            <w:vAlign w:val="bottom"/>
            <w:tcBorders>
              <w:bottom w:val="single" w:sz="8" w:color="E6E6E6"/>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0"/>
        </w:trPr>
        <w:tc>
          <w:tcPr>
            <w:tcW w:w="67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U.S. federal statutory tax rate</w:t>
            </w: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41</w:t>
            </w:r>
          </w:p>
        </w:tc>
        <w:tc>
          <w:tcPr>
            <w:tcW w:w="6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spacing w:after="0"/>
              <w:rPr>
                <w:sz w:val="23"/>
                <w:szCs w:val="23"/>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21 %</w:t>
            </w:r>
          </w:p>
        </w:tc>
      </w:tr>
      <w:tr>
        <w:trPr>
          <w:trHeight w:val="258"/>
        </w:trPr>
        <w:tc>
          <w:tcPr>
            <w:tcW w:w="6700" w:type="dxa"/>
            <w:vAlign w:val="bottom"/>
          </w:tcPr>
          <w:p>
            <w:pPr>
              <w:ind w:left="60"/>
              <w:spacing w:after="0"/>
              <w:rPr>
                <w:sz w:val="20"/>
                <w:szCs w:val="20"/>
                <w:color w:val="auto"/>
              </w:rPr>
            </w:pPr>
            <w:r>
              <w:rPr>
                <w:rFonts w:ascii="Arial" w:cs="Arial" w:eastAsia="Arial" w:hAnsi="Arial"/>
                <w:sz w:val="18"/>
                <w:szCs w:val="18"/>
                <w:b w:val="1"/>
                <w:bCs w:val="1"/>
                <w:color w:val="auto"/>
              </w:rPr>
              <w:t>State and local income taxes</w:t>
            </w:r>
            <w:r>
              <w:rPr>
                <w:rFonts w:ascii="Arial" w:cs="Arial" w:eastAsia="Arial" w:hAnsi="Arial"/>
                <w:sz w:val="11"/>
                <w:szCs w:val="11"/>
                <w:b w:val="1"/>
                <w:bCs w:val="1"/>
                <w:color w:val="auto"/>
              </w:rPr>
              <w:t>1</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4</w:t>
            </w:r>
          </w:p>
        </w:tc>
      </w:tr>
      <w:tr>
        <w:trPr>
          <w:trHeight w:val="42"/>
        </w:trPr>
        <w:tc>
          <w:tcPr>
            <w:tcW w:w="6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0"/>
        </w:trPr>
        <w:tc>
          <w:tcPr>
            <w:tcW w:w="67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Foreign tax effects</w:t>
            </w:r>
          </w:p>
        </w:tc>
        <w:tc>
          <w:tcPr>
            <w:tcW w:w="18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spacing w:after="0"/>
              <w:rPr>
                <w:sz w:val="24"/>
                <w:szCs w:val="24"/>
                <w:color w:val="auto"/>
              </w:rPr>
            </w:pPr>
          </w:p>
        </w:tc>
      </w:tr>
      <w:tr>
        <w:trPr>
          <w:trHeight w:val="293"/>
        </w:trPr>
        <w:tc>
          <w:tcPr>
            <w:tcW w:w="6700" w:type="dxa"/>
            <w:vAlign w:val="bottom"/>
          </w:tcPr>
          <w:p>
            <w:pPr>
              <w:ind w:left="180"/>
              <w:spacing w:after="0"/>
              <w:rPr>
                <w:sz w:val="20"/>
                <w:szCs w:val="20"/>
                <w:color w:val="auto"/>
              </w:rPr>
            </w:pPr>
            <w:r>
              <w:rPr>
                <w:rFonts w:ascii="Arial" w:cs="Arial" w:eastAsia="Arial" w:hAnsi="Arial"/>
                <w:sz w:val="18"/>
                <w:szCs w:val="18"/>
                <w:color w:val="auto"/>
              </w:rPr>
              <w:t>Chile</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7"/>
        </w:trPr>
        <w:tc>
          <w:tcPr>
            <w:tcW w:w="6700" w:type="dxa"/>
            <w:vAlign w:val="bottom"/>
            <w:tcBorders>
              <w:bottom w:val="single" w:sz="8" w:color="E6E6E6"/>
            </w:tcBorders>
            <w:shd w:val="clear" w:color="auto" w:fill="E6E6E6"/>
          </w:tcPr>
          <w:p>
            <w:pPr>
              <w:ind w:left="420"/>
              <w:spacing w:after="0"/>
              <w:rPr>
                <w:sz w:val="20"/>
                <w:szCs w:val="20"/>
                <w:color w:val="auto"/>
              </w:rPr>
            </w:pPr>
            <w:r>
              <w:rPr>
                <w:rFonts w:ascii="Arial" w:cs="Arial" w:eastAsia="Arial" w:hAnsi="Arial"/>
                <w:sz w:val="18"/>
                <w:szCs w:val="18"/>
                <w:color w:val="auto"/>
              </w:rPr>
              <w:t>Unremitted foreign earnings</w:t>
            </w:r>
          </w:p>
        </w:tc>
        <w:tc>
          <w:tcPr>
            <w:tcW w:w="18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jc w:val="right"/>
              <w:ind w:right="170"/>
              <w:spacing w:after="0"/>
              <w:rPr>
                <w:sz w:val="20"/>
                <w:szCs w:val="20"/>
                <w:color w:val="auto"/>
              </w:rPr>
            </w:pPr>
            <w:r>
              <w:rPr>
                <w:rFonts w:ascii="Arial" w:cs="Arial" w:eastAsia="Arial" w:hAnsi="Arial"/>
                <w:sz w:val="18"/>
                <w:szCs w:val="18"/>
                <w:color w:val="auto"/>
              </w:rPr>
              <w:t>2</w:t>
            </w:r>
          </w:p>
        </w:tc>
      </w:tr>
      <w:tr>
        <w:trPr>
          <w:trHeight w:val="258"/>
        </w:trPr>
        <w:tc>
          <w:tcPr>
            <w:tcW w:w="6700" w:type="dxa"/>
            <w:vAlign w:val="bottom"/>
          </w:tcPr>
          <w:p>
            <w:pPr>
              <w:ind w:left="420"/>
              <w:spacing w:after="0"/>
              <w:rPr>
                <w:sz w:val="20"/>
                <w:szCs w:val="20"/>
                <w:color w:val="auto"/>
              </w:rPr>
            </w:pPr>
            <w:r>
              <w:rPr>
                <w:rFonts w:ascii="Arial" w:cs="Arial" w:eastAsia="Arial" w:hAnsi="Arial"/>
                <w:sz w:val="18"/>
                <w:szCs w:val="18"/>
                <w:color w:val="auto"/>
              </w:rPr>
              <w:t>Inflationary adjustments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w:t>
            </w:r>
          </w:p>
        </w:tc>
      </w:tr>
      <w:tr>
        <w:trPr>
          <w:trHeight w:val="42"/>
        </w:trPr>
        <w:tc>
          <w:tcPr>
            <w:tcW w:w="6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0"/>
        </w:trPr>
        <w:tc>
          <w:tcPr>
            <w:tcW w:w="6700" w:type="dxa"/>
            <w:vAlign w:val="bottom"/>
            <w:tcBorders>
              <w:bottom w:val="single" w:sz="8" w:color="E6E6E6"/>
            </w:tcBorders>
            <w:shd w:val="clear" w:color="auto" w:fill="E6E6E6"/>
          </w:tcPr>
          <w:p>
            <w:pPr>
              <w:ind w:left="4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jc w:val="right"/>
              <w:ind w:right="170"/>
              <w:spacing w:after="0"/>
              <w:rPr>
                <w:sz w:val="20"/>
                <w:szCs w:val="20"/>
                <w:color w:val="auto"/>
              </w:rPr>
            </w:pPr>
            <w:r>
              <w:rPr>
                <w:rFonts w:ascii="Arial" w:cs="Arial" w:eastAsia="Arial" w:hAnsi="Arial"/>
                <w:sz w:val="18"/>
                <w:szCs w:val="18"/>
                <w:color w:val="auto"/>
              </w:rPr>
              <w:t>—</w:t>
            </w:r>
          </w:p>
        </w:tc>
      </w:tr>
      <w:tr>
        <w:trPr>
          <w:trHeight w:val="293"/>
        </w:trPr>
        <w:tc>
          <w:tcPr>
            <w:tcW w:w="6700" w:type="dxa"/>
            <w:vAlign w:val="bottom"/>
          </w:tcPr>
          <w:p>
            <w:pPr>
              <w:ind w:left="180"/>
              <w:spacing w:after="0"/>
              <w:rPr>
                <w:sz w:val="20"/>
                <w:szCs w:val="20"/>
                <w:color w:val="auto"/>
              </w:rPr>
            </w:pPr>
            <w:r>
              <w:rPr>
                <w:rFonts w:ascii="Arial" w:cs="Arial" w:eastAsia="Arial" w:hAnsi="Arial"/>
                <w:sz w:val="18"/>
                <w:szCs w:val="18"/>
                <w:color w:val="auto"/>
              </w:rPr>
              <w:t>Canada</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2</w:t>
            </w:r>
          </w:p>
        </w:tc>
      </w:tr>
      <w:tr>
        <w:trPr>
          <w:trHeight w:val="307"/>
        </w:trPr>
        <w:tc>
          <w:tcPr>
            <w:tcW w:w="6700" w:type="dxa"/>
            <w:vAlign w:val="bottom"/>
            <w:shd w:val="clear" w:color="auto" w:fill="E6E6E6"/>
          </w:tcPr>
          <w:p>
            <w:pPr>
              <w:ind w:left="180"/>
              <w:spacing w:after="0"/>
              <w:rPr>
                <w:sz w:val="20"/>
                <w:szCs w:val="20"/>
                <w:color w:val="auto"/>
              </w:rPr>
            </w:pPr>
            <w:r>
              <w:rPr>
                <w:rFonts w:ascii="Arial" w:cs="Arial" w:eastAsia="Arial" w:hAnsi="Arial"/>
                <w:sz w:val="18"/>
                <w:szCs w:val="18"/>
                <w:color w:val="auto"/>
              </w:rPr>
              <w:t>Argentina</w:t>
            </w: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r>
      <w:tr>
        <w:trPr>
          <w:trHeight w:val="259"/>
        </w:trPr>
        <w:tc>
          <w:tcPr>
            <w:tcW w:w="6700" w:type="dxa"/>
            <w:vAlign w:val="bottom"/>
          </w:tcPr>
          <w:p>
            <w:pPr>
              <w:ind w:left="420"/>
              <w:spacing w:after="0"/>
              <w:rPr>
                <w:sz w:val="20"/>
                <w:szCs w:val="20"/>
                <w:color w:val="auto"/>
              </w:rPr>
            </w:pPr>
            <w:r>
              <w:rPr>
                <w:rFonts w:ascii="Arial" w:cs="Arial" w:eastAsia="Arial" w:hAnsi="Arial"/>
                <w:sz w:val="18"/>
                <w:szCs w:val="18"/>
                <w:color w:val="auto"/>
              </w:rPr>
              <w:t>Changes in valuation allowances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w:t>
            </w:r>
          </w:p>
        </w:tc>
      </w:tr>
      <w:tr>
        <w:trPr>
          <w:trHeight w:val="41"/>
        </w:trPr>
        <w:tc>
          <w:tcPr>
            <w:tcW w:w="6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0"/>
        </w:trPr>
        <w:tc>
          <w:tcPr>
            <w:tcW w:w="6700" w:type="dxa"/>
            <w:vAlign w:val="bottom"/>
            <w:tcBorders>
              <w:bottom w:val="single" w:sz="8" w:color="E6E6E6"/>
            </w:tcBorders>
            <w:shd w:val="clear" w:color="auto" w:fill="E6E6E6"/>
          </w:tcPr>
          <w:p>
            <w:pPr>
              <w:ind w:left="4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jc w:val="right"/>
              <w:ind w:right="110"/>
              <w:spacing w:after="0"/>
              <w:rPr>
                <w:sz w:val="20"/>
                <w:szCs w:val="20"/>
                <w:color w:val="auto"/>
              </w:rPr>
            </w:pPr>
            <w:r>
              <w:rPr>
                <w:rFonts w:ascii="Arial" w:cs="Arial" w:eastAsia="Arial" w:hAnsi="Arial"/>
                <w:sz w:val="18"/>
                <w:szCs w:val="18"/>
                <w:color w:val="auto"/>
              </w:rPr>
              <w:t>(1)</w:t>
            </w:r>
          </w:p>
        </w:tc>
      </w:tr>
      <w:tr>
        <w:trPr>
          <w:trHeight w:val="293"/>
        </w:trPr>
        <w:tc>
          <w:tcPr>
            <w:tcW w:w="6700" w:type="dxa"/>
            <w:vAlign w:val="bottom"/>
          </w:tcPr>
          <w:p>
            <w:pPr>
              <w:ind w:left="180"/>
              <w:spacing w:after="0"/>
              <w:rPr>
                <w:sz w:val="20"/>
                <w:szCs w:val="20"/>
                <w:color w:val="auto"/>
              </w:rPr>
            </w:pPr>
            <w:r>
              <w:rPr>
                <w:rFonts w:ascii="Arial" w:cs="Arial" w:eastAsia="Arial" w:hAnsi="Arial"/>
                <w:sz w:val="18"/>
                <w:szCs w:val="18"/>
                <w:color w:val="auto"/>
              </w:rPr>
              <w:t>Other foreign jurisdictions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87"/>
        </w:trPr>
        <w:tc>
          <w:tcPr>
            <w:tcW w:w="67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U.S. Tax credits</w:t>
            </w:r>
          </w:p>
        </w:tc>
        <w:tc>
          <w:tcPr>
            <w:tcW w:w="18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spacing w:after="0"/>
              <w:rPr>
                <w:sz w:val="24"/>
                <w:szCs w:val="24"/>
                <w:color w:val="auto"/>
              </w:rPr>
            </w:pPr>
          </w:p>
        </w:tc>
      </w:tr>
      <w:tr>
        <w:trPr>
          <w:trHeight w:val="293"/>
        </w:trPr>
        <w:tc>
          <w:tcPr>
            <w:tcW w:w="6700" w:type="dxa"/>
            <w:vAlign w:val="bottom"/>
          </w:tcPr>
          <w:p>
            <w:pPr>
              <w:ind w:left="180"/>
              <w:spacing w:after="0"/>
              <w:rPr>
                <w:sz w:val="20"/>
                <w:szCs w:val="20"/>
                <w:color w:val="auto"/>
              </w:rPr>
            </w:pPr>
            <w:r>
              <w:rPr>
                <w:rFonts w:ascii="Arial" w:cs="Arial" w:eastAsia="Arial" w:hAnsi="Arial"/>
                <w:sz w:val="18"/>
                <w:szCs w:val="18"/>
                <w:color w:val="auto"/>
              </w:rPr>
              <w:t>Research and development tax credits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w:t>
            </w:r>
          </w:p>
        </w:tc>
      </w:tr>
      <w:tr>
        <w:trPr>
          <w:trHeight w:val="307"/>
        </w:trPr>
        <w:tc>
          <w:tcPr>
            <w:tcW w:w="670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U.S. Nontaxable or nondeductible items</w:t>
            </w: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spacing w:after="0"/>
              <w:rPr>
                <w:sz w:val="24"/>
                <w:szCs w:val="24"/>
                <w:color w:val="auto"/>
              </w:rPr>
            </w:pPr>
          </w:p>
        </w:tc>
      </w:tr>
      <w:tr>
        <w:trPr>
          <w:trHeight w:val="293"/>
        </w:trPr>
        <w:tc>
          <w:tcPr>
            <w:tcW w:w="6700" w:type="dxa"/>
            <w:vAlign w:val="bottom"/>
          </w:tcPr>
          <w:p>
            <w:pPr>
              <w:ind w:left="180"/>
              <w:spacing w:after="0"/>
              <w:rPr>
                <w:sz w:val="20"/>
                <w:szCs w:val="20"/>
                <w:color w:val="auto"/>
              </w:rPr>
            </w:pPr>
            <w:r>
              <w:rPr>
                <w:rFonts w:ascii="Arial" w:cs="Arial" w:eastAsia="Arial" w:hAnsi="Arial"/>
                <w:sz w:val="18"/>
                <w:szCs w:val="18"/>
                <w:color w:val="auto"/>
              </w:rPr>
              <w:t>Nondeductible compensation</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2</w:t>
            </w:r>
          </w:p>
        </w:tc>
      </w:tr>
      <w:tr>
        <w:trPr>
          <w:trHeight w:val="307"/>
        </w:trPr>
        <w:tc>
          <w:tcPr>
            <w:tcW w:w="670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Changes in unrecognized tax benefits</w:t>
            </w: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shd w:val="clear" w:color="auto" w:fill="E6E6E6"/>
          </w:tcPr>
          <w:p>
            <w:pPr>
              <w:jc w:val="right"/>
              <w:ind w:right="110"/>
              <w:spacing w:after="0"/>
              <w:rPr>
                <w:sz w:val="20"/>
                <w:szCs w:val="20"/>
                <w:color w:val="auto"/>
              </w:rPr>
            </w:pPr>
            <w:r>
              <w:rPr>
                <w:rFonts w:ascii="Arial" w:cs="Arial" w:eastAsia="Arial" w:hAnsi="Arial"/>
                <w:sz w:val="18"/>
                <w:szCs w:val="18"/>
                <w:color w:val="auto"/>
              </w:rPr>
              <w:t>(3)</w:t>
            </w:r>
          </w:p>
        </w:tc>
      </w:tr>
      <w:tr>
        <w:trPr>
          <w:trHeight w:val="290"/>
        </w:trPr>
        <w:tc>
          <w:tcPr>
            <w:tcW w:w="6700" w:type="dxa"/>
            <w:vAlign w:val="bottom"/>
            <w:tcBorders>
              <w:bottom w:val="single" w:sz="8" w:color="E6E6E6"/>
            </w:tcBorders>
          </w:tcPr>
          <w:p>
            <w:pPr>
              <w:ind w:left="60"/>
              <w:spacing w:after="0"/>
              <w:rPr>
                <w:sz w:val="20"/>
                <w:szCs w:val="20"/>
                <w:color w:val="auto"/>
              </w:rPr>
            </w:pPr>
            <w:r>
              <w:rPr>
                <w:rFonts w:ascii="Arial" w:cs="Arial" w:eastAsia="Arial" w:hAnsi="Arial"/>
                <w:sz w:val="18"/>
                <w:szCs w:val="18"/>
                <w:color w:val="auto"/>
              </w:rPr>
              <w:t>Other adjustments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r>
      <w:tr>
        <w:trPr>
          <w:trHeight w:val="285"/>
        </w:trPr>
        <w:tc>
          <w:tcPr>
            <w:tcW w:w="670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b w:val="1"/>
                <w:bCs w:val="1"/>
                <w:color w:val="auto"/>
              </w:rPr>
              <w:t>Provision for income taxes</w:t>
            </w:r>
          </w:p>
        </w:tc>
        <w:tc>
          <w:tcPr>
            <w:tcW w:w="1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50</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26 %</w:t>
            </w:r>
          </w:p>
        </w:tc>
      </w:tr>
      <w:tr>
        <w:trPr>
          <w:trHeight w:val="20"/>
        </w:trPr>
        <w:tc>
          <w:tcPr>
            <w:tcW w:w="6700" w:type="dxa"/>
            <w:vAlign w:val="bottom"/>
            <w:tcBorders>
              <w:top w:val="single" w:sz="8" w:color="E6E6E6"/>
            </w:tcBorders>
          </w:tcPr>
          <w:p>
            <w:pPr>
              <w:spacing w:after="0" w:line="20" w:lineRule="exact"/>
              <w:rPr>
                <w:sz w:val="1"/>
                <w:szCs w:val="1"/>
                <w:color w:val="auto"/>
              </w:rPr>
            </w:pPr>
          </w:p>
        </w:tc>
        <w:tc>
          <w:tcPr>
            <w:tcW w:w="180" w:type="dxa"/>
            <w:vAlign w:val="bottom"/>
            <w:tcBorders>
              <w:top w:val="single" w:sz="8" w:color="E6E6E6"/>
              <w:bottom w:val="single" w:sz="8" w:color="auto"/>
            </w:tcBorders>
          </w:tcPr>
          <w:p>
            <w:pPr>
              <w:spacing w:after="0" w:line="20" w:lineRule="exact"/>
              <w:rPr>
                <w:sz w:val="1"/>
                <w:szCs w:val="1"/>
                <w:color w:val="auto"/>
              </w:rPr>
            </w:pPr>
          </w:p>
        </w:tc>
        <w:tc>
          <w:tcPr>
            <w:tcW w:w="1120" w:type="dxa"/>
            <w:vAlign w:val="bottom"/>
            <w:tcBorders>
              <w:top w:val="single" w:sz="8" w:color="E6E6E6"/>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180" w:type="dxa"/>
            <w:vAlign w:val="bottom"/>
            <w:tcBorders>
              <w:top w:val="single" w:sz="8" w:color="E6E6E6"/>
              <w:bottom w:val="single" w:sz="8" w:color="auto"/>
            </w:tcBorders>
          </w:tcPr>
          <w:p>
            <w:pPr>
              <w:spacing w:after="0" w:line="20" w:lineRule="exact"/>
              <w:rPr>
                <w:sz w:val="1"/>
                <w:szCs w:val="1"/>
                <w:color w:val="auto"/>
              </w:rPr>
            </w:pPr>
          </w:p>
        </w:tc>
        <w:tc>
          <w:tcPr>
            <w:tcW w:w="1120" w:type="dxa"/>
            <w:vAlign w:val="bottom"/>
            <w:tcBorders>
              <w:top w:val="single" w:sz="8" w:color="E6E6E6"/>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-3650615</wp:posOffset>
            </wp:positionV>
            <wp:extent cx="172085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79">
                      <a:extLst>
                        <a:ext uri="{28A0092B-C50C-407E-A947-70E740481C1C}"/>
                      </a:extLst>
                    </a:blip>
                    <a:srcRect/>
                    <a:stretch>
                      <a:fillRect/>
                    </a:stretch>
                  </pic:blipFill>
                  <pic:spPr bwMode="auto">
                    <a:xfrm>
                      <a:off x="0" y="0"/>
                      <a:ext cx="1720850" cy="2540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-221615</wp:posOffset>
            </wp:positionV>
            <wp:extent cx="172085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80">
                      <a:extLst>
                        <a:ext uri="{28A0092B-C50C-407E-A947-70E740481C1C}"/>
                      </a:extLst>
                    </a:blip>
                    <a:srcRect/>
                    <a:stretch>
                      <a:fillRect/>
                    </a:stretch>
                  </pic:blipFill>
                  <pic:spPr bwMode="auto">
                    <a:xfrm>
                      <a:off x="0" y="0"/>
                      <a:ext cx="1720850" cy="2540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-43815</wp:posOffset>
            </wp:positionV>
            <wp:extent cx="1720850" cy="508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81">
                      <a:extLst>
                        <a:ext uri="{28A0092B-C50C-407E-A947-70E740481C1C}"/>
                      </a:extLst>
                    </a:blip>
                    <a:srcRect/>
                    <a:stretch>
                      <a:fillRect/>
                    </a:stretch>
                  </pic:blipFill>
                  <pic:spPr bwMode="auto">
                    <a:xfrm>
                      <a:off x="0" y="0"/>
                      <a:ext cx="1720850" cy="5080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1</w:t>
      </w:r>
      <w:r>
        <w:rPr>
          <w:rFonts w:ascii="Arial" w:cs="Arial" w:eastAsia="Arial" w:hAnsi="Arial"/>
          <w:sz w:val="15"/>
          <w:szCs w:val="15"/>
          <w:color w:val="auto"/>
        </w:rPr>
        <w:t>State taxes in Arizona, California, Georgia, Indiana, Maine, Minnesota, North Carolina, and Pennsylvania made up the majority (greater than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50%) of the tax effect in this category.</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9360"/>
          </w:cols>
          <w:pgMar w:left="1260" w:top="1190" w:right="1260" w:bottom="225" w:gutter="0" w:footer="0" w:header="0"/>
          <w:type w:val="continuous"/>
        </w:sectPr>
      </w:pPr>
    </w:p>
    <w:bookmarkStart w:id="82" w:name="page83"/>
    <w:bookmarkEnd w:id="82"/>
    <w:p>
      <w:pPr>
        <w:jc w:val="both"/>
        <w:spacing w:after="0" w:line="266" w:lineRule="auto"/>
        <w:rPr>
          <w:sz w:val="20"/>
          <w:szCs w:val="20"/>
          <w:color w:val="auto"/>
        </w:rPr>
      </w:pPr>
      <w:r>
        <w:rPr>
          <w:rFonts w:ascii="Arial" w:cs="Arial" w:eastAsia="Arial" w:hAnsi="Arial"/>
          <w:sz w:val="20"/>
          <w:szCs w:val="20"/>
          <w:color w:val="auto"/>
        </w:rPr>
        <w:t>The following table is a reconciliation of the U.S. federal statutory tax rate to the total effective tax rates from continuing operations for the years ended December 31, 2024 and 2023 in accordance with the guidance prior to the adoption of ASU 2023-09 (dollar amounts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w w:val="97"/>
              </w:rPr>
              <w:t>Year Ended December 31,</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47"/>
        </w:trPr>
        <w:tc>
          <w:tcPr>
            <w:tcW w:w="3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2024</w:t>
            </w: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33"/>
        </w:trPr>
        <w:tc>
          <w:tcPr>
            <w:tcW w:w="3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47"/>
        </w:trPr>
        <w:tc>
          <w:tcPr>
            <w:tcW w:w="3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4"/>
              </w:rPr>
              <w:t>Amount ($)</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4"/>
              </w:rPr>
              <w:t>Percent (%)</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4"/>
              </w:rPr>
              <w:t>Amount ($)</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4"/>
              </w:rPr>
              <w:t>Percent (%)</w:t>
            </w:r>
          </w:p>
        </w:tc>
        <w:tc>
          <w:tcPr>
            <w:tcW w:w="160" w:type="dxa"/>
            <w:vAlign w:val="bottom"/>
          </w:tcPr>
          <w:p>
            <w:pPr>
              <w:spacing w:after="0"/>
              <w:rPr>
                <w:sz w:val="21"/>
                <w:szCs w:val="21"/>
                <w:color w:val="auto"/>
              </w:rPr>
            </w:pPr>
          </w:p>
        </w:tc>
      </w:tr>
      <w:tr>
        <w:trPr>
          <w:trHeight w:val="33"/>
        </w:trPr>
        <w:tc>
          <w:tcPr>
            <w:tcW w:w="3940" w:type="dxa"/>
            <w:vAlign w:val="bottom"/>
            <w:tcBorders>
              <w:bottom w:val="single" w:sz="8" w:color="E6E6E6"/>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70"/>
        </w:trPr>
        <w:tc>
          <w:tcPr>
            <w:tcW w:w="3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U.S. Federal tax rate</w:t>
            </w:r>
          </w:p>
        </w:tc>
        <w:tc>
          <w:tcPr>
            <w:tcW w:w="2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118</w:t>
            </w:r>
          </w:p>
        </w:tc>
        <w:tc>
          <w:tcPr>
            <w:tcW w:w="60" w:type="dxa"/>
            <w:vAlign w:val="bottom"/>
            <w:tcBorders>
              <w:bottom w:val="single" w:sz="8" w:color="E6E6E6"/>
            </w:tcBorders>
            <w:shd w:val="clear" w:color="auto" w:fill="E6E6E6"/>
          </w:tcPr>
          <w:p>
            <w:pPr>
              <w:spacing w:after="0"/>
              <w:rPr>
                <w:sz w:val="23"/>
                <w:szCs w:val="23"/>
                <w:color w:val="auto"/>
              </w:rPr>
            </w:pPr>
          </w:p>
        </w:tc>
        <w:tc>
          <w:tcPr>
            <w:tcW w:w="160" w:type="dxa"/>
            <w:vAlign w:val="bottom"/>
            <w:tcBorders>
              <w:bottom w:val="single" w:sz="8" w:color="E6E6E6"/>
            </w:tcBorders>
            <w:shd w:val="clear" w:color="auto" w:fill="E6E6E6"/>
          </w:tcPr>
          <w:p>
            <w:pPr>
              <w:spacing w:after="0"/>
              <w:rPr>
                <w:sz w:val="23"/>
                <w:szCs w:val="23"/>
                <w:color w:val="auto"/>
              </w:rPr>
            </w:pPr>
          </w:p>
        </w:tc>
        <w:tc>
          <w:tcPr>
            <w:tcW w:w="9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tcBorders>
              <w:bottom w:val="single" w:sz="8" w:color="E6E6E6"/>
            </w:tcBorders>
            <w:gridSpan w:val="3"/>
            <w:shd w:val="clear" w:color="auto" w:fill="E6E6E6"/>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E6E6E6"/>
            </w:tcBorders>
            <w:shd w:val="clear" w:color="auto" w:fill="E6E6E6"/>
          </w:tcPr>
          <w:p>
            <w:pPr>
              <w:spacing w:after="0"/>
              <w:rPr>
                <w:sz w:val="23"/>
                <w:szCs w:val="23"/>
                <w:color w:val="auto"/>
              </w:rPr>
            </w:pPr>
          </w:p>
        </w:tc>
        <w:tc>
          <w:tcPr>
            <w:tcW w:w="180" w:type="dxa"/>
            <w:vAlign w:val="bottom"/>
            <w:tcBorders>
              <w:bottom w:val="single" w:sz="8" w:color="E6E6E6"/>
            </w:tcBorders>
            <w:shd w:val="clear" w:color="auto" w:fill="E6E6E6"/>
          </w:tcPr>
          <w:p>
            <w:pPr>
              <w:spacing w:after="0"/>
              <w:rPr>
                <w:sz w:val="23"/>
                <w:szCs w:val="23"/>
                <w:color w:val="auto"/>
              </w:rPr>
            </w:pPr>
          </w:p>
        </w:tc>
        <w:tc>
          <w:tcPr>
            <w:tcW w:w="960" w:type="dxa"/>
            <w:vAlign w:val="bottom"/>
            <w:tcBorders>
              <w:bottom w:val="single" w:sz="8" w:color="E6E6E6"/>
            </w:tcBorders>
            <w:shd w:val="clear" w:color="auto" w:fill="E6E6E6"/>
          </w:tcPr>
          <w:p>
            <w:pPr>
              <w:jc w:val="right"/>
              <w:ind w:right="10"/>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w w:val="74"/>
              </w:rPr>
              <w:t>%</w:t>
            </w:r>
          </w:p>
        </w:tc>
      </w:tr>
      <w:tr>
        <w:trPr>
          <w:trHeight w:val="258"/>
        </w:trPr>
        <w:tc>
          <w:tcPr>
            <w:tcW w:w="3940" w:type="dxa"/>
            <w:vAlign w:val="bottom"/>
          </w:tcPr>
          <w:p>
            <w:pPr>
              <w:ind w:left="60"/>
              <w:spacing w:after="0"/>
              <w:rPr>
                <w:sz w:val="20"/>
                <w:szCs w:val="20"/>
                <w:color w:val="auto"/>
              </w:rPr>
            </w:pPr>
            <w:r>
              <w:rPr>
                <w:rFonts w:ascii="Arial" w:cs="Arial" w:eastAsia="Arial" w:hAnsi="Arial"/>
                <w:sz w:val="18"/>
                <w:szCs w:val="18"/>
                <w:color w:val="auto"/>
              </w:rPr>
              <w:t>State and local income taxes</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2"/>
                <w:szCs w:val="22"/>
                <w:color w:val="auto"/>
              </w:rPr>
            </w:pPr>
          </w:p>
        </w:tc>
      </w:tr>
      <w:tr>
        <w:trPr>
          <w:trHeight w:val="42"/>
        </w:trPr>
        <w:tc>
          <w:tcPr>
            <w:tcW w:w="3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0"/>
        </w:trPr>
        <w:tc>
          <w:tcPr>
            <w:tcW w:w="3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Effect of foreign tax rates</w:t>
            </w:r>
          </w:p>
        </w:tc>
        <w:tc>
          <w:tcPr>
            <w:tcW w:w="20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E6E6E6"/>
            </w:tcBorders>
            <w:shd w:val="clear" w:color="auto" w:fill="E6E6E6"/>
          </w:tcPr>
          <w:p>
            <w:pPr>
              <w:spacing w:after="0"/>
              <w:rPr>
                <w:sz w:val="24"/>
                <w:szCs w:val="24"/>
                <w:color w:val="auto"/>
              </w:rPr>
            </w:pPr>
          </w:p>
        </w:tc>
      </w:tr>
      <w:tr>
        <w:trPr>
          <w:trHeight w:val="258"/>
        </w:trPr>
        <w:tc>
          <w:tcPr>
            <w:tcW w:w="3940" w:type="dxa"/>
            <w:vAlign w:val="bottom"/>
          </w:tcPr>
          <w:p>
            <w:pPr>
              <w:ind w:left="60"/>
              <w:spacing w:after="0"/>
              <w:rPr>
                <w:sz w:val="20"/>
                <w:szCs w:val="20"/>
                <w:color w:val="auto"/>
              </w:rPr>
            </w:pPr>
            <w:r>
              <w:rPr>
                <w:rFonts w:ascii="Arial" w:cs="Arial" w:eastAsia="Arial" w:hAnsi="Arial"/>
                <w:sz w:val="18"/>
                <w:szCs w:val="18"/>
                <w:color w:val="auto"/>
              </w:rPr>
              <w:t>Uncertain tax positions</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2"/>
                <w:szCs w:val="22"/>
                <w:color w:val="auto"/>
              </w:rPr>
            </w:pPr>
          </w:p>
        </w:tc>
      </w:tr>
      <w:tr>
        <w:trPr>
          <w:trHeight w:val="42"/>
        </w:trPr>
        <w:tc>
          <w:tcPr>
            <w:tcW w:w="3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0"/>
        </w:trPr>
        <w:tc>
          <w:tcPr>
            <w:tcW w:w="3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Unremitted foreign earnings</w:t>
            </w:r>
          </w:p>
        </w:tc>
        <w:tc>
          <w:tcPr>
            <w:tcW w:w="20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jc w:val="right"/>
              <w:ind w:right="1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E6E6E6"/>
            </w:tcBorders>
            <w:shd w:val="clear" w:color="auto" w:fill="E6E6E6"/>
          </w:tcPr>
          <w:p>
            <w:pPr>
              <w:spacing w:after="0"/>
              <w:rPr>
                <w:sz w:val="24"/>
                <w:szCs w:val="24"/>
                <w:color w:val="auto"/>
              </w:rPr>
            </w:pPr>
          </w:p>
        </w:tc>
      </w:tr>
      <w:tr>
        <w:trPr>
          <w:trHeight w:val="259"/>
        </w:trPr>
        <w:tc>
          <w:tcPr>
            <w:tcW w:w="3940" w:type="dxa"/>
            <w:vAlign w:val="bottom"/>
          </w:tcPr>
          <w:p>
            <w:pPr>
              <w:ind w:left="60"/>
              <w:spacing w:after="0"/>
              <w:rPr>
                <w:sz w:val="20"/>
                <w:szCs w:val="20"/>
                <w:color w:val="auto"/>
              </w:rPr>
            </w:pPr>
            <w:r>
              <w:rPr>
                <w:rFonts w:ascii="Arial" w:cs="Arial" w:eastAsia="Arial" w:hAnsi="Arial"/>
                <w:sz w:val="18"/>
                <w:szCs w:val="18"/>
                <w:color w:val="auto"/>
              </w:rPr>
              <w:t>Non deductible compensation</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2"/>
                <w:szCs w:val="22"/>
                <w:color w:val="auto"/>
              </w:rPr>
            </w:pPr>
          </w:p>
        </w:tc>
      </w:tr>
      <w:tr>
        <w:trPr>
          <w:trHeight w:val="41"/>
        </w:trPr>
        <w:tc>
          <w:tcPr>
            <w:tcW w:w="3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0"/>
        </w:trPr>
        <w:tc>
          <w:tcPr>
            <w:tcW w:w="3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Tax credits</w:t>
            </w:r>
          </w:p>
        </w:tc>
        <w:tc>
          <w:tcPr>
            <w:tcW w:w="20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E6E6E6"/>
            </w:tcBorders>
            <w:shd w:val="clear" w:color="auto" w:fill="E6E6E6"/>
          </w:tcPr>
          <w:p>
            <w:pPr>
              <w:spacing w:after="0"/>
              <w:rPr>
                <w:sz w:val="24"/>
                <w:szCs w:val="24"/>
                <w:color w:val="auto"/>
              </w:rPr>
            </w:pPr>
          </w:p>
        </w:tc>
      </w:tr>
      <w:tr>
        <w:trPr>
          <w:trHeight w:val="259"/>
        </w:trPr>
        <w:tc>
          <w:tcPr>
            <w:tcW w:w="3940" w:type="dxa"/>
            <w:vAlign w:val="bottom"/>
          </w:tcPr>
          <w:p>
            <w:pPr>
              <w:ind w:left="60"/>
              <w:spacing w:after="0"/>
              <w:rPr>
                <w:sz w:val="20"/>
                <w:szCs w:val="20"/>
                <w:color w:val="auto"/>
              </w:rPr>
            </w:pPr>
            <w:r>
              <w:rPr>
                <w:rFonts w:ascii="Arial" w:cs="Arial" w:eastAsia="Arial" w:hAnsi="Arial"/>
                <w:sz w:val="18"/>
                <w:szCs w:val="18"/>
                <w:color w:val="auto"/>
              </w:rPr>
              <w:t>Prior year changes in tax laws and positions</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2"/>
                <w:szCs w:val="22"/>
                <w:color w:val="auto"/>
              </w:rPr>
            </w:pPr>
          </w:p>
        </w:tc>
      </w:tr>
      <w:tr>
        <w:trPr>
          <w:trHeight w:val="41"/>
        </w:trPr>
        <w:tc>
          <w:tcPr>
            <w:tcW w:w="3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0"/>
        </w:trPr>
        <w:tc>
          <w:tcPr>
            <w:tcW w:w="3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Revisions to prior year estimates</w:t>
            </w:r>
          </w:p>
        </w:tc>
        <w:tc>
          <w:tcPr>
            <w:tcW w:w="200" w:type="dxa"/>
            <w:vAlign w:val="bottom"/>
            <w:tcBorders>
              <w:bottom w:val="single" w:sz="8" w:color="E6E6E6"/>
            </w:tcBorders>
            <w:shd w:val="clear" w:color="auto" w:fill="E6E6E6"/>
          </w:tcPr>
          <w:p>
            <w:pPr>
              <w:spacing w:after="0"/>
              <w:rPr>
                <w:sz w:val="24"/>
                <w:szCs w:val="24"/>
                <w:color w:val="auto"/>
              </w:rPr>
            </w:pPr>
          </w:p>
        </w:tc>
        <w:tc>
          <w:tcPr>
            <w:tcW w:w="1340" w:type="dxa"/>
            <w:vAlign w:val="bottom"/>
            <w:tcBorders>
              <w:bottom w:val="single" w:sz="8" w:color="E6E6E6"/>
            </w:tcBorders>
            <w:gridSpan w:val="3"/>
            <w:shd w:val="clear" w:color="auto" w:fill="E6E6E6"/>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16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E6E6E6"/>
            </w:tcBorders>
            <w:shd w:val="clear" w:color="auto" w:fill="E6E6E6"/>
          </w:tcPr>
          <w:p>
            <w:pPr>
              <w:spacing w:after="0"/>
              <w:rPr>
                <w:sz w:val="24"/>
                <w:szCs w:val="24"/>
                <w:color w:val="auto"/>
              </w:rPr>
            </w:pPr>
          </w:p>
        </w:tc>
        <w:tc>
          <w:tcPr>
            <w:tcW w:w="180" w:type="dxa"/>
            <w:vAlign w:val="bottom"/>
            <w:tcBorders>
              <w:bottom w:val="single" w:sz="8" w:color="E6E6E6"/>
            </w:tcBorders>
            <w:shd w:val="clear" w:color="auto" w:fill="E6E6E6"/>
          </w:tcPr>
          <w:p>
            <w:pPr>
              <w:spacing w:after="0"/>
              <w:rPr>
                <w:sz w:val="24"/>
                <w:szCs w:val="24"/>
                <w:color w:val="auto"/>
              </w:rPr>
            </w:pPr>
          </w:p>
        </w:tc>
        <w:tc>
          <w:tcPr>
            <w:tcW w:w="9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E6E6E6"/>
            </w:tcBorders>
            <w:shd w:val="clear" w:color="auto" w:fill="E6E6E6"/>
          </w:tcPr>
          <w:p>
            <w:pPr>
              <w:spacing w:after="0"/>
              <w:rPr>
                <w:sz w:val="24"/>
                <w:szCs w:val="24"/>
                <w:color w:val="auto"/>
              </w:rPr>
            </w:pPr>
          </w:p>
        </w:tc>
      </w:tr>
      <w:tr>
        <w:trPr>
          <w:trHeight w:val="259"/>
        </w:trPr>
        <w:tc>
          <w:tcPr>
            <w:tcW w:w="3940" w:type="dxa"/>
            <w:vAlign w:val="bottom"/>
          </w:tcPr>
          <w:p>
            <w:pPr>
              <w:ind w:left="60"/>
              <w:spacing w:after="0"/>
              <w:rPr>
                <w:sz w:val="20"/>
                <w:szCs w:val="20"/>
                <w:color w:val="auto"/>
              </w:rPr>
            </w:pPr>
            <w:r>
              <w:rPr>
                <w:rFonts w:ascii="Arial" w:cs="Arial" w:eastAsia="Arial" w:hAnsi="Arial"/>
                <w:sz w:val="18"/>
                <w:szCs w:val="18"/>
                <w:color w:val="auto"/>
              </w:rPr>
              <w:t>Other items, net</w:t>
            </w:r>
          </w:p>
        </w:tc>
        <w:tc>
          <w:tcPr>
            <w:tcW w:w="200" w:type="dxa"/>
            <w:vAlign w:val="bottom"/>
          </w:tcPr>
          <w:p>
            <w:pPr>
              <w:spacing w:after="0"/>
              <w:rPr>
                <w:sz w:val="22"/>
                <w:szCs w:val="22"/>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2"/>
                <w:szCs w:val="22"/>
                <w:color w:val="auto"/>
              </w:rPr>
            </w:pPr>
          </w:p>
        </w:tc>
      </w:tr>
      <w:tr>
        <w:trPr>
          <w:trHeight w:val="31"/>
        </w:trPr>
        <w:tc>
          <w:tcPr>
            <w:tcW w:w="3940" w:type="dxa"/>
            <w:vAlign w:val="bottom"/>
            <w:tcBorders>
              <w:bottom w:val="single" w:sz="8" w:color="E6E6E6"/>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280"/>
        </w:trPr>
        <w:tc>
          <w:tcPr>
            <w:tcW w:w="3940" w:type="dxa"/>
            <w:vAlign w:val="bottom"/>
            <w:shd w:val="clear" w:color="auto" w:fill="E6E6E6"/>
          </w:tcPr>
          <w:p>
            <w:pPr>
              <w:ind w:left="180"/>
              <w:spacing w:after="0"/>
              <w:rPr>
                <w:sz w:val="20"/>
                <w:szCs w:val="20"/>
                <w:color w:val="auto"/>
              </w:rPr>
            </w:pPr>
            <w:r>
              <w:rPr>
                <w:rFonts w:ascii="Arial" w:cs="Arial" w:eastAsia="Arial" w:hAnsi="Arial"/>
                <w:sz w:val="18"/>
                <w:szCs w:val="18"/>
                <w:b w:val="1"/>
                <w:bCs w:val="1"/>
                <w:color w:val="auto"/>
              </w:rPr>
              <w:t>Provision for income taxes</w:t>
            </w:r>
          </w:p>
        </w:tc>
        <w:tc>
          <w:tcPr>
            <w:tcW w:w="2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140</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140" w:type="dxa"/>
            <w:vAlign w:val="bottom"/>
            <w:gridSpan w:val="2"/>
            <w:shd w:val="clear" w:color="auto" w:fill="E6E6E6"/>
          </w:tcPr>
          <w:p>
            <w:pPr>
              <w:jc w:val="right"/>
              <w:spacing w:after="0"/>
              <w:rPr>
                <w:sz w:val="20"/>
                <w:szCs w:val="20"/>
                <w:color w:val="auto"/>
              </w:rPr>
            </w:pPr>
            <w:r>
              <w:rPr>
                <w:rFonts w:ascii="Arial" w:cs="Arial" w:eastAsia="Arial" w:hAnsi="Arial"/>
                <w:sz w:val="18"/>
                <w:szCs w:val="18"/>
                <w:b w:val="1"/>
                <w:bCs w:val="1"/>
                <w:color w:val="auto"/>
              </w:rPr>
              <w:t>25 %</w:t>
            </w:r>
          </w:p>
        </w:tc>
        <w:tc>
          <w:tcPr>
            <w:tcW w:w="260" w:type="dxa"/>
            <w:vAlign w:val="bottom"/>
            <w:gridSpan w:val="3"/>
            <w:shd w:val="clear" w:color="auto" w:fill="E6E6E6"/>
          </w:tcPr>
          <w:p>
            <w:pPr>
              <w:jc w:val="right"/>
              <w:ind w:right="4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74</w:t>
            </w:r>
          </w:p>
        </w:tc>
        <w:tc>
          <w:tcPr>
            <w:tcW w:w="60" w:type="dxa"/>
            <w:vAlign w:val="bottom"/>
            <w:shd w:val="clear" w:color="auto" w:fill="E6E6E6"/>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1120" w:type="dxa"/>
            <w:vAlign w:val="bottom"/>
            <w:gridSpan w:val="2"/>
            <w:shd w:val="clear" w:color="auto" w:fill="E6E6E6"/>
          </w:tcPr>
          <w:p>
            <w:pPr>
              <w:jc w:val="right"/>
              <w:spacing w:after="0"/>
              <w:rPr>
                <w:sz w:val="20"/>
                <w:szCs w:val="20"/>
                <w:color w:val="auto"/>
              </w:rPr>
            </w:pPr>
            <w:r>
              <w:rPr>
                <w:rFonts w:ascii="Arial" w:cs="Arial" w:eastAsia="Arial" w:hAnsi="Arial"/>
                <w:sz w:val="18"/>
                <w:szCs w:val="18"/>
                <w:b w:val="1"/>
                <w:bCs w:val="1"/>
                <w:color w:val="auto"/>
              </w:rPr>
              <w:t>29 %</w:t>
            </w:r>
          </w:p>
        </w:tc>
      </w:tr>
      <w:tr>
        <w:trPr>
          <w:trHeight w:val="20"/>
        </w:trPr>
        <w:tc>
          <w:tcPr>
            <w:tcW w:w="3940" w:type="dxa"/>
            <w:vAlign w:val="bottom"/>
            <w:tcBorders>
              <w:top w:val="single" w:sz="8" w:color="E6E6E6"/>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-2507615</wp:posOffset>
            </wp:positionV>
            <wp:extent cx="176847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82">
                      <a:extLst>
                        <a:ext uri="{28A0092B-C50C-407E-A947-70E740481C1C}"/>
                      </a:extLst>
                    </a:blip>
                    <a:srcRect/>
                    <a:stretch>
                      <a:fillRect/>
                    </a:stretch>
                  </pic:blipFill>
                  <pic:spPr bwMode="auto">
                    <a:xfrm>
                      <a:off x="0" y="0"/>
                      <a:ext cx="1768475" cy="2540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-2126615</wp:posOffset>
            </wp:positionV>
            <wp:extent cx="346392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83">
                      <a:extLst>
                        <a:ext uri="{28A0092B-C50C-407E-A947-70E740481C1C}"/>
                      </a:extLst>
                    </a:blip>
                    <a:srcRect/>
                    <a:stretch>
                      <a:fillRect/>
                    </a:stretch>
                  </pic:blipFill>
                  <pic:spPr bwMode="auto">
                    <a:xfrm>
                      <a:off x="0" y="0"/>
                      <a:ext cx="3463925" cy="2540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-221615</wp:posOffset>
            </wp:positionV>
            <wp:extent cx="346392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84">
                      <a:extLst>
                        <a:ext uri="{28A0092B-C50C-407E-A947-70E740481C1C}"/>
                      </a:extLst>
                    </a:blip>
                    <a:srcRect/>
                    <a:stretch>
                      <a:fillRect/>
                    </a:stretch>
                  </pic:blipFill>
                  <pic:spPr bwMode="auto">
                    <a:xfrm>
                      <a:off x="0" y="0"/>
                      <a:ext cx="3463925" cy="2540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-43815</wp:posOffset>
            </wp:positionV>
            <wp:extent cx="3463925" cy="508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85">
                      <a:extLst>
                        <a:ext uri="{28A0092B-C50C-407E-A947-70E740481C1C}"/>
                      </a:extLst>
                    </a:blip>
                    <a:srcRect/>
                    <a:stretch>
                      <a:fillRect/>
                    </a:stretch>
                  </pic:blipFill>
                  <pic:spPr bwMode="auto">
                    <a:xfrm>
                      <a:off x="0" y="0"/>
                      <a:ext cx="3463925" cy="50800"/>
                    </a:xfrm>
                    <a:prstGeom prst="rect">
                      <a:avLst/>
                    </a:prstGeom>
                    <a:noFill/>
                  </pic:spPr>
                </pic:pic>
              </a:graphicData>
            </a:graphic>
          </wp:anchor>
        </w:drawing>
      </w:r>
    </w:p>
    <w:p>
      <w:pPr>
        <w:spacing w:after="0" w:line="107" w:lineRule="exact"/>
        <w:rPr>
          <w:sz w:val="20"/>
          <w:szCs w:val="20"/>
          <w:color w:val="auto"/>
        </w:rPr>
      </w:pPr>
    </w:p>
    <w:p>
      <w:pPr>
        <w:jc w:val="both"/>
        <w:spacing w:after="0" w:line="341" w:lineRule="auto"/>
        <w:rPr>
          <w:sz w:val="20"/>
          <w:szCs w:val="20"/>
          <w:color w:val="auto"/>
        </w:rPr>
      </w:pPr>
      <w:r>
        <w:rPr>
          <w:rFonts w:ascii="Arial" w:cs="Arial" w:eastAsia="Arial" w:hAnsi="Arial"/>
          <w:sz w:val="18"/>
          <w:szCs w:val="18"/>
          <w:color w:val="auto"/>
        </w:rPr>
        <w:t>We are subject to U.S. federal income tax as well as income taxes of multiple state jurisdictions. Our foreign subsidiaries are subject to income tax in Canada, Chile, Brazil, Peru, Colombia, Argentina, Paraguay, and Mexico.</w:t>
      </w:r>
    </w:p>
    <w:p>
      <w:pPr>
        <w:spacing w:after="0" w:line="1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We generally remain subject to U.S. federal and state examinations for tax years 2018 and subsequent. In addition to the U.S., we have tax years that remain open and subject to examination by tax authorities in the following major tax jurisdictions: Brazil and Chile for tax years 2017 and subsequent; and Canada for tax years 2020 and subsequent. Our tax returns are currently under examination by tax authorities in the U.S. for years 2022 and 2023, Canada for year 2022, and in Chile for years 2016 and 2020.</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Payments</w:t>
      </w:r>
    </w:p>
    <w:p>
      <w:pPr>
        <w:spacing w:after="0" w:line="137"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The following table is a summary of income taxes paid (net of refunds) by jurisdiction pursuant to the disclosure requirements of ASU 2023-09 for the year ended December 31, 2025 (dollar amounts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60" w:type="dxa"/>
            <w:vAlign w:val="bottom"/>
          </w:tcPr>
          <w:p>
            <w:pPr>
              <w:spacing w:after="0"/>
              <w:rPr>
                <w:sz w:val="20"/>
                <w:szCs w:val="20"/>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December 31,</w:t>
            </w:r>
          </w:p>
        </w:tc>
      </w:tr>
      <w:tr>
        <w:trPr>
          <w:trHeight w:val="33"/>
        </w:trPr>
        <w:tc>
          <w:tcPr>
            <w:tcW w:w="8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7"/>
        </w:trPr>
        <w:tc>
          <w:tcPr>
            <w:tcW w:w="8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r>
      <w:tr>
        <w:trPr>
          <w:trHeight w:val="33"/>
        </w:trPr>
        <w:tc>
          <w:tcPr>
            <w:tcW w:w="806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0"/>
        </w:trPr>
        <w:tc>
          <w:tcPr>
            <w:tcW w:w="80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Federal</w:t>
            </w:r>
          </w:p>
        </w:tc>
        <w:tc>
          <w:tcPr>
            <w:tcW w:w="300" w:type="dxa"/>
            <w:vAlign w:val="bottom"/>
            <w:tcBorders>
              <w:bottom w:val="single" w:sz="8" w:color="E6E6E6"/>
            </w:tcBorders>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w:t>
            </w:r>
          </w:p>
        </w:tc>
      </w:tr>
      <w:tr>
        <w:trPr>
          <w:trHeight w:val="258"/>
        </w:trPr>
        <w:tc>
          <w:tcPr>
            <w:tcW w:w="8060" w:type="dxa"/>
            <w:vAlign w:val="bottom"/>
          </w:tcPr>
          <w:p>
            <w:pPr>
              <w:ind w:left="6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2"/>
        </w:trPr>
        <w:tc>
          <w:tcPr>
            <w:tcW w:w="8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80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r>
      <w:tr>
        <w:trPr>
          <w:trHeight w:val="258"/>
        </w:trPr>
        <w:tc>
          <w:tcPr>
            <w:tcW w:w="8060" w:type="dxa"/>
            <w:vAlign w:val="bottom"/>
          </w:tcPr>
          <w:p>
            <w:pPr>
              <w:ind w:left="180"/>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2"/>
        </w:trPr>
        <w:tc>
          <w:tcPr>
            <w:tcW w:w="8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806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Chile</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w:t>
            </w:r>
          </w:p>
        </w:tc>
      </w:tr>
      <w:tr>
        <w:trPr>
          <w:trHeight w:val="258"/>
        </w:trPr>
        <w:tc>
          <w:tcPr>
            <w:tcW w:w="8060" w:type="dxa"/>
            <w:vAlign w:val="bottom"/>
          </w:tcPr>
          <w:p>
            <w:pPr>
              <w:ind w:left="180"/>
              <w:spacing w:after="0"/>
              <w:rPr>
                <w:sz w:val="20"/>
                <w:szCs w:val="20"/>
                <w:color w:val="auto"/>
              </w:rPr>
            </w:pPr>
            <w:r>
              <w:rPr>
                <w:rFonts w:ascii="Arial" w:cs="Arial" w:eastAsia="Arial" w:hAnsi="Arial"/>
                <w:sz w:val="18"/>
                <w:szCs w:val="18"/>
                <w:color w:val="auto"/>
              </w:rPr>
              <w:t>Brazil</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2"/>
        </w:trPr>
        <w:tc>
          <w:tcPr>
            <w:tcW w:w="8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5"/>
        </w:trPr>
        <w:tc>
          <w:tcPr>
            <w:tcW w:w="806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r>
      <w:tr>
        <w:trPr>
          <w:trHeight w:val="260"/>
        </w:trPr>
        <w:tc>
          <w:tcPr>
            <w:tcW w:w="8060" w:type="dxa"/>
            <w:vAlign w:val="bottom"/>
            <w:tcBorders>
              <w:top w:val="single" w:sz="8" w:color="E6E6E6"/>
            </w:tcBorders>
          </w:tcPr>
          <w:p>
            <w:pPr>
              <w:ind w:left="60"/>
              <w:spacing w:after="0"/>
              <w:rPr>
                <w:sz w:val="20"/>
                <w:szCs w:val="20"/>
                <w:color w:val="auto"/>
              </w:rPr>
            </w:pPr>
            <w:r>
              <w:rPr>
                <w:rFonts w:ascii="Arial" w:cs="Arial" w:eastAsia="Arial" w:hAnsi="Arial"/>
                <w:sz w:val="18"/>
                <w:szCs w:val="18"/>
                <w:b w:val="1"/>
                <w:bCs w:val="1"/>
                <w:color w:val="auto"/>
              </w:rPr>
              <w:t>Income Tax Payments</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r>
      <w:tr>
        <w:trPr>
          <w:trHeight w:val="20"/>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5102225</wp:posOffset>
            </wp:positionH>
            <wp:positionV relativeFrom="paragraph">
              <wp:posOffset>-1555115</wp:posOffset>
            </wp:positionV>
            <wp:extent cx="85407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86">
                      <a:extLst>
                        <a:ext uri="{28A0092B-C50C-407E-A947-70E740481C1C}"/>
                      </a:extLst>
                    </a:blip>
                    <a:srcRect/>
                    <a:stretch>
                      <a:fillRect/>
                    </a:stretch>
                  </pic:blipFill>
                  <pic:spPr bwMode="auto">
                    <a:xfrm>
                      <a:off x="0" y="0"/>
                      <a:ext cx="854075" cy="25400"/>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-221615</wp:posOffset>
            </wp:positionV>
            <wp:extent cx="85407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7">
                      <a:extLst>
                        <a:ext uri="{28A0092B-C50C-407E-A947-70E740481C1C}"/>
                      </a:extLst>
                    </a:blip>
                    <a:srcRect/>
                    <a:stretch>
                      <a:fillRect/>
                    </a:stretch>
                  </pic:blipFill>
                  <pic:spPr bwMode="auto">
                    <a:xfrm>
                      <a:off x="0" y="0"/>
                      <a:ext cx="854075" cy="25400"/>
                    </a:xfrm>
                    <a:prstGeom prst="rect">
                      <a:avLst/>
                    </a:prstGeom>
                    <a:noFill/>
                  </pic:spPr>
                </pic:pic>
              </a:graphicData>
            </a:graphic>
          </wp:anchor>
        </w:drawing>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paid income taxes, net of refunds, of $42 million, $124 million, and $65 million during 2025, 2024, and 2023, respectively. Included in our Consolidated Balance Sheet at December 31, 2025 is a net income tax receivable of $11 million, compared to $1 million at December 31, 2024.</w:t>
      </w:r>
    </w:p>
    <w:p>
      <w:pPr>
        <w:sectPr>
          <w:pgSz w:w="11880" w:h="15480" w:orient="portrait"/>
          <w:cols w:equalWidth="0" w:num="1">
            <w:col w:w="9360"/>
          </w:cols>
          <w:pgMar w:left="1260" w:top="1197"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9360"/>
          </w:cols>
          <w:pgMar w:left="1260" w:top="1197" w:right="1260" w:bottom="225" w:gutter="0" w:footer="0" w:header="0"/>
          <w:type w:val="continuous"/>
        </w:sectPr>
      </w:pPr>
    </w:p>
    <w:bookmarkStart w:id="83" w:name="page84"/>
    <w:bookmarkEnd w:id="83"/>
    <w:p>
      <w:pPr>
        <w:spacing w:after="0"/>
        <w:rPr>
          <w:sz w:val="20"/>
          <w:szCs w:val="20"/>
          <w:color w:val="auto"/>
        </w:rPr>
      </w:pPr>
      <w:r>
        <w:rPr>
          <w:rFonts w:ascii="Arial" w:cs="Arial" w:eastAsia="Arial" w:hAnsi="Arial"/>
          <w:sz w:val="20"/>
          <w:szCs w:val="20"/>
          <w:b w:val="1"/>
          <w:bCs w:val="1"/>
          <w:color w:val="auto"/>
        </w:rPr>
        <w:t>Uncertain Tax Positions</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following is a tabular reconciliation of the total amount of unrecognized tax benefits at the beginning and end of the years (dollar amounts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20" w:type="dxa"/>
            <w:vAlign w:val="bottom"/>
            <w:gridSpan w:val="8"/>
          </w:tcPr>
          <w:p>
            <w:pPr>
              <w:jc w:val="right"/>
              <w:ind w:right="10"/>
              <w:spacing w:after="0"/>
              <w:rPr>
                <w:sz w:val="20"/>
                <w:szCs w:val="20"/>
                <w:color w:val="auto"/>
              </w:rPr>
            </w:pPr>
            <w:r>
              <w:rPr>
                <w:rFonts w:ascii="Arial" w:cs="Arial" w:eastAsia="Arial" w:hAnsi="Arial"/>
                <w:sz w:val="18"/>
                <w:szCs w:val="18"/>
                <w:b w:val="1"/>
                <w:bCs w:val="1"/>
                <w:color w:val="auto"/>
                <w:w w:val="94"/>
              </w:rPr>
              <w:t>Year Ended December 31,</w:t>
            </w:r>
          </w:p>
        </w:tc>
        <w:tc>
          <w:tcPr>
            <w:tcW w:w="920" w:type="dxa"/>
            <w:vAlign w:val="bottom"/>
          </w:tcPr>
          <w:p>
            <w:pPr>
              <w:spacing w:after="0"/>
              <w:rPr>
                <w:sz w:val="20"/>
                <w:szCs w:val="20"/>
                <w:color w:val="auto"/>
              </w:rPr>
            </w:pPr>
          </w:p>
        </w:tc>
      </w:tr>
      <w:tr>
        <w:trPr>
          <w:trHeight w:val="33"/>
        </w:trPr>
        <w:tc>
          <w:tcPr>
            <w:tcW w:w="5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7"/>
        </w:trPr>
        <w:tc>
          <w:tcPr>
            <w:tcW w:w="5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33"/>
        </w:trPr>
        <w:tc>
          <w:tcPr>
            <w:tcW w:w="5300" w:type="dxa"/>
            <w:vAlign w:val="bottom"/>
            <w:tcBorders>
              <w:bottom w:val="single" w:sz="8" w:color="E6E6E6"/>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Beginning balance</w:t>
            </w:r>
          </w:p>
        </w:tc>
        <w:tc>
          <w:tcPr>
            <w:tcW w:w="920" w:type="dxa"/>
            <w:vAlign w:val="bottom"/>
            <w:tcBorders>
              <w:bottom w:val="single" w:sz="8" w:color="E6E6E6"/>
            </w:tcBorders>
            <w:shd w:val="clear" w:color="auto" w:fill="E6E6E6"/>
          </w:tcPr>
          <w:p>
            <w:pPr>
              <w:jc w:val="right"/>
              <w:ind w:right="69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11</w:t>
            </w:r>
          </w:p>
        </w:tc>
        <w:tc>
          <w:tcPr>
            <w:tcW w:w="380" w:type="dxa"/>
            <w:vAlign w:val="bottom"/>
            <w:tcBorders>
              <w:bottom w:val="single" w:sz="8" w:color="E6E6E6"/>
            </w:tcBorders>
            <w:gridSpan w:val="3"/>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13</w:t>
            </w:r>
          </w:p>
        </w:tc>
        <w:tc>
          <w:tcPr>
            <w:tcW w:w="460" w:type="dxa"/>
            <w:vAlign w:val="bottom"/>
            <w:tcBorders>
              <w:bottom w:val="single" w:sz="8" w:color="E6E6E6"/>
            </w:tcBorders>
            <w:gridSpan w:val="3"/>
            <w:shd w:val="clear" w:color="auto" w:fill="E6E6E6"/>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6</w:t>
            </w: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Increases:</w:t>
            </w: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42"/>
        </w:trPr>
        <w:tc>
          <w:tcPr>
            <w:tcW w:w="5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0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18"/>
                <w:szCs w:val="18"/>
                <w:color w:val="auto"/>
              </w:rPr>
              <w:t>Tax positions taken in current year</w:t>
            </w:r>
          </w:p>
        </w:tc>
        <w:tc>
          <w:tcPr>
            <w:tcW w:w="92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r>
      <w:tr>
        <w:trPr>
          <w:trHeight w:val="258"/>
        </w:trPr>
        <w:tc>
          <w:tcPr>
            <w:tcW w:w="5300" w:type="dxa"/>
            <w:vAlign w:val="bottom"/>
          </w:tcPr>
          <w:p>
            <w:pPr>
              <w:ind w:left="300"/>
              <w:spacing w:after="0"/>
              <w:rPr>
                <w:sz w:val="20"/>
                <w:szCs w:val="20"/>
                <w:color w:val="auto"/>
              </w:rPr>
            </w:pPr>
            <w:r>
              <w:rPr>
                <w:rFonts w:ascii="Arial" w:cs="Arial" w:eastAsia="Arial" w:hAnsi="Arial"/>
                <w:sz w:val="18"/>
                <w:szCs w:val="18"/>
                <w:color w:val="auto"/>
              </w:rPr>
              <w:t>Tax positions taken in prior years</w:t>
            </w:r>
          </w:p>
        </w:tc>
        <w:tc>
          <w:tcPr>
            <w:tcW w:w="9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2"/>
        </w:trPr>
        <w:tc>
          <w:tcPr>
            <w:tcW w:w="5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Decreases:</w:t>
            </w:r>
          </w:p>
        </w:tc>
        <w:tc>
          <w:tcPr>
            <w:tcW w:w="92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spacing w:after="0"/>
              <w:rPr>
                <w:sz w:val="24"/>
                <w:szCs w:val="24"/>
                <w:color w:val="auto"/>
              </w:rPr>
            </w:pPr>
          </w:p>
        </w:tc>
      </w:tr>
      <w:tr>
        <w:trPr>
          <w:trHeight w:val="258"/>
        </w:trPr>
        <w:tc>
          <w:tcPr>
            <w:tcW w:w="5300" w:type="dxa"/>
            <w:vAlign w:val="bottom"/>
          </w:tcPr>
          <w:p>
            <w:pPr>
              <w:ind w:left="300"/>
              <w:spacing w:after="0"/>
              <w:rPr>
                <w:sz w:val="20"/>
                <w:szCs w:val="20"/>
                <w:color w:val="auto"/>
              </w:rPr>
            </w:pPr>
            <w:r>
              <w:rPr>
                <w:rFonts w:ascii="Arial" w:cs="Arial" w:eastAsia="Arial" w:hAnsi="Arial"/>
                <w:sz w:val="18"/>
                <w:szCs w:val="18"/>
                <w:color w:val="auto"/>
              </w:rPr>
              <w:t>Settlements with taxing authorities in current year</w:t>
            </w:r>
          </w:p>
        </w:tc>
        <w:tc>
          <w:tcPr>
            <w:tcW w:w="9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
        </w:trPr>
        <w:tc>
          <w:tcPr>
            <w:tcW w:w="5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5"/>
        </w:trPr>
        <w:tc>
          <w:tcPr>
            <w:tcW w:w="530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18"/>
                <w:szCs w:val="18"/>
                <w:color w:val="auto"/>
              </w:rPr>
              <w:t>Lapse of statute in current year</w:t>
            </w:r>
          </w:p>
        </w:tc>
        <w:tc>
          <w:tcPr>
            <w:tcW w:w="92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60"/>
        </w:trPr>
        <w:tc>
          <w:tcPr>
            <w:tcW w:w="5300" w:type="dxa"/>
            <w:vAlign w:val="bottom"/>
            <w:tcBorders>
              <w:top w:val="single" w:sz="8" w:color="E6E6E6"/>
            </w:tcBorders>
          </w:tcPr>
          <w:p>
            <w:pPr>
              <w:ind w:left="60"/>
              <w:spacing w:after="0"/>
              <w:rPr>
                <w:sz w:val="20"/>
                <w:szCs w:val="20"/>
                <w:color w:val="auto"/>
              </w:rPr>
            </w:pPr>
            <w:r>
              <w:rPr>
                <w:rFonts w:ascii="Arial" w:cs="Arial" w:eastAsia="Arial" w:hAnsi="Arial"/>
                <w:sz w:val="18"/>
                <w:szCs w:val="18"/>
                <w:b w:val="1"/>
                <w:bCs w:val="1"/>
                <w:color w:val="auto"/>
              </w:rPr>
              <w:t>Ending balance</w:t>
            </w:r>
          </w:p>
        </w:tc>
        <w:tc>
          <w:tcPr>
            <w:tcW w:w="92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E6E6E6"/>
            </w:tcBorders>
            <w:gridSpan w:val="2"/>
          </w:tcPr>
          <w:p>
            <w:pPr>
              <w:spacing w:after="0"/>
              <w:rPr>
                <w:sz w:val="22"/>
                <w:szCs w:val="22"/>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top w:val="single" w:sz="8" w:color="E6E6E6"/>
            </w:tcBorders>
            <w:gridSpan w:val="2"/>
          </w:tcPr>
          <w:p>
            <w:pPr>
              <w:spacing w:after="0"/>
              <w:rPr>
                <w:sz w:val="22"/>
                <w:szCs w:val="22"/>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r>
      <w:tr>
        <w:trPr>
          <w:trHeight w:val="20"/>
        </w:trPr>
        <w:tc>
          <w:tcPr>
            <w:tcW w:w="5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-1555115</wp:posOffset>
            </wp:positionV>
            <wp:extent cx="260667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88">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-221615</wp:posOffset>
            </wp:positionV>
            <wp:extent cx="260667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89">
                      <a:extLst>
                        <a:ext uri="{28A0092B-C50C-407E-A947-70E740481C1C}"/>
                      </a:extLst>
                    </a:blip>
                    <a:srcRect/>
                    <a:stretch>
                      <a:fillRect/>
                    </a:stretch>
                  </pic:blipFill>
                  <pic:spPr bwMode="auto">
                    <a:xfrm>
                      <a:off x="0" y="0"/>
                      <a:ext cx="2606675" cy="25400"/>
                    </a:xfrm>
                    <a:prstGeom prst="rect">
                      <a:avLst/>
                    </a:prstGeom>
                    <a:noFill/>
                  </pic:spPr>
                </pic:pic>
              </a:graphicData>
            </a:graphic>
          </wp:anchor>
        </w:drawing>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Included within other long-term liabilities on our Consolidated Balance Sheets at December 31, 2025, are $4 million of tax benefits that, if recognized, would affect our effective tax rate. We accrued and paid no interest during 2025 or 2024.</w:t>
      </w:r>
    </w:p>
    <w:p>
      <w:pPr>
        <w:spacing w:after="0" w:line="188" w:lineRule="exact"/>
        <w:rPr>
          <w:sz w:val="20"/>
          <w:szCs w:val="20"/>
          <w:color w:val="auto"/>
        </w:rPr>
      </w:pPr>
    </w:p>
    <w:p>
      <w:pPr>
        <w:ind w:left="720" w:hanging="720"/>
        <w:spacing w:after="0"/>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25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lease portfolio consists primarily of real estate, mobile equipment at our manufacturing facilities, rail cars to transport our products, and a fleet of vehicles. We determine if an arrangement is a lease at contract inception. A lease exists when a contract conveys to the customer the right to control the use of identified property, plant, or equipment for a period of time in exchange for consideration.</w:t>
      </w:r>
    </w:p>
    <w:p>
      <w:pPr>
        <w:spacing w:after="0" w:line="8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As most of our leases do not provide an implicit rate, we used our incremental borrowing rate based on the information available at the commencement date in determining the present value of lease payments. The lease term for all our leases includes the non-cancellable period of the lease plus any additional periods covered by either an option to extend (or not to terminate) the lease that we are reasonably certain to exercise, or an option to extend (or not to terminate) the lease controlled by the lessor.</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For each of the years ended December 31, 2025 and 2024, our weighted average discount rate was 4%, and our weighted average remaining lease term was five years for operating leases.</w:t>
      </w:r>
    </w:p>
    <w:p>
      <w:pPr>
        <w:spacing w:after="0" w:line="5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Our operating leases are included in our Consolidated Balance Sheets and Consolidated Statements of Income as follows (dollar amounts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80"/>
        </w:trPr>
        <w:tc>
          <w:tcPr>
            <w:tcW w:w="3480" w:type="dxa"/>
            <w:vAlign w:val="bottom"/>
          </w:tcPr>
          <w:p>
            <w:pPr>
              <w:spacing w:after="0"/>
              <w:rPr>
                <w:sz w:val="24"/>
                <w:szCs w:val="24"/>
                <w:color w:val="auto"/>
              </w:rPr>
            </w:pPr>
          </w:p>
        </w:tc>
        <w:tc>
          <w:tcPr>
            <w:tcW w:w="3220" w:type="dxa"/>
            <w:vAlign w:val="bottom"/>
            <w:gridSpan w:val="2"/>
          </w:tcPr>
          <w:p>
            <w:pPr>
              <w:ind w:left="480"/>
              <w:spacing w:after="0"/>
              <w:rPr>
                <w:sz w:val="20"/>
                <w:szCs w:val="20"/>
                <w:color w:val="auto"/>
              </w:rPr>
            </w:pPr>
            <w:r>
              <w:rPr>
                <w:rFonts w:ascii="Arial" w:cs="Arial" w:eastAsia="Arial" w:hAnsi="Arial"/>
                <w:sz w:val="18"/>
                <w:szCs w:val="18"/>
                <w:b w:val="1"/>
                <w:bCs w:val="1"/>
                <w:color w:val="auto"/>
              </w:rPr>
              <w:t>Balance Sheet Classification</w:t>
            </w:r>
          </w:p>
        </w:tc>
        <w:tc>
          <w:tcPr>
            <w:tcW w:w="30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70"/>
        </w:trPr>
        <w:tc>
          <w:tcPr>
            <w:tcW w:w="3480" w:type="dxa"/>
            <w:vAlign w:val="bottom"/>
            <w:tcBorders>
              <w:top w:val="single" w:sz="8" w:color="E6E6E6"/>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Assets:</w:t>
            </w:r>
          </w:p>
        </w:tc>
        <w:tc>
          <w:tcPr>
            <w:tcW w:w="3140" w:type="dxa"/>
            <w:vAlign w:val="bottom"/>
            <w:tcBorders>
              <w:top w:val="single" w:sz="8" w:color="auto"/>
              <w:bottom w:val="single" w:sz="8" w:color="E6E6E6"/>
            </w:tcBorders>
            <w:shd w:val="clear" w:color="auto" w:fill="E6E6E6"/>
          </w:tcPr>
          <w:p>
            <w:pPr>
              <w:spacing w:after="0"/>
              <w:rPr>
                <w:sz w:val="23"/>
                <w:szCs w:val="23"/>
                <w:color w:val="auto"/>
              </w:rPr>
            </w:pPr>
          </w:p>
        </w:tc>
        <w:tc>
          <w:tcPr>
            <w:tcW w:w="80" w:type="dxa"/>
            <w:vAlign w:val="bottom"/>
            <w:tcBorders>
              <w:top w:val="single" w:sz="8" w:color="E6E6E6"/>
              <w:bottom w:val="single" w:sz="8" w:color="E6E6E6"/>
            </w:tcBorders>
            <w:shd w:val="clear" w:color="auto" w:fill="E6E6E6"/>
          </w:tcPr>
          <w:p>
            <w:pPr>
              <w:spacing w:after="0"/>
              <w:rPr>
                <w:sz w:val="23"/>
                <w:szCs w:val="23"/>
                <w:color w:val="auto"/>
              </w:rPr>
            </w:pPr>
          </w:p>
        </w:tc>
        <w:tc>
          <w:tcPr>
            <w:tcW w:w="300" w:type="dxa"/>
            <w:vAlign w:val="bottom"/>
            <w:tcBorders>
              <w:top w:val="single" w:sz="8" w:color="auto"/>
              <w:bottom w:val="single" w:sz="8" w:color="E6E6E6"/>
            </w:tcBorders>
            <w:shd w:val="clear" w:color="auto" w:fill="E6E6E6"/>
          </w:tcPr>
          <w:p>
            <w:pPr>
              <w:spacing w:after="0"/>
              <w:rPr>
                <w:sz w:val="23"/>
                <w:szCs w:val="23"/>
                <w:color w:val="auto"/>
              </w:rPr>
            </w:pPr>
          </w:p>
        </w:tc>
        <w:tc>
          <w:tcPr>
            <w:tcW w:w="1000" w:type="dxa"/>
            <w:vAlign w:val="bottom"/>
            <w:tcBorders>
              <w:top w:val="single" w:sz="8" w:color="auto"/>
              <w:bottom w:val="single" w:sz="8" w:color="E6E6E6"/>
            </w:tcBorders>
            <w:shd w:val="clear" w:color="auto" w:fill="E6E6E6"/>
          </w:tcPr>
          <w:p>
            <w:pPr>
              <w:spacing w:after="0"/>
              <w:rPr>
                <w:sz w:val="23"/>
                <w:szCs w:val="23"/>
                <w:color w:val="auto"/>
              </w:rPr>
            </w:pPr>
          </w:p>
        </w:tc>
        <w:tc>
          <w:tcPr>
            <w:tcW w:w="60" w:type="dxa"/>
            <w:vAlign w:val="bottom"/>
            <w:tcBorders>
              <w:top w:val="single" w:sz="8" w:color="E6E6E6"/>
              <w:bottom w:val="single" w:sz="8" w:color="E6E6E6"/>
            </w:tcBorders>
            <w:shd w:val="clear" w:color="auto" w:fill="E6E6E6"/>
          </w:tcPr>
          <w:p>
            <w:pPr>
              <w:spacing w:after="0"/>
              <w:rPr>
                <w:sz w:val="23"/>
                <w:szCs w:val="23"/>
                <w:color w:val="auto"/>
              </w:rPr>
            </w:pPr>
          </w:p>
        </w:tc>
        <w:tc>
          <w:tcPr>
            <w:tcW w:w="300" w:type="dxa"/>
            <w:vAlign w:val="bottom"/>
            <w:tcBorders>
              <w:top w:val="single" w:sz="8" w:color="auto"/>
              <w:bottom w:val="single" w:sz="8" w:color="E6E6E6"/>
            </w:tcBorders>
            <w:shd w:val="clear" w:color="auto" w:fill="E6E6E6"/>
          </w:tcPr>
          <w:p>
            <w:pPr>
              <w:spacing w:after="0"/>
              <w:rPr>
                <w:sz w:val="23"/>
                <w:szCs w:val="23"/>
                <w:color w:val="auto"/>
              </w:rPr>
            </w:pPr>
          </w:p>
        </w:tc>
        <w:tc>
          <w:tcPr>
            <w:tcW w:w="1000" w:type="dxa"/>
            <w:vAlign w:val="bottom"/>
            <w:tcBorders>
              <w:top w:val="single" w:sz="8" w:color="auto"/>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3480" w:type="dxa"/>
            <w:vAlign w:val="bottom"/>
          </w:tcPr>
          <w:p>
            <w:pPr>
              <w:ind w:left="180"/>
              <w:spacing w:after="0"/>
              <w:rPr>
                <w:sz w:val="20"/>
                <w:szCs w:val="20"/>
                <w:color w:val="auto"/>
              </w:rPr>
            </w:pPr>
            <w:r>
              <w:rPr>
                <w:rFonts w:ascii="Arial" w:cs="Arial" w:eastAsia="Arial" w:hAnsi="Arial"/>
                <w:sz w:val="18"/>
                <w:szCs w:val="18"/>
                <w:color w:val="auto"/>
              </w:rPr>
              <w:t>Operating lease assets</w:t>
            </w:r>
          </w:p>
        </w:tc>
        <w:tc>
          <w:tcPr>
            <w:tcW w:w="3220" w:type="dxa"/>
            <w:vAlign w:val="bottom"/>
            <w:gridSpan w:val="2"/>
          </w:tcPr>
          <w:p>
            <w:pPr>
              <w:ind w:left="60"/>
              <w:spacing w:after="0"/>
              <w:rPr>
                <w:sz w:val="20"/>
                <w:szCs w:val="20"/>
                <w:color w:val="auto"/>
              </w:rPr>
            </w:pPr>
            <w:r>
              <w:rPr>
                <w:rFonts w:ascii="Arial" w:cs="Arial" w:eastAsia="Arial" w:hAnsi="Arial"/>
                <w:sz w:val="18"/>
                <w:szCs w:val="18"/>
                <w:color w:val="auto"/>
              </w:rPr>
              <w:t>Operating lease assets, net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
        </w:trPr>
        <w:tc>
          <w:tcPr>
            <w:tcW w:w="3480" w:type="dxa"/>
            <w:vAlign w:val="bottom"/>
            <w:tcBorders>
              <w:bottom w:val="single" w:sz="8" w:color="E6E6E6"/>
            </w:tcBorders>
          </w:tcPr>
          <w:p>
            <w:pPr>
              <w:spacing w:after="0"/>
              <w:rPr>
                <w:sz w:val="2"/>
                <w:szCs w:val="2"/>
                <w:color w:val="auto"/>
              </w:rPr>
            </w:pPr>
          </w:p>
        </w:tc>
        <w:tc>
          <w:tcPr>
            <w:tcW w:w="3140" w:type="dxa"/>
            <w:vAlign w:val="bottom"/>
            <w:tcBorders>
              <w:bottom w:val="single" w:sz="8" w:color="E6E6E6"/>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3480" w:type="dxa"/>
            <w:vAlign w:val="bottom"/>
            <w:shd w:val="clear" w:color="auto" w:fill="E6E6E6"/>
          </w:tcPr>
          <w:p>
            <w:pPr>
              <w:ind w:left="280"/>
              <w:spacing w:after="0"/>
              <w:rPr>
                <w:sz w:val="20"/>
                <w:szCs w:val="20"/>
                <w:color w:val="auto"/>
              </w:rPr>
            </w:pPr>
            <w:r>
              <w:rPr>
                <w:rFonts w:ascii="Arial" w:cs="Arial" w:eastAsia="Arial" w:hAnsi="Arial"/>
                <w:sz w:val="18"/>
                <w:szCs w:val="18"/>
                <w:b w:val="1"/>
                <w:bCs w:val="1"/>
                <w:color w:val="auto"/>
              </w:rPr>
              <w:t>Total lease assets</w:t>
            </w:r>
          </w:p>
        </w:tc>
        <w:tc>
          <w:tcPr>
            <w:tcW w:w="31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00" w:type="dxa"/>
            <w:vAlign w:val="bottom"/>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23</w:t>
            </w:r>
          </w:p>
        </w:tc>
        <w:tc>
          <w:tcPr>
            <w:tcW w:w="36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0"/>
        </w:trPr>
        <w:tc>
          <w:tcPr>
            <w:tcW w:w="3480" w:type="dxa"/>
            <w:vAlign w:val="bottom"/>
            <w:tcBorders>
              <w:top w:val="single" w:sz="8" w:color="E6E6E6"/>
              <w:bottom w:val="single" w:sz="8" w:color="E6E6E6"/>
            </w:tcBorders>
            <w:vMerge w:val="restart"/>
          </w:tcPr>
          <w:p>
            <w:pPr>
              <w:ind w:left="60"/>
              <w:spacing w:after="0"/>
              <w:rPr>
                <w:sz w:val="20"/>
                <w:szCs w:val="20"/>
                <w:color w:val="auto"/>
              </w:rPr>
            </w:pPr>
            <w:r>
              <w:rPr>
                <w:rFonts w:ascii="Arial" w:cs="Arial" w:eastAsia="Arial" w:hAnsi="Arial"/>
                <w:sz w:val="18"/>
                <w:szCs w:val="18"/>
                <w:color w:val="auto"/>
              </w:rPr>
              <w:t>Liabilities:</w:t>
            </w:r>
          </w:p>
        </w:tc>
        <w:tc>
          <w:tcPr>
            <w:tcW w:w="3140" w:type="dxa"/>
            <w:vAlign w:val="bottom"/>
            <w:tcBorders>
              <w:top w:val="single" w:sz="8" w:color="E6E6E6"/>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80" w:type="dxa"/>
            <w:vAlign w:val="bottom"/>
            <w:vMerge w:val="continue"/>
          </w:tcPr>
          <w:p>
            <w:pPr>
              <w:spacing w:after="0"/>
              <w:rPr>
                <w:sz w:val="18"/>
                <w:szCs w:val="18"/>
                <w:color w:val="auto"/>
              </w:rPr>
            </w:pP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34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348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18"/>
                <w:szCs w:val="18"/>
                <w:color w:val="auto"/>
              </w:rPr>
              <w:t>Current operating lease liability</w:t>
            </w:r>
          </w:p>
        </w:tc>
        <w:tc>
          <w:tcPr>
            <w:tcW w:w="322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18"/>
                <w:szCs w:val="18"/>
                <w:color w:val="auto"/>
                <w:w w:val="98"/>
              </w:rPr>
              <w:t>Accounts payable and accrued liabilities</w:t>
            </w:r>
          </w:p>
        </w:tc>
        <w:tc>
          <w:tcPr>
            <w:tcW w:w="300" w:type="dxa"/>
            <w:vAlign w:val="bottom"/>
            <w:tcBorders>
              <w:bottom w:val="single" w:sz="8" w:color="E6E6E6"/>
            </w:tcBorders>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E6E6E6"/>
            </w:tcBorders>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8"/>
        </w:trPr>
        <w:tc>
          <w:tcPr>
            <w:tcW w:w="3480" w:type="dxa"/>
            <w:vAlign w:val="bottom"/>
          </w:tcPr>
          <w:p>
            <w:pPr>
              <w:ind w:left="300"/>
              <w:spacing w:after="0"/>
              <w:rPr>
                <w:sz w:val="20"/>
                <w:szCs w:val="20"/>
                <w:color w:val="auto"/>
              </w:rPr>
            </w:pPr>
            <w:r>
              <w:rPr>
                <w:rFonts w:ascii="Arial" w:cs="Arial" w:eastAsia="Arial" w:hAnsi="Arial"/>
                <w:sz w:val="18"/>
                <w:szCs w:val="18"/>
                <w:color w:val="auto"/>
              </w:rPr>
              <w:t>Non-current operating lease liability</w:t>
            </w:r>
          </w:p>
        </w:tc>
        <w:tc>
          <w:tcPr>
            <w:tcW w:w="3220" w:type="dxa"/>
            <w:vAlign w:val="bottom"/>
            <w:gridSpan w:val="2"/>
          </w:tcPr>
          <w:p>
            <w:pPr>
              <w:ind w:left="60"/>
              <w:spacing w:after="0"/>
              <w:rPr>
                <w:sz w:val="20"/>
                <w:szCs w:val="20"/>
                <w:color w:val="auto"/>
              </w:rPr>
            </w:pPr>
            <w:r>
              <w:rPr>
                <w:rFonts w:ascii="Arial" w:cs="Arial" w:eastAsia="Arial" w:hAnsi="Arial"/>
                <w:sz w:val="18"/>
                <w:szCs w:val="18"/>
                <w:color w:val="auto"/>
              </w:rPr>
              <w:t>Non-current operating lease liabilities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
        </w:trPr>
        <w:tc>
          <w:tcPr>
            <w:tcW w:w="3480" w:type="dxa"/>
            <w:vAlign w:val="bottom"/>
            <w:tcBorders>
              <w:bottom w:val="single" w:sz="8" w:color="E6E6E6"/>
            </w:tcBorders>
          </w:tcPr>
          <w:p>
            <w:pPr>
              <w:spacing w:after="0"/>
              <w:rPr>
                <w:sz w:val="2"/>
                <w:szCs w:val="2"/>
                <w:color w:val="auto"/>
              </w:rPr>
            </w:pPr>
          </w:p>
        </w:tc>
        <w:tc>
          <w:tcPr>
            <w:tcW w:w="3140" w:type="dxa"/>
            <w:vAlign w:val="bottom"/>
            <w:tcBorders>
              <w:bottom w:val="single" w:sz="8" w:color="E6E6E6"/>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3480" w:type="dxa"/>
            <w:vAlign w:val="bottom"/>
            <w:shd w:val="clear" w:color="auto" w:fill="E6E6E6"/>
          </w:tcPr>
          <w:p>
            <w:pPr>
              <w:ind w:left="420"/>
              <w:spacing w:after="0"/>
              <w:rPr>
                <w:sz w:val="20"/>
                <w:szCs w:val="20"/>
                <w:color w:val="auto"/>
              </w:rPr>
            </w:pPr>
            <w:r>
              <w:rPr>
                <w:rFonts w:ascii="Arial" w:cs="Arial" w:eastAsia="Arial" w:hAnsi="Arial"/>
                <w:sz w:val="18"/>
                <w:szCs w:val="18"/>
                <w:b w:val="1"/>
                <w:bCs w:val="1"/>
                <w:color w:val="auto"/>
              </w:rPr>
              <w:t>Total lease liabilities</w:t>
            </w:r>
          </w:p>
        </w:tc>
        <w:tc>
          <w:tcPr>
            <w:tcW w:w="31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300" w:type="dxa"/>
            <w:vAlign w:val="bottom"/>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30</w:t>
            </w:r>
          </w:p>
        </w:tc>
        <w:tc>
          <w:tcPr>
            <w:tcW w:w="36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0"/>
        </w:trPr>
        <w:tc>
          <w:tcPr>
            <w:tcW w:w="3480" w:type="dxa"/>
            <w:vAlign w:val="bottom"/>
            <w:tcBorders>
              <w:top w:val="single" w:sz="8" w:color="E6E6E6"/>
            </w:tcBorders>
          </w:tcPr>
          <w:p>
            <w:pPr>
              <w:spacing w:after="0" w:line="20" w:lineRule="exact"/>
              <w:rPr>
                <w:sz w:val="1"/>
                <w:szCs w:val="1"/>
                <w:color w:val="auto"/>
              </w:rPr>
            </w:pPr>
          </w:p>
        </w:tc>
        <w:tc>
          <w:tcPr>
            <w:tcW w:w="3140" w:type="dxa"/>
            <w:vAlign w:val="bottom"/>
            <w:tcBorders>
              <w:top w:val="single" w:sz="8" w:color="E6E6E6"/>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-1364615</wp:posOffset>
            </wp:positionV>
            <wp:extent cx="375920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90">
                      <a:extLst>
                        <a:ext uri="{28A0092B-C50C-407E-A947-70E740481C1C}"/>
                      </a:extLst>
                    </a:blip>
                    <a:srcRect/>
                    <a:stretch>
                      <a:fillRect/>
                    </a:stretch>
                  </pic:blipFill>
                  <pic:spPr bwMode="auto">
                    <a:xfrm>
                      <a:off x="0" y="0"/>
                      <a:ext cx="3759200" cy="2540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-983615</wp:posOffset>
            </wp:positionV>
            <wp:extent cx="172085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91">
                      <a:extLst>
                        <a:ext uri="{28A0092B-C50C-407E-A947-70E740481C1C}"/>
                      </a:extLst>
                    </a:blip>
                    <a:srcRect/>
                    <a:stretch>
                      <a:fillRect/>
                    </a:stretch>
                  </pic:blipFill>
                  <pic:spPr bwMode="auto">
                    <a:xfrm>
                      <a:off x="0" y="0"/>
                      <a:ext cx="1720850" cy="2540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-805815</wp:posOffset>
            </wp:positionV>
            <wp:extent cx="172085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92">
                      <a:extLst>
                        <a:ext uri="{28A0092B-C50C-407E-A947-70E740481C1C}"/>
                      </a:extLst>
                    </a:blip>
                    <a:srcRect/>
                    <a:stretch>
                      <a:fillRect/>
                    </a:stretch>
                  </pic:blipFill>
                  <pic:spPr bwMode="auto">
                    <a:xfrm>
                      <a:off x="0" y="0"/>
                      <a:ext cx="1720850" cy="2540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-221615</wp:posOffset>
            </wp:positionV>
            <wp:extent cx="172085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93">
                      <a:extLst>
                        <a:ext uri="{28A0092B-C50C-407E-A947-70E740481C1C}"/>
                      </a:extLst>
                    </a:blip>
                    <a:srcRect/>
                    <a:stretch>
                      <a:fillRect/>
                    </a:stretch>
                  </pic:blipFill>
                  <pic:spPr bwMode="auto">
                    <a:xfrm>
                      <a:off x="0" y="0"/>
                      <a:ext cx="1720850" cy="2540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-43815</wp:posOffset>
            </wp:positionV>
            <wp:extent cx="1720850" cy="508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94">
                      <a:extLst>
                        <a:ext uri="{28A0092B-C50C-407E-A947-70E740481C1C}"/>
                      </a:extLst>
                    </a:blip>
                    <a:srcRect/>
                    <a:stretch>
                      <a:fillRect/>
                    </a:stretch>
                  </pic:blipFill>
                  <pic:spPr bwMode="auto">
                    <a:xfrm>
                      <a:off x="0" y="0"/>
                      <a:ext cx="1720850" cy="50800"/>
                    </a:xfrm>
                    <a:prstGeom prst="rect">
                      <a:avLst/>
                    </a:prstGeom>
                    <a:noFill/>
                  </pic:spPr>
                </pic:pic>
              </a:graphicData>
            </a:graphic>
          </wp:anchor>
        </w:drawing>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9360"/>
          </w:cols>
          <w:pgMar w:left="1260" w:top="1190" w:right="1260" w:bottom="225" w:gutter="0" w:footer="0" w:header="0"/>
          <w:type w:val="continuous"/>
        </w:sectPr>
      </w:pPr>
    </w:p>
    <w:bookmarkStart w:id="84" w:name="page85"/>
    <w:bookmarkEnd w:id="84"/>
    <w:p>
      <w:pPr>
        <w:jc w:val="both"/>
        <w:spacing w:after="0" w:line="275" w:lineRule="auto"/>
        <w:rPr>
          <w:sz w:val="20"/>
          <w:szCs w:val="20"/>
          <w:color w:val="auto"/>
        </w:rPr>
      </w:pPr>
      <w:r>
        <w:rPr>
          <w:rFonts w:ascii="Arial" w:cs="Arial" w:eastAsia="Arial" w:hAnsi="Arial"/>
          <w:sz w:val="19"/>
          <w:szCs w:val="19"/>
          <w:color w:val="auto"/>
        </w:rPr>
        <w:t>For the years ended December 31, 2025 and 2024, we incurred operating lease expenses of $9 million and $8 million, respectively, included within costs of sales and selling, general and administrative expenses. We made cash payments of $9 million and $7 million during the years ended December 31, 2025 and 2024, respectively, related to our operating leases. We further incurred operating lease expense of $2 million and $5 million related to short-term rent expense for the years ended December 31, 2025 and 2024, respectively.</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obtained right of use (ROU) assets in exchange for new operating lease liabilities of $5 million and $7 million for the years ended December 31, 2025 and 2024, respectively. We did not enter into any financing leases during 2025 or 2024.</w:t>
      </w:r>
    </w:p>
    <w:p>
      <w:pPr>
        <w:spacing w:after="0" w:line="7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following table sets forth the minimum operating lease payments that are expected to be made in each of the years indicated (dollar amounts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60" w:type="dxa"/>
            <w:vAlign w:val="bottom"/>
          </w:tcPr>
          <w:p>
            <w:pPr>
              <w:ind w:left="180"/>
              <w:spacing w:after="0"/>
              <w:rPr>
                <w:sz w:val="20"/>
                <w:szCs w:val="20"/>
                <w:color w:val="auto"/>
              </w:rPr>
            </w:pPr>
            <w:r>
              <w:rPr>
                <w:rFonts w:ascii="Arial" w:cs="Arial" w:eastAsia="Arial" w:hAnsi="Arial"/>
                <w:sz w:val="18"/>
                <w:szCs w:val="18"/>
                <w:color w:val="auto"/>
              </w:rPr>
              <w:t>2026</w:t>
            </w:r>
          </w:p>
        </w:tc>
        <w:tc>
          <w:tcPr>
            <w:tcW w:w="8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2"/>
        </w:trPr>
        <w:tc>
          <w:tcPr>
            <w:tcW w:w="7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0"/>
        </w:trPr>
        <w:tc>
          <w:tcPr>
            <w:tcW w:w="766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2027</w:t>
            </w:r>
          </w:p>
        </w:tc>
        <w:tc>
          <w:tcPr>
            <w:tcW w:w="80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w:t>
            </w:r>
          </w:p>
        </w:tc>
      </w:tr>
      <w:tr>
        <w:trPr>
          <w:trHeight w:val="258"/>
        </w:trPr>
        <w:tc>
          <w:tcPr>
            <w:tcW w:w="7660" w:type="dxa"/>
            <w:vAlign w:val="bottom"/>
          </w:tcPr>
          <w:p>
            <w:pPr>
              <w:ind w:left="180"/>
              <w:spacing w:after="0"/>
              <w:rPr>
                <w:sz w:val="20"/>
                <w:szCs w:val="20"/>
                <w:color w:val="auto"/>
              </w:rPr>
            </w:pPr>
            <w:r>
              <w:rPr>
                <w:rFonts w:ascii="Arial" w:cs="Arial" w:eastAsia="Arial" w:hAnsi="Arial"/>
                <w:sz w:val="18"/>
                <w:szCs w:val="18"/>
                <w:color w:val="auto"/>
              </w:rPr>
              <w:t>2028</w:t>
            </w:r>
          </w:p>
        </w:tc>
        <w:tc>
          <w:tcPr>
            <w:tcW w:w="8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2"/>
        </w:trPr>
        <w:tc>
          <w:tcPr>
            <w:tcW w:w="7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0"/>
        </w:trPr>
        <w:tc>
          <w:tcPr>
            <w:tcW w:w="766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2029</w:t>
            </w:r>
          </w:p>
        </w:tc>
        <w:tc>
          <w:tcPr>
            <w:tcW w:w="80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r>
      <w:tr>
        <w:trPr>
          <w:trHeight w:val="258"/>
        </w:trPr>
        <w:tc>
          <w:tcPr>
            <w:tcW w:w="7660" w:type="dxa"/>
            <w:vAlign w:val="bottom"/>
          </w:tcPr>
          <w:p>
            <w:pPr>
              <w:ind w:left="180"/>
              <w:spacing w:after="0"/>
              <w:rPr>
                <w:sz w:val="20"/>
                <w:szCs w:val="20"/>
                <w:color w:val="auto"/>
              </w:rPr>
            </w:pPr>
            <w:r>
              <w:rPr>
                <w:rFonts w:ascii="Arial" w:cs="Arial" w:eastAsia="Arial" w:hAnsi="Arial"/>
                <w:sz w:val="18"/>
                <w:szCs w:val="18"/>
                <w:color w:val="auto"/>
              </w:rPr>
              <w:t>2030</w:t>
            </w:r>
          </w:p>
        </w:tc>
        <w:tc>
          <w:tcPr>
            <w:tcW w:w="8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2"/>
        </w:trPr>
        <w:tc>
          <w:tcPr>
            <w:tcW w:w="7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5"/>
        </w:trPr>
        <w:tc>
          <w:tcPr>
            <w:tcW w:w="766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2031 and thereafter</w:t>
            </w:r>
          </w:p>
        </w:tc>
        <w:tc>
          <w:tcPr>
            <w:tcW w:w="80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w:t>
            </w:r>
          </w:p>
        </w:tc>
      </w:tr>
      <w:tr>
        <w:trPr>
          <w:trHeight w:val="249"/>
        </w:trPr>
        <w:tc>
          <w:tcPr>
            <w:tcW w:w="7660" w:type="dxa"/>
            <w:vAlign w:val="bottom"/>
            <w:tcBorders>
              <w:top w:val="single" w:sz="8" w:color="E6E6E6"/>
            </w:tcBorders>
          </w:tcPr>
          <w:p>
            <w:pPr>
              <w:ind w:left="60"/>
              <w:spacing w:after="0"/>
              <w:rPr>
                <w:sz w:val="20"/>
                <w:szCs w:val="20"/>
                <w:color w:val="auto"/>
              </w:rPr>
            </w:pPr>
            <w:r>
              <w:rPr>
                <w:rFonts w:ascii="Arial" w:cs="Arial" w:eastAsia="Arial" w:hAnsi="Arial"/>
                <w:sz w:val="18"/>
                <w:szCs w:val="18"/>
                <w:color w:val="auto"/>
              </w:rPr>
              <w:t>Total operating lease payments</w:t>
            </w:r>
          </w:p>
        </w:tc>
        <w:tc>
          <w:tcPr>
            <w:tcW w:w="8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41"/>
        </w:trPr>
        <w:tc>
          <w:tcPr>
            <w:tcW w:w="7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5"/>
        </w:trPr>
        <w:tc>
          <w:tcPr>
            <w:tcW w:w="766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Less: Interest</w:t>
            </w:r>
          </w:p>
        </w:tc>
        <w:tc>
          <w:tcPr>
            <w:tcW w:w="80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w:t>
            </w:r>
          </w:p>
        </w:tc>
      </w:tr>
      <w:tr>
        <w:trPr>
          <w:trHeight w:val="260"/>
        </w:trPr>
        <w:tc>
          <w:tcPr>
            <w:tcW w:w="7660" w:type="dxa"/>
            <w:vAlign w:val="bottom"/>
            <w:tcBorders>
              <w:top w:val="single" w:sz="8" w:color="E6E6E6"/>
            </w:tcBorders>
          </w:tcPr>
          <w:p>
            <w:pPr>
              <w:ind w:left="60"/>
              <w:spacing w:after="0"/>
              <w:rPr>
                <w:sz w:val="20"/>
                <w:szCs w:val="20"/>
                <w:color w:val="auto"/>
              </w:rPr>
            </w:pPr>
            <w:r>
              <w:rPr>
                <w:rFonts w:ascii="Arial" w:cs="Arial" w:eastAsia="Arial" w:hAnsi="Arial"/>
                <w:sz w:val="18"/>
                <w:szCs w:val="18"/>
                <w:b w:val="1"/>
                <w:bCs w:val="1"/>
                <w:color w:val="auto"/>
              </w:rPr>
              <w:t>Present value of operating lease liabilities</w:t>
            </w:r>
          </w:p>
        </w:tc>
        <w:tc>
          <w:tcPr>
            <w:tcW w:w="8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r>
      <w:tr>
        <w:trPr>
          <w:trHeight w:val="20"/>
        </w:trPr>
        <w:tc>
          <w:tcPr>
            <w:tcW w:w="7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4854575</wp:posOffset>
            </wp:positionH>
            <wp:positionV relativeFrom="paragraph">
              <wp:posOffset>-602615</wp:posOffset>
            </wp:positionV>
            <wp:extent cx="110172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95">
                      <a:extLst>
                        <a:ext uri="{28A0092B-C50C-407E-A947-70E740481C1C}"/>
                      </a:extLst>
                    </a:blip>
                    <a:srcRect/>
                    <a:stretch>
                      <a:fillRect/>
                    </a:stretch>
                  </pic:blipFill>
                  <pic:spPr bwMode="auto">
                    <a:xfrm>
                      <a:off x="0" y="0"/>
                      <a:ext cx="1101725" cy="2540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-221615</wp:posOffset>
            </wp:positionV>
            <wp:extent cx="110172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96">
                      <a:extLst>
                        <a:ext uri="{28A0092B-C50C-407E-A947-70E740481C1C}"/>
                      </a:extLst>
                    </a:blip>
                    <a:srcRect/>
                    <a:stretch>
                      <a:fillRect/>
                    </a:stretch>
                  </pic:blipFill>
                  <pic:spPr bwMode="auto">
                    <a:xfrm>
                      <a:off x="0" y="0"/>
                      <a:ext cx="1101725" cy="25400"/>
                    </a:xfrm>
                    <a:prstGeom prst="rect">
                      <a:avLst/>
                    </a:prstGeom>
                    <a:noFill/>
                  </pic:spPr>
                </pic:pic>
              </a:graphicData>
            </a:graphic>
          </wp:anchor>
        </w:drawing>
      </w:r>
    </w:p>
    <w:p>
      <w:pPr>
        <w:spacing w:after="0" w:line="220" w:lineRule="exact"/>
        <w:rPr>
          <w:sz w:val="20"/>
          <w:szCs w:val="20"/>
          <w:color w:val="auto"/>
        </w:rPr>
      </w:pPr>
    </w:p>
    <w:p>
      <w:pPr>
        <w:ind w:left="720" w:hanging="720"/>
        <w:spacing w:after="0"/>
        <w:tabs>
          <w:tab w:leader="none" w:pos="7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LONG-TERM DEBT</w:t>
      </w:r>
    </w:p>
    <w:p>
      <w:pPr>
        <w:sectPr>
          <w:pgSz w:w="11880" w:h="15480" w:orient="portrait"/>
          <w:cols w:equalWidth="0" w:num="1">
            <w:col w:w="9360"/>
          </w:cols>
          <w:pgMar w:left="1260" w:top="1197"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(Dollar amounts in millions)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Debentures:</w:t>
      </w:r>
    </w:p>
    <w:p>
      <w:pPr>
        <w:spacing w:after="0" w:line="73" w:lineRule="exact"/>
        <w:rPr>
          <w:sz w:val="20"/>
          <w:szCs w:val="20"/>
          <w:color w:val="auto"/>
        </w:rPr>
      </w:pPr>
    </w:p>
    <w:p>
      <w:pPr>
        <w:ind w:left="60"/>
        <w:spacing w:after="0" w:line="241" w:lineRule="auto"/>
        <w:rPr>
          <w:sz w:val="20"/>
          <w:szCs w:val="20"/>
          <w:color w:val="auto"/>
        </w:rPr>
      </w:pPr>
      <w:r>
        <w:rPr>
          <w:rFonts w:ascii="Arial" w:cs="Arial" w:eastAsia="Arial" w:hAnsi="Arial"/>
          <w:sz w:val="18"/>
          <w:szCs w:val="18"/>
          <w:color w:val="auto"/>
        </w:rPr>
        <w:t>Senior unsecured notes, maturing 2029, interest rates fixed</w:t>
      </w:r>
    </w:p>
    <w:p>
      <w:pPr>
        <w:spacing w:after="0" w:line="19" w:lineRule="exact"/>
        <w:rPr>
          <w:sz w:val="20"/>
          <w:szCs w:val="20"/>
          <w:color w:val="auto"/>
        </w:rPr>
      </w:pPr>
    </w:p>
    <w:p>
      <w:pPr>
        <w:ind w:left="60" w:right="340"/>
        <w:spacing w:after="0" w:line="295" w:lineRule="auto"/>
        <w:rPr>
          <w:sz w:val="20"/>
          <w:szCs w:val="20"/>
          <w:color w:val="auto"/>
        </w:rPr>
      </w:pPr>
      <w:r>
        <w:rPr>
          <w:rFonts w:ascii="Arial" w:cs="Arial" w:eastAsia="Arial" w:hAnsi="Arial"/>
          <w:sz w:val="16"/>
          <w:szCs w:val="16"/>
          <w:color w:val="auto"/>
        </w:rPr>
        <w:t>Amended Credit Facility, maturing 2028, interest rates variable</w:t>
      </w:r>
    </w:p>
    <w:p>
      <w:pPr>
        <w:ind w:left="60"/>
        <w:spacing w:after="0"/>
        <w:rPr>
          <w:sz w:val="20"/>
          <w:szCs w:val="20"/>
          <w:color w:val="auto"/>
        </w:rPr>
      </w:pPr>
      <w:r>
        <w:rPr>
          <w:rFonts w:ascii="Arial" w:cs="Arial" w:eastAsia="Arial" w:hAnsi="Arial"/>
          <w:sz w:val="18"/>
          <w:szCs w:val="18"/>
          <w:b w:val="1"/>
          <w:bCs w:val="1"/>
          <w:color w:val="auto"/>
        </w:rPr>
        <w:t>Total</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Less: current portion</w:t>
      </w:r>
    </w:p>
    <w:p>
      <w:pPr>
        <w:spacing w:after="0" w:line="9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Long-term portion</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December 31, 2025</w:t>
            </w:r>
          </w:p>
        </w:tc>
        <w:tc>
          <w:tcPr>
            <w:tcW w:w="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rPr>
              <w:t>December 31, 2024</w:t>
            </w:r>
          </w:p>
        </w:tc>
        <w:tc>
          <w:tcPr>
            <w:tcW w:w="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840" w:type="dxa"/>
            <w:vAlign w:val="bottom"/>
            <w:gridSpan w:val="3"/>
          </w:tcPr>
          <w:p>
            <w:pPr>
              <w:jc w:val="center"/>
              <w:ind w:right="100"/>
              <w:spacing w:after="0" w:line="172" w:lineRule="exact"/>
              <w:rPr>
                <w:sz w:val="20"/>
                <w:szCs w:val="20"/>
                <w:color w:val="auto"/>
              </w:rPr>
            </w:pPr>
            <w:r>
              <w:rPr>
                <w:rFonts w:ascii="Arial" w:cs="Arial" w:eastAsia="Arial" w:hAnsi="Arial"/>
                <w:sz w:val="18"/>
                <w:szCs w:val="18"/>
                <w:color w:val="auto"/>
                <w:w w:val="89"/>
              </w:rPr>
              <w:t>Interest</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w w:val="95"/>
              </w:rPr>
              <w:t>Principal</w:t>
            </w:r>
          </w:p>
        </w:tc>
        <w:tc>
          <w:tcPr>
            <w:tcW w:w="80" w:type="dxa"/>
            <w:vAlign w:val="bottom"/>
          </w:tcPr>
          <w:p>
            <w:pPr>
              <w:spacing w:after="0"/>
              <w:rPr>
                <w:sz w:val="14"/>
                <w:szCs w:val="14"/>
                <w:color w:val="auto"/>
              </w:rPr>
            </w:pPr>
          </w:p>
        </w:tc>
        <w:tc>
          <w:tcPr>
            <w:tcW w:w="1060" w:type="dxa"/>
            <w:vAlign w:val="bottom"/>
            <w:gridSpan w:val="2"/>
          </w:tcPr>
          <w:p>
            <w:pPr>
              <w:ind w:left="60"/>
              <w:spacing w:after="0" w:line="172" w:lineRule="exact"/>
              <w:rPr>
                <w:sz w:val="20"/>
                <w:szCs w:val="20"/>
                <w:color w:val="auto"/>
              </w:rPr>
            </w:pPr>
            <w:r>
              <w:rPr>
                <w:rFonts w:ascii="Arial" w:cs="Arial" w:eastAsia="Arial" w:hAnsi="Arial"/>
                <w:sz w:val="18"/>
                <w:szCs w:val="18"/>
                <w:color w:val="auto"/>
                <w:w w:val="96"/>
              </w:rPr>
              <w:t>Unamortized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auto"/>
              </w:rPr>
              <w:t>Principal</w:t>
            </w:r>
          </w:p>
        </w:tc>
        <w:tc>
          <w:tcPr>
            <w:tcW w:w="60" w:type="dxa"/>
            <w:vAlign w:val="bottom"/>
          </w:tcPr>
          <w:p>
            <w:pPr>
              <w:spacing w:after="0"/>
              <w:rPr>
                <w:sz w:val="14"/>
                <w:szCs w:val="14"/>
                <w:color w:val="auto"/>
              </w:rPr>
            </w:pPr>
          </w:p>
        </w:tc>
        <w:tc>
          <w:tcPr>
            <w:tcW w:w="1140" w:type="dxa"/>
            <w:vAlign w:val="bottom"/>
            <w:gridSpan w:val="2"/>
          </w:tcPr>
          <w:p>
            <w:pPr>
              <w:jc w:val="right"/>
              <w:ind w:right="10"/>
              <w:spacing w:after="0" w:line="172" w:lineRule="exact"/>
              <w:rPr>
                <w:sz w:val="20"/>
                <w:szCs w:val="20"/>
                <w:color w:val="auto"/>
              </w:rPr>
            </w:pPr>
            <w:r>
              <w:rPr>
                <w:rFonts w:ascii="Arial" w:cs="Arial" w:eastAsia="Arial" w:hAnsi="Arial"/>
                <w:sz w:val="18"/>
                <w:szCs w:val="18"/>
                <w:color w:val="auto"/>
                <w:w w:val="99"/>
              </w:rPr>
              <w:t>Unamortized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144"/>
        </w:trPr>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Rate</w:t>
            </w:r>
          </w:p>
        </w:tc>
        <w:tc>
          <w:tcPr>
            <w:tcW w:w="100" w:type="dxa"/>
            <w:vAlign w:val="bottom"/>
            <w:gridSpan w:val="2"/>
            <w:vMerge w:val="restart"/>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Debt Costs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auto"/>
                <w:w w:val="87"/>
              </w:rPr>
              <w:t>Debt Costs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740" w:type="dxa"/>
            <w:vAlign w:val="bottom"/>
            <w:tcBorders>
              <w:bottom w:val="single" w:sz="8" w:color="auto"/>
            </w:tcBorders>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Borders>
              <w:bottom w:val="single" w:sz="8" w:color="auto"/>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6"/>
        </w:trPr>
        <w:tc>
          <w:tcPr>
            <w:tcW w:w="1100" w:type="dxa"/>
            <w:vAlign w:val="bottom"/>
            <w:gridSpan w:val="4"/>
          </w:tcPr>
          <w:p>
            <w:pPr>
              <w:jc w:val="right"/>
              <w:ind w:right="50"/>
              <w:spacing w:after="0"/>
              <w:rPr>
                <w:sz w:val="20"/>
                <w:szCs w:val="20"/>
                <w:color w:val="auto"/>
              </w:rPr>
            </w:pPr>
            <w:r>
              <w:rPr>
                <w:rFonts w:ascii="Arial" w:cs="Arial" w:eastAsia="Arial" w:hAnsi="Arial"/>
                <w:sz w:val="18"/>
                <w:szCs w:val="18"/>
                <w:color w:val="auto"/>
              </w:rPr>
              <w:t>3.625%  $</w:t>
            </w:r>
          </w:p>
        </w:tc>
        <w:tc>
          <w:tcPr>
            <w:tcW w:w="480" w:type="dxa"/>
            <w:vAlign w:val="bottom"/>
          </w:tcPr>
          <w:p>
            <w:pPr>
              <w:jc w:val="right"/>
              <w:spacing w:after="0"/>
              <w:rPr>
                <w:sz w:val="20"/>
                <w:szCs w:val="20"/>
                <w:color w:val="auto"/>
              </w:rPr>
            </w:pPr>
            <w:r>
              <w:rPr>
                <w:rFonts w:ascii="Arial" w:cs="Arial" w:eastAsia="Arial" w:hAnsi="Arial"/>
                <w:sz w:val="18"/>
                <w:szCs w:val="18"/>
                <w:color w:val="auto"/>
              </w:rPr>
              <w:t>350</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435"/>
        </w:trPr>
        <w:tc>
          <w:tcPr>
            <w:tcW w:w="84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varies</w:t>
            </w: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9"/>
        </w:trPr>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348</w:t>
            </w:r>
          </w:p>
        </w:tc>
        <w:tc>
          <w:tcPr>
            <w:tcW w:w="20" w:type="dxa"/>
            <w:vAlign w:val="bottom"/>
          </w:tcPr>
          <w:p>
            <w:pPr>
              <w:spacing w:after="0"/>
              <w:rPr>
                <w:sz w:val="22"/>
                <w:szCs w:val="22"/>
                <w:color w:val="auto"/>
              </w:rPr>
            </w:pPr>
          </w:p>
        </w:tc>
        <w:tc>
          <w:tcPr>
            <w:tcW w:w="36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348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3"/>
        </w:trPr>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350</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-1299845</wp:posOffset>
            </wp:positionV>
            <wp:extent cx="5956300" cy="2032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97">
                      <a:extLst>
                        <a:ext uri="{28A0092B-C50C-407E-A947-70E740481C1C}"/>
                      </a:extLst>
                    </a:blip>
                    <a:srcRect/>
                    <a:stretch>
                      <a:fillRect/>
                    </a:stretch>
                  </pic:blipFill>
                  <pic:spPr bwMode="auto">
                    <a:xfrm>
                      <a:off x="0" y="0"/>
                      <a:ext cx="5956300" cy="20320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-820420</wp:posOffset>
            </wp:positionV>
            <wp:extent cx="5956300" cy="2889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98">
                      <a:extLst>
                        <a:ext uri="{28A0092B-C50C-407E-A947-70E740481C1C}"/>
                      </a:extLst>
                    </a:blip>
                    <a:srcRect/>
                    <a:stretch>
                      <a:fillRect/>
                    </a:stretch>
                  </pic:blipFill>
                  <pic:spPr bwMode="auto">
                    <a:xfrm>
                      <a:off x="0" y="0"/>
                      <a:ext cx="5956300" cy="28892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-379095</wp:posOffset>
            </wp:positionV>
            <wp:extent cx="5956300" cy="2159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99">
                      <a:extLst>
                        <a:ext uri="{28A0092B-C50C-407E-A947-70E740481C1C}"/>
                      </a:extLst>
                    </a:blip>
                    <a:srcRect/>
                    <a:stretch>
                      <a:fillRect/>
                    </a:stretch>
                  </pic:blipFill>
                  <pic:spPr bwMode="auto">
                    <a:xfrm>
                      <a:off x="0" y="0"/>
                      <a:ext cx="5956300" cy="2159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2920" w:space="60"/>
            <w:col w:w="6380"/>
          </w:cols>
          <w:pgMar w:left="1260" w:top="1197" w:right="1260" w:bottom="22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9360"/>
          </w:cols>
          <w:pgMar w:left="1260" w:top="1197" w:right="1260" w:bottom="225" w:gutter="0" w:footer="0" w:header="0"/>
          <w:type w:val="continuous"/>
        </w:sectPr>
      </w:pPr>
    </w:p>
    <w:bookmarkStart w:id="85" w:name="page86"/>
    <w:bookmarkEnd w:id="85"/>
    <w:p>
      <w:pPr>
        <w:spacing w:after="0"/>
        <w:rPr>
          <w:sz w:val="20"/>
          <w:szCs w:val="20"/>
          <w:color w:val="auto"/>
        </w:rPr>
      </w:pPr>
      <w:r>
        <w:rPr>
          <w:rFonts w:ascii="Arial" w:cs="Arial" w:eastAsia="Arial" w:hAnsi="Arial"/>
          <w:sz w:val="20"/>
          <w:szCs w:val="20"/>
          <w:b w:val="1"/>
          <w:bCs w:val="1"/>
          <w:color w:val="auto"/>
        </w:rPr>
        <w:t>Senior Notes</w:t>
      </w:r>
    </w:p>
    <w:p>
      <w:pPr>
        <w:spacing w:after="0" w:line="1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March 2021, we issued $350 million of 3.625% Senior Notes due in 2029 (the 2029 Senior Notes). Since March 15, 2024, we have had the option, on one or more occasions, to redeem all or any portion of these notes at the redemption prices set forth in the indenture governing the 2029 Senior Notes, plus accrued and unpaid interest, if any, to, but not including, the date of redemption. The indenture governing the 2029 Senior Notes contains certain covenants that, among other things, limit our ability to grant liens to secure indebtedness, engage in sale and leaseback transactions, merge or consolidate or sell all or substantially all of our assets. If we are subject to a “change of control,” as defined in the indenture governing the 2029 Senior Notes, we are required to offer to repurchase the 2029 Senior Notes at a purchase price equal to 101% of the principal amount thereof plus accrued and unpaid interest, if any, thereon up to, but not including, the date of purchase. The indenture governing the 2029 Senior Notes contains customary events of default, including failure to make required payments on the 2029 Senior Notes, failure to comply with certain agreements or covenants contained in the indenture governing the 2029 Senior Notes, failure to pay or acceleration of certain other indebtedness and certain events of bankruptcy and insolvency. An event of default in the indenture allows either the indenture trustee or the holders of at least 25% in aggregate principal amount of the then-outstanding 2029 Senior Notes to accelerate, or in certain cases, automatically causes the acceleration of, the amounts due under the 2029 Senior Notes.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Deferred debt costs are amortized over the life of the related debt using a straight-line basis which approximates the effective interest method. If the debt is retired early, the related unamortized deferred financing costs are written off in the period the debt is retired to other non-operating income (expense).</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Facilities</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In November 2022, LP entered into a Second Amended and Restated Credit Agreement with American AgCredit, PCA, as administrative agent and sole lead arranger, CoBank, ACB, as letter of credit issuer, and certain other lender parties (the Credit Agreement), relating to its revolving credit facility. On March 26, 2025, LP entered into the First Amendment to Second Amended and Restated Credit Agreement (the First Amendment) with American AgCredit, PCA, as administrative agent, CoBank, ACB, as letter of credit issuer, and the lenders and voting participants party thereto, which amended the Credit Agreement (the Amended Credit Agreement) to (1) increase the aggregate principal amount for the credit facility (the Amended Credit Facility) from $550 million to $750 million, (2) increase the sub-limit for letters of credit from $60 million to $75 million, (3) change the interest rate for revolving borrowing, (4) change the capitalization ratio limit, and (5) extend the maturity date to March 26, 2032.</w:t>
      </w:r>
    </w:p>
    <w:p>
      <w:pPr>
        <w:spacing w:after="0" w:line="6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There were no outstanding borrowings pursuant to the Amended Credit Facility as of December 31, 2025. Revolving borrowings under the Amended Credit Facility accrue interest, at our option, at either (a) a “base rate” plus a margin of 0.500% to 1.500% or (b) Adjusted Term SOFR (</w:t>
      </w:r>
      <w:r>
        <w:rPr>
          <w:rFonts w:ascii="Arial" w:cs="Arial" w:eastAsia="Arial" w:hAnsi="Arial"/>
          <w:sz w:val="20"/>
          <w:szCs w:val="20"/>
          <w:b w:val="1"/>
          <w:bCs w:val="1"/>
          <w:i w:val="1"/>
          <w:iCs w:val="1"/>
          <w:color w:val="auto"/>
        </w:rPr>
        <w:t>i.e.</w:t>
      </w:r>
      <w:r>
        <w:rPr>
          <w:rFonts w:ascii="Arial" w:cs="Arial" w:eastAsia="Arial" w:hAnsi="Arial"/>
          <w:sz w:val="20"/>
          <w:szCs w:val="20"/>
          <w:color w:val="auto"/>
        </w:rPr>
        <w:t>, Term SOFR Rate plus an adjustment of 0.10%) plus a margin of 1.500% to 2.500%. The Amended Credit Facility also includes an unused commitment fee, due quarterly, ranging from 0.200% to 0.425%. The applicable margins and fees within these ranges are based on our ratio of consolidated earnings before interest, taxes, depreciation and amortization (EBITDA) to cash interest charges. The “base rate” is the highest of (i) the federal funds rate plus 0.5%, (ii) the U.S. prime rate, and (iii) one-month Adjusted Term SOFR plus 1.0%.</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Amended Credit Agreement contains various restrictive covenants and customary events of default, the occurrence of which could result in the acceleration of our obligation to repay the indebtedness outstanding thereunder. The Amended Credit Agreement also contains financial covenants that, among other things, require us and our consolidated subsidiaries to have, as of the end of each fiscal quarter, a capitalization ratio (</w:t>
      </w:r>
      <w:r>
        <w:rPr>
          <w:rFonts w:ascii="Arial" w:cs="Arial" w:eastAsia="Arial" w:hAnsi="Arial"/>
          <w:sz w:val="20"/>
          <w:szCs w:val="20"/>
          <w:b w:val="1"/>
          <w:bCs w:val="1"/>
          <w:i w:val="1"/>
          <w:iCs w:val="1"/>
          <w:color w:val="auto"/>
        </w:rPr>
        <w:t>i.e.</w:t>
      </w:r>
      <w:r>
        <w:rPr>
          <w:rFonts w:ascii="Arial" w:cs="Arial" w:eastAsia="Arial" w:hAnsi="Arial"/>
          <w:sz w:val="20"/>
          <w:szCs w:val="20"/>
          <w:color w:val="auto"/>
        </w:rPr>
        <w:t>, funded debt less unrestricted cash to total capitalization) of no more than 65%.</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In May 2024, LP entered into a new letter of credit facility agreement (the LOC Facility Agreement), replacing the letter of credit facility agreement dated May 2020. The LOC Facility Agreement provides for the funding of letters of credit up to an aggregate outstanding amount of $20 million, which may be secured by certain cash collateral of LP (the Letter of Credit Facility). The LOC Facility Agreement provides for a letter of credit fee, due quarterly, ranging from 1.000% to 1.875% of the daily available amount to be drawn on each letter of credit issued under the Letter of Credit Facility. The LOC Facility Agreement contains similar affirmative, negative, and financial covenants as those set forth in the Amended Credit Agreement, including the capitalization ratio covenant. All amounts outstanding under the Letter of Credit Facility become due on April 15, 2029.</w:t>
      </w:r>
    </w:p>
    <w:p>
      <w:pPr>
        <w:sectPr>
          <w:pgSz w:w="11880" w:h="15480" w:orient="portrait"/>
          <w:cols w:equalWidth="0" w:num="1">
            <w:col w:w="9360"/>
          </w:cols>
          <w:pgMar w:left="1260" w:top="1190" w:right="1260" w:bottom="225"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9360"/>
          </w:cols>
          <w:pgMar w:left="1260" w:top="1190" w:right="1260" w:bottom="225" w:gutter="0" w:footer="0" w:header="0"/>
          <w:type w:val="continuous"/>
        </w:sectPr>
      </w:pPr>
    </w:p>
    <w:bookmarkStart w:id="86" w:name="page87"/>
    <w:bookmarkEnd w:id="86"/>
    <w:p>
      <w:pPr>
        <w:jc w:val="both"/>
        <w:spacing w:after="0" w:line="283" w:lineRule="auto"/>
        <w:rPr>
          <w:sz w:val="20"/>
          <w:szCs w:val="20"/>
          <w:color w:val="auto"/>
        </w:rPr>
      </w:pPr>
      <w:r>
        <w:rPr>
          <w:rFonts w:ascii="Arial" w:cs="Arial" w:eastAsia="Arial" w:hAnsi="Arial"/>
          <w:sz w:val="20"/>
          <w:szCs w:val="20"/>
          <w:color w:val="auto"/>
        </w:rPr>
        <w:t>As of December 31, 2025, we were in compliance with all financial covenants under the 2029 Senior Notes, the Amended Credit Agreement and the LOC Facility Agreement.</w:t>
      </w:r>
    </w:p>
    <w:p>
      <w:pPr>
        <w:spacing w:after="0" w:line="58"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Deferred debt costs are amortized over the life of the related debt using a straight-line basis, which approximates the effective interest method. Included in such amortized amounts are deferred debt costs associated with our Amended Credit Facility of $4 million, which are recorded within other assets on our Consolidated Balance Sheets. We amortized deferred debt costs of $1 million for each of the years ended December 31, 2025, 2024, and 2023.</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for all long-term debt at December 31, 2025 and 2024 was approximately 3.6%.</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Required repayment of principal for long-term debt is as follows (dollar amounts in millions):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Years ending December 31,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9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2026</w:t>
            </w:r>
          </w:p>
        </w:tc>
        <w:tc>
          <w:tcPr>
            <w:tcW w:w="600" w:type="dxa"/>
            <w:vAlign w:val="bottom"/>
            <w:tcBorders>
              <w:bottom w:val="single" w:sz="8" w:color="E6E6E6"/>
            </w:tcBorders>
            <w:shd w:val="clear" w:color="auto" w:fill="E6E6E6"/>
          </w:tcPr>
          <w:p>
            <w:pPr>
              <w:jc w:val="right"/>
              <w:ind w:right="3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58"/>
        </w:trPr>
        <w:tc>
          <w:tcPr>
            <w:tcW w:w="7960" w:type="dxa"/>
            <w:vAlign w:val="bottom"/>
          </w:tcPr>
          <w:p>
            <w:pPr>
              <w:ind w:left="60"/>
              <w:spacing w:after="0"/>
              <w:rPr>
                <w:sz w:val="20"/>
                <w:szCs w:val="20"/>
                <w:color w:val="auto"/>
              </w:rPr>
            </w:pPr>
            <w:r>
              <w:rPr>
                <w:rFonts w:ascii="Arial" w:cs="Arial" w:eastAsia="Arial" w:hAnsi="Arial"/>
                <w:sz w:val="18"/>
                <w:szCs w:val="18"/>
                <w:color w:val="auto"/>
              </w:rPr>
              <w:t>2027</w:t>
            </w:r>
          </w:p>
        </w:tc>
        <w:tc>
          <w:tcPr>
            <w:tcW w:w="6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
        </w:trPr>
        <w:tc>
          <w:tcPr>
            <w:tcW w:w="7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80"/>
        </w:trPr>
        <w:tc>
          <w:tcPr>
            <w:tcW w:w="79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2028</w:t>
            </w:r>
          </w:p>
        </w:tc>
        <w:tc>
          <w:tcPr>
            <w:tcW w:w="600" w:type="dxa"/>
            <w:vAlign w:val="bottom"/>
            <w:tcBorders>
              <w:bottom w:val="single" w:sz="8" w:color="E6E6E6"/>
            </w:tcBorders>
            <w:shd w:val="clear" w:color="auto" w:fill="E6E6E6"/>
          </w:tcPr>
          <w:p>
            <w:pPr>
              <w:spacing w:after="0"/>
              <w:rPr>
                <w:sz w:val="24"/>
                <w:szCs w:val="24"/>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58"/>
        </w:trPr>
        <w:tc>
          <w:tcPr>
            <w:tcW w:w="7960" w:type="dxa"/>
            <w:vAlign w:val="bottom"/>
          </w:tcPr>
          <w:p>
            <w:pPr>
              <w:ind w:left="60"/>
              <w:spacing w:after="0"/>
              <w:rPr>
                <w:sz w:val="20"/>
                <w:szCs w:val="20"/>
                <w:color w:val="auto"/>
              </w:rPr>
            </w:pPr>
            <w:r>
              <w:rPr>
                <w:rFonts w:ascii="Arial" w:cs="Arial" w:eastAsia="Arial" w:hAnsi="Arial"/>
                <w:sz w:val="18"/>
                <w:szCs w:val="18"/>
                <w:color w:val="auto"/>
              </w:rPr>
              <w:t>2029</w:t>
            </w:r>
          </w:p>
        </w:tc>
        <w:tc>
          <w:tcPr>
            <w:tcW w:w="6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42"/>
        </w:trPr>
        <w:tc>
          <w:tcPr>
            <w:tcW w:w="7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5"/>
        </w:trPr>
        <w:tc>
          <w:tcPr>
            <w:tcW w:w="79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2031 and thereafter</w:t>
            </w:r>
          </w:p>
        </w:tc>
        <w:tc>
          <w:tcPr>
            <w:tcW w:w="600" w:type="dxa"/>
            <w:vAlign w:val="bottom"/>
            <w:tcBorders>
              <w:bottom w:val="single" w:sz="8" w:color="E6E6E6"/>
            </w:tcBorders>
            <w:shd w:val="clear" w:color="auto" w:fill="E6E6E6"/>
          </w:tcPr>
          <w:p>
            <w:pPr>
              <w:spacing w:after="0"/>
              <w:rPr>
                <w:sz w:val="24"/>
                <w:szCs w:val="24"/>
                <w:color w:val="auto"/>
              </w:rPr>
            </w:pPr>
          </w:p>
        </w:tc>
        <w:tc>
          <w:tcPr>
            <w:tcW w:w="8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60"/>
        </w:trPr>
        <w:tc>
          <w:tcPr>
            <w:tcW w:w="7960" w:type="dxa"/>
            <w:vAlign w:val="bottom"/>
            <w:tcBorders>
              <w:top w:val="single" w:sz="8" w:color="E6E6E6"/>
            </w:tcBorders>
          </w:tcPr>
          <w:p>
            <w:pPr>
              <w:ind w:left="180"/>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w:t>
            </w:r>
          </w:p>
        </w:tc>
      </w:tr>
      <w:tr>
        <w:trPr>
          <w:trHeight w:val="20"/>
        </w:trPr>
        <w:tc>
          <w:tcPr>
            <w:tcW w:w="7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5045075</wp:posOffset>
            </wp:positionH>
            <wp:positionV relativeFrom="paragraph">
              <wp:posOffset>-221615</wp:posOffset>
            </wp:positionV>
            <wp:extent cx="91122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00">
                      <a:extLst>
                        <a:ext uri="{28A0092B-C50C-407E-A947-70E740481C1C}"/>
                      </a:extLst>
                    </a:blip>
                    <a:srcRect/>
                    <a:stretch>
                      <a:fillRect/>
                    </a:stretch>
                  </pic:blipFill>
                  <pic:spPr bwMode="auto">
                    <a:xfrm>
                      <a:off x="0" y="0"/>
                      <a:ext cx="911225" cy="25400"/>
                    </a:xfrm>
                    <a:prstGeom prst="rect">
                      <a:avLst/>
                    </a:prstGeom>
                    <a:noFill/>
                  </pic:spPr>
                </pic:pic>
              </a:graphicData>
            </a:graphic>
          </wp:anchor>
        </w:drawing>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estimated the 2029 Senior Notes to have a fair value of $341 million and $323 million at December 31, 2025 and 2024, respectively, based upon market quotations. Fair values were based on trading activity among the Company’s lenders and the average bid and ask price as determined using published rates (Level 1 in the U.S. GAAP fair value hierarchy).</w:t>
      </w:r>
    </w:p>
    <w:p>
      <w:pPr>
        <w:spacing w:after="0" w:line="193" w:lineRule="exact"/>
        <w:rPr>
          <w:sz w:val="20"/>
          <w:szCs w:val="20"/>
          <w:color w:val="auto"/>
        </w:rPr>
      </w:pPr>
    </w:p>
    <w:p>
      <w:pPr>
        <w:ind w:left="720" w:hanging="720"/>
        <w:spacing w:after="0"/>
        <w:tabs>
          <w:tab w:leader="none" w:pos="7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STOCKHOLDERS’ EQUITY</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We are authorized to issue up to 15,000,000 shares of preferred stock at $1.00 par value. At December 31, 2025, no shares of preferred stock have been issued.</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Award Plan</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have a stock-based compensation plan under which stock options, SSARs, restricted stock, restricted stock units, and performance stock units may be granted. At December 31, 2025, approximately four million shares were available under the current plan for these awards.</w:t>
      </w:r>
    </w:p>
    <w:p>
      <w:pPr>
        <w:sectPr>
          <w:pgSz w:w="11880" w:h="15480" w:orient="portrait"/>
          <w:cols w:equalWidth="0" w:num="1">
            <w:col w:w="9360"/>
          </w:cols>
          <w:pgMar w:left="1260" w:top="1197" w:right="1260" w:bottom="227" w:gutter="0" w:footer="0" w:header="0"/>
        </w:sectPr>
      </w:pP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5956300" cy="2889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01">
                      <a:extLst>
                        <a:ext uri="{28A0092B-C50C-407E-A947-70E740481C1C}"/>
                      </a:extLst>
                    </a:blip>
                    <a:srcRect/>
                    <a:stretch>
                      <a:fillRect/>
                    </a:stretch>
                  </pic:blipFill>
                  <pic:spPr bwMode="auto">
                    <a:xfrm>
                      <a:off x="0" y="0"/>
                      <a:ext cx="5956300" cy="288925"/>
                    </a:xfrm>
                    <a:prstGeom prst="rect">
                      <a:avLst/>
                    </a:prstGeom>
                    <a:noFill/>
                  </pic:spPr>
                </pic:pic>
              </a:graphicData>
            </a:graphic>
          </wp:anchor>
        </w:drawing>
      </w:r>
    </w:p>
    <w:p>
      <w:pPr>
        <w:spacing w:after="0" w:line="53" w:lineRule="exact"/>
        <w:rPr>
          <w:sz w:val="20"/>
          <w:szCs w:val="20"/>
          <w:color w:val="auto"/>
        </w:rPr>
      </w:pPr>
    </w:p>
    <w:p>
      <w:pPr>
        <w:ind w:left="60" w:right="300"/>
        <w:spacing w:after="0" w:line="241" w:lineRule="auto"/>
        <w:rPr>
          <w:sz w:val="20"/>
          <w:szCs w:val="20"/>
          <w:color w:val="auto"/>
        </w:rPr>
      </w:pPr>
      <w:r>
        <w:rPr>
          <w:rFonts w:ascii="Arial" w:cs="Arial" w:eastAsia="Arial" w:hAnsi="Arial"/>
          <w:sz w:val="18"/>
          <w:szCs w:val="18"/>
          <w:color w:val="auto"/>
        </w:rPr>
        <w:t>Total stock-based compensation expense (cost of sales and selling, general and administrative)</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benefit related to stock-based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44450</wp:posOffset>
                </wp:positionV>
                <wp:extent cx="5943600" cy="276225"/>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276225"/>
                        </a:xfrm>
                        <a:prstGeom prst="rect">
                          <a:avLst/>
                        </a:prstGeom>
                        <a:solidFill>
                          <a:srgbClr val="E6E6E6"/>
                        </a:solidFill>
                      </wps:spPr>
                      <wps:bodyPr/>
                    </wps:wsp>
                  </a:graphicData>
                </a:graphic>
              </wp:anchor>
            </w:drawing>
          </mc:Choice>
          <mc:Fallback>
            <w:pict>
              <v:rect id="Shape 251" o:spid="_x0000_s1276" style="position:absolute;margin-left:0pt;margin-top:3.5pt;width:468pt;height:2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51" w:lineRule="exact"/>
        <w:rPr>
          <w:sz w:val="20"/>
          <w:szCs w:val="20"/>
          <w:color w:val="auto"/>
        </w:rPr>
      </w:pPr>
    </w:p>
    <w:p>
      <w:pPr>
        <w:ind w:left="60"/>
        <w:spacing w:after="0" w:line="241" w:lineRule="auto"/>
        <w:rPr>
          <w:sz w:val="20"/>
          <w:szCs w:val="20"/>
          <w:color w:val="auto"/>
        </w:rPr>
      </w:pPr>
      <w:r>
        <w:rPr>
          <w:rFonts w:ascii="Arial" w:cs="Arial" w:eastAsia="Arial" w:hAnsi="Arial"/>
          <w:sz w:val="18"/>
          <w:szCs w:val="18"/>
          <w:color w:val="auto"/>
        </w:rPr>
        <w:t>Impact on cash flow due to taxes paid related to net share settlement of equity awards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3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2024</w:t>
            </w:r>
          </w:p>
        </w:tc>
        <w:tc>
          <w:tcPr>
            <w:tcW w:w="4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33"/>
        </w:trPr>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16"/>
        </w:trPr>
        <w:tc>
          <w:tcPr>
            <w:tcW w:w="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9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7"/>
        </w:trPr>
        <w:tc>
          <w:tcPr>
            <w:tcW w:w="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68"/>
        </w:trPr>
        <w:tc>
          <w:tcPr>
            <w:tcW w:w="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9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66" w:lineRule="exact"/>
        <w:rPr>
          <w:sz w:val="20"/>
          <w:szCs w:val="20"/>
          <w:color w:val="auto"/>
        </w:rPr>
      </w:pPr>
    </w:p>
    <w:p>
      <w:pPr>
        <w:sectPr>
          <w:pgSz w:w="11880" w:h="15480" w:orient="portrait"/>
          <w:cols w:equalWidth="0" w:num="2">
            <w:col w:w="5160" w:space="160"/>
            <w:col w:w="4040"/>
          </w:cols>
          <w:pgMar w:left="1260" w:top="1197" w:right="1260" w:bottom="227" w:gutter="0" w:footer="0" w:header="0"/>
          <w:type w:val="continuous"/>
        </w:sectPr>
      </w:pPr>
    </w:p>
    <w:p>
      <w:pPr>
        <w:jc w:val="both"/>
        <w:spacing w:after="0" w:line="283" w:lineRule="auto"/>
        <w:rPr>
          <w:sz w:val="20"/>
          <w:szCs w:val="20"/>
          <w:color w:val="auto"/>
        </w:rPr>
      </w:pPr>
      <w:r>
        <w:rPr>
          <w:rFonts w:ascii="Arial" w:cs="Arial" w:eastAsia="Arial" w:hAnsi="Arial"/>
          <w:sz w:val="20"/>
          <w:szCs w:val="20"/>
          <w:color w:val="auto"/>
        </w:rPr>
        <w:t>We recognize the compensation costs on a straight-line basis over the requisite service period of the award, which is generally the vesting term of three years.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SSARs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Prior to January 1, 2018, we granted SSARs to key employees under the Company’s then-current stock award plan. Upon exercise of the SSARs, we generally issue the underlying shares from treasury. The SSARs were granted at market price at the date of grant. The SSARs became exercisable over three years and expire ten years after the date of grant. All outstanding SSARs were vested as of December 31, 2025.</w:t>
      </w:r>
    </w:p>
    <w:p>
      <w:pPr>
        <w:sectPr>
          <w:pgSz w:w="11880" w:h="15480" w:orient="portrait"/>
          <w:cols w:equalWidth="0" w:num="1">
            <w:col w:w="9360"/>
          </w:cols>
          <w:pgMar w:left="1260" w:top="1197" w:right="1260" w:bottom="22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9360"/>
          </w:cols>
          <w:pgMar w:left="1260" w:top="1197" w:right="1260" w:bottom="227" w:gutter="0" w:footer="0" w:header="0"/>
          <w:type w:val="continuous"/>
        </w:sectPr>
      </w:pPr>
    </w:p>
    <w:bookmarkStart w:id="87" w:name="page88"/>
    <w:bookmarkEnd w:id="87"/>
    <w:p>
      <w:pPr>
        <w:spacing w:after="0"/>
        <w:rPr>
          <w:sz w:val="20"/>
          <w:szCs w:val="20"/>
          <w:color w:val="auto"/>
        </w:rPr>
      </w:pPr>
      <w:r>
        <w:rPr>
          <w:rFonts w:ascii="Arial" w:cs="Arial" w:eastAsia="Arial" w:hAnsi="Arial"/>
          <w:sz w:val="20"/>
          <w:szCs w:val="20"/>
          <w:b w:val="1"/>
          <w:bCs w:val="1"/>
          <w:i w:val="1"/>
          <w:iCs w:val="1"/>
          <w:color w:val="auto"/>
        </w:rPr>
        <w:t>Restricted Stock Units and Performance Stock Units</w:t>
      </w:r>
    </w:p>
    <w:p>
      <w:pPr>
        <w:spacing w:after="0" w:line="133"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We grant time-vested restricted stock units (RSUs) and performance stock units (PSUs) to certain key employees and time-vested RSUs to non-employee directors under our stock award plan. RSUs generally vest (i) ratably over a</w:t>
      </w:r>
    </w:p>
    <w:p>
      <w:pPr>
        <w:jc w:val="both"/>
        <w:spacing w:after="0" w:line="254" w:lineRule="auto"/>
        <w:rPr>
          <w:sz w:val="20"/>
          <w:szCs w:val="20"/>
          <w:color w:val="auto"/>
        </w:rPr>
      </w:pPr>
      <w:r>
        <w:rPr>
          <w:rFonts w:ascii="Arial" w:cs="Arial" w:eastAsia="Arial" w:hAnsi="Arial"/>
          <w:sz w:val="20"/>
          <w:szCs w:val="20"/>
          <w:color w:val="auto"/>
        </w:rPr>
        <w:t>three-year vesting period for employees and (ii) in full on the first anniversary of the grant date for non-employee directors. Certain of these awards are eligible to receive dividend equivalent shares. The grant date fair value of these awards approximates market value of the shares. PSUs generally vest based upon the attainment of certain performance and market metrics over a three-year cumulative performance period. Awards based upon the achievement of the performance goals are earned ratably from 0% to 200%. If the threshold performance level for the relevant performance goal is met at the end of the performance period, the award may be adjusted based on LP’s three-year total shareholder return (TSR) performance relative to a capital market peer group. This TSR modifier can increase or decrease the award by 20%, although the TSR modifier cannot cause the award to exceed the maximum of 200%.</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of Stock Awards Outstanding</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stock awards as of December 31, 2025, as well as activity during the last year: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2680" w:type="dxa"/>
            <w:vAlign w:val="bottom"/>
            <w:gridSpan w:val="4"/>
            <w:vMerge w:val="restart"/>
          </w:tcPr>
          <w:p>
            <w:pPr>
              <w:jc w:val="right"/>
              <w:ind w:right="370"/>
              <w:spacing w:after="0"/>
              <w:rPr>
                <w:sz w:val="20"/>
                <w:szCs w:val="20"/>
                <w:color w:val="auto"/>
              </w:rPr>
            </w:pPr>
            <w:r>
              <w:rPr>
                <w:rFonts w:ascii="Arial" w:cs="Arial" w:eastAsia="Arial" w:hAnsi="Arial"/>
                <w:sz w:val="18"/>
                <w:szCs w:val="18"/>
                <w:b w:val="1"/>
                <w:bCs w:val="1"/>
                <w:color w:val="auto"/>
              </w:rPr>
              <w:t>Stock Options / SSARS</w:t>
            </w:r>
          </w:p>
        </w:tc>
        <w:tc>
          <w:tcPr>
            <w:tcW w:w="60" w:type="dxa"/>
            <w:vAlign w:val="bottom"/>
          </w:tcPr>
          <w:p>
            <w:pPr>
              <w:spacing w:after="0"/>
              <w:rPr>
                <w:sz w:val="18"/>
                <w:szCs w:val="18"/>
                <w:color w:val="auto"/>
              </w:rPr>
            </w:pPr>
          </w:p>
        </w:tc>
        <w:tc>
          <w:tcPr>
            <w:tcW w:w="26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Restricted Stock Units and</w:t>
            </w:r>
          </w:p>
        </w:tc>
        <w:tc>
          <w:tcPr>
            <w:tcW w:w="0" w:type="dxa"/>
            <w:vAlign w:val="bottom"/>
          </w:tcPr>
          <w:p>
            <w:pPr>
              <w:spacing w:after="0"/>
              <w:rPr>
                <w:sz w:val="1"/>
                <w:szCs w:val="1"/>
                <w:color w:val="auto"/>
              </w:rPr>
            </w:pPr>
          </w:p>
        </w:tc>
      </w:tr>
      <w:tr>
        <w:trPr>
          <w:trHeight w:val="239"/>
        </w:trPr>
        <w:tc>
          <w:tcPr>
            <w:tcW w:w="3960" w:type="dxa"/>
            <w:vAlign w:val="bottom"/>
          </w:tcPr>
          <w:p>
            <w:pPr>
              <w:spacing w:after="0"/>
              <w:rPr>
                <w:sz w:val="20"/>
                <w:szCs w:val="20"/>
                <w:color w:val="auto"/>
              </w:rPr>
            </w:pPr>
          </w:p>
        </w:tc>
        <w:tc>
          <w:tcPr>
            <w:tcW w:w="2680" w:type="dxa"/>
            <w:vAlign w:val="bottom"/>
            <w:tcBorders>
              <w:bottom w:val="single" w:sz="8" w:color="auto"/>
            </w:tcBorders>
            <w:gridSpan w:val="4"/>
            <w:vMerge w:val="continue"/>
          </w:tcPr>
          <w:p>
            <w:pPr>
              <w:spacing w:after="0"/>
              <w:rPr>
                <w:sz w:val="20"/>
                <w:szCs w:val="20"/>
                <w:color w:val="auto"/>
              </w:rPr>
            </w:pPr>
          </w:p>
        </w:tc>
        <w:tc>
          <w:tcPr>
            <w:tcW w:w="60" w:type="dxa"/>
            <w:vAlign w:val="bottom"/>
          </w:tcPr>
          <w:p>
            <w:pPr>
              <w:spacing w:after="0"/>
              <w:rPr>
                <w:sz w:val="20"/>
                <w:szCs w:val="20"/>
                <w:color w:val="auto"/>
              </w:rPr>
            </w:pPr>
          </w:p>
        </w:tc>
        <w:tc>
          <w:tcPr>
            <w:tcW w:w="26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Performance Stock Units</w:t>
            </w: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80"/>
        </w:trPr>
        <w:tc>
          <w:tcPr>
            <w:tcW w:w="3960" w:type="dxa"/>
            <w:vAlign w:val="bottom"/>
          </w:tcPr>
          <w:p>
            <w:pPr>
              <w:spacing w:after="0"/>
              <w:rPr>
                <w:sz w:val="15"/>
                <w:szCs w:val="15"/>
                <w:color w:val="auto"/>
              </w:rPr>
            </w:pPr>
          </w:p>
        </w:tc>
        <w:tc>
          <w:tcPr>
            <w:tcW w:w="13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180"/>
        </w:trPr>
        <w:tc>
          <w:tcPr>
            <w:tcW w:w="39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30"/>
              <w:spacing w:after="0" w:line="180" w:lineRule="exact"/>
              <w:rPr>
                <w:sz w:val="20"/>
                <w:szCs w:val="20"/>
                <w:color w:val="auto"/>
              </w:rPr>
            </w:pPr>
            <w:r>
              <w:rPr>
                <w:rFonts w:ascii="Arial" w:cs="Arial" w:eastAsia="Arial" w:hAnsi="Arial"/>
                <w:sz w:val="18"/>
                <w:szCs w:val="18"/>
                <w:b w:val="1"/>
                <w:bCs w:val="1"/>
                <w:color w:val="auto"/>
                <w:w w:val="90"/>
              </w:rPr>
              <w:t>Average</w:t>
            </w:r>
          </w:p>
        </w:tc>
        <w:tc>
          <w:tcPr>
            <w:tcW w:w="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10"/>
              <w:spacing w:after="0" w:line="180" w:lineRule="exact"/>
              <w:rPr>
                <w:sz w:val="20"/>
                <w:szCs w:val="20"/>
                <w:color w:val="auto"/>
              </w:rPr>
            </w:pPr>
            <w:r>
              <w:rPr>
                <w:rFonts w:ascii="Arial" w:cs="Arial" w:eastAsia="Arial" w:hAnsi="Arial"/>
                <w:sz w:val="18"/>
                <w:szCs w:val="18"/>
                <w:b w:val="1"/>
                <w:bCs w:val="1"/>
                <w:color w:val="auto"/>
                <w:w w:val="96"/>
              </w:rPr>
              <w:t>Date Fair</w:t>
            </w:r>
          </w:p>
        </w:tc>
        <w:tc>
          <w:tcPr>
            <w:tcW w:w="0" w:type="dxa"/>
            <w:vAlign w:val="bottom"/>
          </w:tcPr>
          <w:p>
            <w:pPr>
              <w:spacing w:after="0"/>
              <w:rPr>
                <w:sz w:val="1"/>
                <w:szCs w:val="1"/>
                <w:color w:val="auto"/>
              </w:rPr>
            </w:pPr>
          </w:p>
        </w:tc>
      </w:tr>
      <w:tr>
        <w:trPr>
          <w:trHeight w:val="239"/>
        </w:trPr>
        <w:tc>
          <w:tcPr>
            <w:tcW w:w="3960" w:type="dxa"/>
            <w:vAlign w:val="bottom"/>
            <w:tcBorders>
              <w:bottom w:val="single" w:sz="8" w:color="E6E6E6"/>
            </w:tcBorders>
          </w:tcPr>
          <w:p>
            <w:pPr>
              <w:spacing w:after="0"/>
              <w:rPr>
                <w:sz w:val="20"/>
                <w:szCs w:val="20"/>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Awards</w:t>
            </w:r>
          </w:p>
        </w:tc>
        <w:tc>
          <w:tcPr>
            <w:tcW w:w="60" w:type="dxa"/>
            <w:vAlign w:val="bottom"/>
            <w:tcBorders>
              <w:bottom w:val="single" w:sz="8" w:color="E6E6E6"/>
            </w:tcBorders>
          </w:tcPr>
          <w:p>
            <w:pPr>
              <w:spacing w:after="0"/>
              <w:rPr>
                <w:sz w:val="20"/>
                <w:szCs w:val="20"/>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60" w:type="dxa"/>
            <w:vAlign w:val="bottom"/>
            <w:tcBorders>
              <w:bottom w:val="single" w:sz="8" w:color="E6E6E6"/>
            </w:tcBorders>
          </w:tcPr>
          <w:p>
            <w:pPr>
              <w:spacing w:after="0"/>
              <w:rPr>
                <w:sz w:val="20"/>
                <w:szCs w:val="20"/>
                <w:color w:val="auto"/>
              </w:rPr>
            </w:pP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Awards</w:t>
            </w:r>
          </w:p>
        </w:tc>
        <w:tc>
          <w:tcPr>
            <w:tcW w:w="60" w:type="dxa"/>
            <w:vAlign w:val="bottom"/>
            <w:tcBorders>
              <w:bottom w:val="single" w:sz="8" w:color="E6E6E6"/>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70"/>
        </w:trPr>
        <w:tc>
          <w:tcPr>
            <w:tcW w:w="39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Outstanding at December 31, 2024</w:t>
            </w:r>
          </w:p>
        </w:tc>
        <w:tc>
          <w:tcPr>
            <w:tcW w:w="1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3,150</w:t>
            </w:r>
          </w:p>
        </w:tc>
        <w:tc>
          <w:tcPr>
            <w:tcW w:w="28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15.90</w:t>
            </w:r>
          </w:p>
        </w:tc>
        <w:tc>
          <w:tcPr>
            <w:tcW w:w="136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rPr>
              <w:t>575,522</w:t>
            </w:r>
          </w:p>
        </w:tc>
        <w:tc>
          <w:tcPr>
            <w:tcW w:w="26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58"/>
        </w:trPr>
        <w:tc>
          <w:tcPr>
            <w:tcW w:w="3960" w:type="dxa"/>
            <w:vAlign w:val="bottom"/>
          </w:tcPr>
          <w:p>
            <w:pPr>
              <w:ind w:left="6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406,319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42"/>
        </w:trPr>
        <w:tc>
          <w:tcPr>
            <w:tcW w:w="39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39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Exercised</w:t>
            </w:r>
          </w:p>
        </w:tc>
        <w:tc>
          <w:tcPr>
            <w:tcW w:w="1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1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15.74</w:t>
            </w:r>
          </w:p>
        </w:tc>
        <w:tc>
          <w:tcPr>
            <w:tcW w:w="136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18"/>
                <w:szCs w:val="18"/>
                <w:color w:val="auto"/>
              </w:rPr>
              <w:t>(158,320)</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11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71.85</w:t>
            </w:r>
          </w:p>
        </w:tc>
        <w:tc>
          <w:tcPr>
            <w:tcW w:w="0" w:type="dxa"/>
            <w:vAlign w:val="bottom"/>
          </w:tcPr>
          <w:p>
            <w:pPr>
              <w:spacing w:after="0"/>
              <w:rPr>
                <w:sz w:val="1"/>
                <w:szCs w:val="1"/>
                <w:color w:val="auto"/>
              </w:rPr>
            </w:pPr>
          </w:p>
        </w:tc>
      </w:tr>
      <w:tr>
        <w:trPr>
          <w:trHeight w:val="259"/>
        </w:trPr>
        <w:tc>
          <w:tcPr>
            <w:tcW w:w="3960" w:type="dxa"/>
            <w:vAlign w:val="bottom"/>
          </w:tcPr>
          <w:p>
            <w:pPr>
              <w:ind w:left="60"/>
              <w:spacing w:after="0"/>
              <w:rPr>
                <w:sz w:val="20"/>
                <w:szCs w:val="20"/>
                <w:color w:val="auto"/>
              </w:rPr>
            </w:pPr>
            <w:r>
              <w:rPr>
                <w:rFonts w:ascii="Arial" w:cs="Arial" w:eastAsia="Arial" w:hAnsi="Arial"/>
                <w:sz w:val="18"/>
                <w:szCs w:val="18"/>
                <w:color w:val="auto"/>
              </w:rPr>
              <w:t>Forfeited/cancelled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(174,499)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79.96</w:t>
            </w:r>
          </w:p>
        </w:tc>
        <w:tc>
          <w:tcPr>
            <w:tcW w:w="0" w:type="dxa"/>
            <w:vAlign w:val="bottom"/>
          </w:tcPr>
          <w:p>
            <w:pPr>
              <w:spacing w:after="0"/>
              <w:rPr>
                <w:sz w:val="1"/>
                <w:szCs w:val="1"/>
                <w:color w:val="auto"/>
              </w:rPr>
            </w:pPr>
          </w:p>
        </w:tc>
      </w:tr>
      <w:tr>
        <w:trPr>
          <w:trHeight w:val="31"/>
        </w:trPr>
        <w:tc>
          <w:tcPr>
            <w:tcW w:w="3960" w:type="dxa"/>
            <w:vAlign w:val="bottom"/>
            <w:tcBorders>
              <w:bottom w:val="single" w:sz="8" w:color="E6E6E6"/>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396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Outstanding at December 31, 2025</w:t>
            </w: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150</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19.14</w:t>
            </w:r>
          </w:p>
        </w:tc>
        <w:tc>
          <w:tcPr>
            <w:tcW w:w="60" w:type="dxa"/>
            <w:vAlign w:val="bottom"/>
            <w:tcBorders>
              <w:bottom w:val="single" w:sz="8" w:color="E6E6E6"/>
            </w:tcBorders>
            <w:shd w:val="clear" w:color="auto" w:fill="E6E6E6"/>
          </w:tcPr>
          <w:p>
            <w:pPr>
              <w:spacing w:after="0"/>
              <w:rPr>
                <w:sz w:val="24"/>
                <w:szCs w:val="24"/>
                <w:color w:val="auto"/>
              </w:rPr>
            </w:pPr>
          </w:p>
        </w:tc>
        <w:tc>
          <w:tcPr>
            <w:tcW w:w="13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649,022</w:t>
            </w:r>
          </w:p>
        </w:tc>
        <w:tc>
          <w:tcPr>
            <w:tcW w:w="6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89.81</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60"/>
              <w:spacing w:after="0"/>
              <w:rPr>
                <w:sz w:val="20"/>
                <w:szCs w:val="20"/>
                <w:color w:val="auto"/>
              </w:rPr>
            </w:pPr>
            <w:r>
              <w:rPr>
                <w:rFonts w:ascii="Arial" w:cs="Arial" w:eastAsia="Arial" w:hAnsi="Arial"/>
                <w:sz w:val="18"/>
                <w:szCs w:val="18"/>
                <w:color w:val="auto"/>
                <w:w w:val="93"/>
              </w:rPr>
              <w:t>Vested and expected to vest at December 31, 2025</w:t>
            </w:r>
            <w:r>
              <w:rPr>
                <w:rFonts w:ascii="Arial" w:cs="Arial" w:eastAsia="Arial" w:hAnsi="Arial"/>
                <w:sz w:val="11"/>
                <w:szCs w:val="11"/>
                <w:color w:val="auto"/>
                <w:w w:val="93"/>
              </w:rPr>
              <w:t>1</w:t>
            </w:r>
          </w:p>
        </w:tc>
        <w:tc>
          <w:tcPr>
            <w:tcW w:w="1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960" w:type="dxa"/>
            <w:vAlign w:val="bottom"/>
            <w:vMerge w:val="continue"/>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w:t>
            </w:r>
          </w:p>
        </w:tc>
        <w:tc>
          <w:tcPr>
            <w:tcW w:w="6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960" w:type="dxa"/>
            <w:vAlign w:val="bottom"/>
            <w:tcBorders>
              <w:bottom w:val="single" w:sz="8" w:color="E6E6E6"/>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0" w:type="dxa"/>
            <w:vAlign w:val="bottom"/>
            <w:tcBorders>
              <w:bottom w:val="single" w:sz="8" w:color="E6E6E6"/>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 w:type="dxa"/>
            <w:vAlign w:val="bottom"/>
            <w:tcBorders>
              <w:bottom w:val="single" w:sz="8" w:color="E6E6E6"/>
            </w:tcBorders>
          </w:tcPr>
          <w:p>
            <w:pPr>
              <w:spacing w:after="0"/>
              <w:rPr>
                <w:sz w:val="3"/>
                <w:szCs w:val="3"/>
                <w:color w:val="auto"/>
              </w:rPr>
            </w:pPr>
          </w:p>
        </w:tc>
        <w:tc>
          <w:tcPr>
            <w:tcW w:w="1300" w:type="dxa"/>
            <w:vAlign w:val="bottom"/>
            <w:tcBorders>
              <w:bottom w:val="single" w:sz="8" w:color="E6E6E6"/>
            </w:tcBorders>
          </w:tcPr>
          <w:p>
            <w:pPr>
              <w:spacing w:after="0"/>
              <w:rPr>
                <w:sz w:val="3"/>
                <w:szCs w:val="3"/>
                <w:color w:val="auto"/>
              </w:rPr>
            </w:pPr>
          </w:p>
        </w:tc>
        <w:tc>
          <w:tcPr>
            <w:tcW w:w="60" w:type="dxa"/>
            <w:vAlign w:val="bottom"/>
            <w:tcBorders>
              <w:bottom w:val="single" w:sz="8" w:color="E6E6E6"/>
            </w:tcBorders>
          </w:tcPr>
          <w:p>
            <w:pPr>
              <w:spacing w:after="0"/>
              <w:rPr>
                <w:sz w:val="3"/>
                <w:szCs w:val="3"/>
                <w:color w:val="auto"/>
              </w:rPr>
            </w:pPr>
          </w:p>
        </w:tc>
        <w:tc>
          <w:tcPr>
            <w:tcW w:w="200" w:type="dxa"/>
            <w:vAlign w:val="bottom"/>
            <w:tcBorders>
              <w:bottom w:val="single" w:sz="8" w:color="E6E6E6"/>
            </w:tcBorders>
          </w:tcPr>
          <w:p>
            <w:pPr>
              <w:spacing w:after="0"/>
              <w:rPr>
                <w:sz w:val="3"/>
                <w:szCs w:val="3"/>
                <w:color w:val="auto"/>
              </w:rPr>
            </w:pPr>
          </w:p>
        </w:tc>
        <w:tc>
          <w:tcPr>
            <w:tcW w:w="1100" w:type="dxa"/>
            <w:vAlign w:val="bottom"/>
            <w:tcBorders>
              <w:bottom w:val="single" w:sz="8" w:color="E6E6E6"/>
            </w:tcBorders>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3960" w:type="dxa"/>
            <w:vAlign w:val="bottom"/>
            <w:tcBorders>
              <w:top w:val="single" w:sz="8" w:color="E6E6E6"/>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Exercisable at December 31, 2025</w:t>
            </w:r>
          </w:p>
        </w:tc>
        <w:tc>
          <w:tcPr>
            <w:tcW w:w="13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150</w:t>
            </w: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22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19.14</w:t>
            </w: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1300" w:type="dxa"/>
            <w:vAlign w:val="bottom"/>
            <w:tcBorders>
              <w:top w:val="single" w:sz="8" w:color="E6E6E6"/>
              <w:bottom w:val="single" w:sz="8" w:color="E6E6E6"/>
            </w:tcBorders>
            <w:shd w:val="clear" w:color="auto" w:fill="E6E6E6"/>
          </w:tcPr>
          <w:p>
            <w:pPr>
              <w:spacing w:after="0"/>
              <w:rPr>
                <w:sz w:val="22"/>
                <w:szCs w:val="22"/>
                <w:color w:val="auto"/>
              </w:rPr>
            </w:pP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200" w:type="dxa"/>
            <w:vAlign w:val="bottom"/>
            <w:tcBorders>
              <w:top w:val="single" w:sz="8" w:color="E6E6E6"/>
              <w:bottom w:val="single" w:sz="8" w:color="E6E6E6"/>
            </w:tcBorders>
            <w:shd w:val="clear" w:color="auto" w:fill="E6E6E6"/>
          </w:tcPr>
          <w:p>
            <w:pPr>
              <w:spacing w:after="0"/>
              <w:rPr>
                <w:sz w:val="22"/>
                <w:szCs w:val="22"/>
                <w:color w:val="auto"/>
              </w:rPr>
            </w:pPr>
          </w:p>
        </w:tc>
        <w:tc>
          <w:tcPr>
            <w:tcW w:w="1100" w:type="dxa"/>
            <w:vAlign w:val="bottom"/>
            <w:tcBorders>
              <w:top w:val="single" w:sz="8" w:color="E6E6E6"/>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960" w:type="dxa"/>
            <w:vAlign w:val="bottom"/>
          </w:tcPr>
          <w:p>
            <w:pPr>
              <w:ind w:left="60"/>
              <w:spacing w:after="0"/>
              <w:rPr>
                <w:sz w:val="20"/>
                <w:szCs w:val="20"/>
                <w:color w:val="auto"/>
              </w:rPr>
            </w:pPr>
            <w:r>
              <w:rPr>
                <w:rFonts w:ascii="Arial" w:cs="Arial" w:eastAsia="Arial" w:hAnsi="Arial"/>
                <w:sz w:val="18"/>
                <w:szCs w:val="18"/>
                <w:color w:val="auto"/>
              </w:rPr>
              <w:t>Unrecognized compensation costs (in millions)</w:t>
            </w: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5"/>
        </w:trPr>
        <w:tc>
          <w:tcPr>
            <w:tcW w:w="39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3960" w:type="dxa"/>
            <w:vAlign w:val="bottom"/>
            <w:shd w:val="clear" w:color="auto" w:fill="E6E6E6"/>
          </w:tcPr>
          <w:p>
            <w:pPr>
              <w:ind w:left="60"/>
              <w:spacing w:after="0" w:line="182" w:lineRule="exact"/>
              <w:rPr>
                <w:sz w:val="20"/>
                <w:szCs w:val="20"/>
                <w:color w:val="auto"/>
              </w:rPr>
            </w:pPr>
            <w:r>
              <w:rPr>
                <w:rFonts w:ascii="Arial" w:cs="Arial" w:eastAsia="Arial" w:hAnsi="Arial"/>
                <w:sz w:val="18"/>
                <w:szCs w:val="18"/>
                <w:color w:val="auto"/>
                <w:w w:val="96"/>
              </w:rPr>
              <w:t>To be recognized over weighted-average period of</w:t>
            </w:r>
          </w:p>
        </w:tc>
        <w:tc>
          <w:tcPr>
            <w:tcW w:w="130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11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E6E6E6"/>
          </w:tcPr>
          <w:p>
            <w:pPr>
              <w:spacing w:after="0"/>
              <w:rPr>
                <w:sz w:val="15"/>
                <w:szCs w:val="15"/>
                <w:color w:val="auto"/>
              </w:rPr>
            </w:pPr>
          </w:p>
        </w:tc>
        <w:tc>
          <w:tcPr>
            <w:tcW w:w="130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1100" w:type="dxa"/>
            <w:vAlign w:val="bottom"/>
            <w:vMerge w:val="restart"/>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44"/>
        </w:trPr>
        <w:tc>
          <w:tcPr>
            <w:tcW w:w="3960" w:type="dxa"/>
            <w:vAlign w:val="bottom"/>
            <w:vMerge w:val="restart"/>
            <w:shd w:val="clear" w:color="auto" w:fill="E6E6E6"/>
          </w:tcPr>
          <w:p>
            <w:pPr>
              <w:ind w:left="60"/>
              <w:spacing w:after="0"/>
              <w:rPr>
                <w:sz w:val="20"/>
                <w:szCs w:val="20"/>
                <w:color w:val="auto"/>
              </w:rPr>
            </w:pPr>
            <w:r>
              <w:rPr>
                <w:rFonts w:ascii="Arial" w:cs="Arial" w:eastAsia="Arial" w:hAnsi="Arial"/>
                <w:sz w:val="18"/>
                <w:szCs w:val="18"/>
                <w:color w:val="auto"/>
              </w:rPr>
              <w:t>years</w:t>
            </w:r>
          </w:p>
        </w:tc>
        <w:tc>
          <w:tcPr>
            <w:tcW w:w="1300" w:type="dxa"/>
            <w:vAlign w:val="bottom"/>
            <w:shd w:val="clear" w:color="auto" w:fill="E6E6E6"/>
          </w:tcPr>
          <w:p>
            <w:pPr>
              <w:spacing w:after="0"/>
              <w:rPr>
                <w:sz w:val="12"/>
                <w:szCs w:val="12"/>
                <w:color w:val="auto"/>
              </w:rPr>
            </w:pPr>
          </w:p>
        </w:tc>
        <w:tc>
          <w:tcPr>
            <w:tcW w:w="60" w:type="dxa"/>
            <w:vAlign w:val="bottom"/>
            <w:shd w:val="clear" w:color="auto" w:fill="E6E6E6"/>
          </w:tcPr>
          <w:p>
            <w:pPr>
              <w:spacing w:after="0"/>
              <w:rPr>
                <w:sz w:val="12"/>
                <w:szCs w:val="12"/>
                <w:color w:val="auto"/>
              </w:rPr>
            </w:pPr>
          </w:p>
        </w:tc>
        <w:tc>
          <w:tcPr>
            <w:tcW w:w="220" w:type="dxa"/>
            <w:vAlign w:val="bottom"/>
            <w:shd w:val="clear" w:color="auto" w:fill="E6E6E6"/>
          </w:tcPr>
          <w:p>
            <w:pPr>
              <w:spacing w:after="0"/>
              <w:rPr>
                <w:sz w:val="12"/>
                <w:szCs w:val="12"/>
                <w:color w:val="auto"/>
              </w:rPr>
            </w:pPr>
          </w:p>
        </w:tc>
        <w:tc>
          <w:tcPr>
            <w:tcW w:w="1100" w:type="dxa"/>
            <w:vAlign w:val="bottom"/>
            <w:vMerge w:val="continue"/>
            <w:shd w:val="clear" w:color="auto" w:fill="E6E6E6"/>
          </w:tcPr>
          <w:p>
            <w:pPr>
              <w:spacing w:after="0"/>
              <w:rPr>
                <w:sz w:val="12"/>
                <w:szCs w:val="12"/>
                <w:color w:val="auto"/>
              </w:rPr>
            </w:pPr>
          </w:p>
        </w:tc>
        <w:tc>
          <w:tcPr>
            <w:tcW w:w="60" w:type="dxa"/>
            <w:vAlign w:val="bottom"/>
            <w:shd w:val="clear" w:color="auto" w:fill="E6E6E6"/>
          </w:tcPr>
          <w:p>
            <w:pPr>
              <w:spacing w:after="0"/>
              <w:rPr>
                <w:sz w:val="12"/>
                <w:szCs w:val="12"/>
                <w:color w:val="auto"/>
              </w:rPr>
            </w:pPr>
          </w:p>
        </w:tc>
        <w:tc>
          <w:tcPr>
            <w:tcW w:w="1300" w:type="dxa"/>
            <w:vAlign w:val="bottom"/>
            <w:shd w:val="clear" w:color="auto" w:fill="E6E6E6"/>
          </w:tcPr>
          <w:p>
            <w:pPr>
              <w:spacing w:after="0"/>
              <w:rPr>
                <w:sz w:val="12"/>
                <w:szCs w:val="12"/>
                <w:color w:val="auto"/>
              </w:rPr>
            </w:pPr>
          </w:p>
        </w:tc>
        <w:tc>
          <w:tcPr>
            <w:tcW w:w="60" w:type="dxa"/>
            <w:vAlign w:val="bottom"/>
            <w:shd w:val="clear" w:color="auto" w:fill="E6E6E6"/>
          </w:tcPr>
          <w:p>
            <w:pPr>
              <w:spacing w:after="0"/>
              <w:rPr>
                <w:sz w:val="12"/>
                <w:szCs w:val="12"/>
                <w:color w:val="auto"/>
              </w:rPr>
            </w:pPr>
          </w:p>
        </w:tc>
        <w:tc>
          <w:tcPr>
            <w:tcW w:w="200" w:type="dxa"/>
            <w:vAlign w:val="bottom"/>
            <w:shd w:val="clear" w:color="auto" w:fill="E6E6E6"/>
          </w:tcPr>
          <w:p>
            <w:pPr>
              <w:spacing w:after="0"/>
              <w:rPr>
                <w:sz w:val="12"/>
                <w:szCs w:val="12"/>
                <w:color w:val="auto"/>
              </w:rPr>
            </w:pPr>
          </w:p>
        </w:tc>
        <w:tc>
          <w:tcPr>
            <w:tcW w:w="1100" w:type="dxa"/>
            <w:vAlign w:val="bottom"/>
            <w:vMerge w:val="continue"/>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960" w:type="dxa"/>
            <w:vAlign w:val="bottom"/>
            <w:tcBorders>
              <w:bottom w:val="single" w:sz="8" w:color="E6E6E6"/>
            </w:tcBorders>
            <w:vMerge w:val="continue"/>
            <w:shd w:val="clear" w:color="auto" w:fill="E6E6E6"/>
          </w:tcPr>
          <w:p>
            <w:pPr>
              <w:spacing w:after="0"/>
              <w:rPr>
                <w:sz w:val="10"/>
                <w:szCs w:val="10"/>
                <w:color w:val="auto"/>
              </w:rPr>
            </w:pPr>
          </w:p>
        </w:tc>
        <w:tc>
          <w:tcPr>
            <w:tcW w:w="1300" w:type="dxa"/>
            <w:vAlign w:val="bottom"/>
            <w:tcBorders>
              <w:bottom w:val="single" w:sz="8" w:color="E6E6E6"/>
            </w:tcBorders>
            <w:shd w:val="clear" w:color="auto" w:fill="E6E6E6"/>
          </w:tcPr>
          <w:p>
            <w:pPr>
              <w:spacing w:after="0"/>
              <w:rPr>
                <w:sz w:val="10"/>
                <w:szCs w:val="10"/>
                <w:color w:val="auto"/>
              </w:rPr>
            </w:pPr>
          </w:p>
        </w:tc>
        <w:tc>
          <w:tcPr>
            <w:tcW w:w="60" w:type="dxa"/>
            <w:vAlign w:val="bottom"/>
            <w:tcBorders>
              <w:bottom w:val="single" w:sz="8" w:color="E6E6E6"/>
            </w:tcBorders>
            <w:shd w:val="clear" w:color="auto" w:fill="E6E6E6"/>
          </w:tcPr>
          <w:p>
            <w:pPr>
              <w:spacing w:after="0"/>
              <w:rPr>
                <w:sz w:val="10"/>
                <w:szCs w:val="10"/>
                <w:color w:val="auto"/>
              </w:rPr>
            </w:pPr>
          </w:p>
        </w:tc>
        <w:tc>
          <w:tcPr>
            <w:tcW w:w="220" w:type="dxa"/>
            <w:vAlign w:val="bottom"/>
            <w:tcBorders>
              <w:bottom w:val="single" w:sz="8" w:color="auto"/>
            </w:tcBorders>
            <w:shd w:val="clear" w:color="auto" w:fill="E6E6E6"/>
          </w:tcPr>
          <w:p>
            <w:pPr>
              <w:spacing w:after="0"/>
              <w:rPr>
                <w:sz w:val="10"/>
                <w:szCs w:val="10"/>
                <w:color w:val="auto"/>
              </w:rPr>
            </w:pPr>
          </w:p>
        </w:tc>
        <w:tc>
          <w:tcPr>
            <w:tcW w:w="1100" w:type="dxa"/>
            <w:vAlign w:val="bottom"/>
            <w:tcBorders>
              <w:bottom w:val="single" w:sz="8" w:color="auto"/>
            </w:tcBorders>
            <w:shd w:val="clear" w:color="auto" w:fill="E6E6E6"/>
          </w:tcPr>
          <w:p>
            <w:pPr>
              <w:spacing w:after="0"/>
              <w:rPr>
                <w:sz w:val="10"/>
                <w:szCs w:val="10"/>
                <w:color w:val="auto"/>
              </w:rPr>
            </w:pPr>
          </w:p>
        </w:tc>
        <w:tc>
          <w:tcPr>
            <w:tcW w:w="60" w:type="dxa"/>
            <w:vAlign w:val="bottom"/>
            <w:tcBorders>
              <w:bottom w:val="single" w:sz="8" w:color="E6E6E6"/>
            </w:tcBorders>
            <w:shd w:val="clear" w:color="auto" w:fill="E6E6E6"/>
          </w:tcPr>
          <w:p>
            <w:pPr>
              <w:spacing w:after="0"/>
              <w:rPr>
                <w:sz w:val="10"/>
                <w:szCs w:val="10"/>
                <w:color w:val="auto"/>
              </w:rPr>
            </w:pPr>
          </w:p>
        </w:tc>
        <w:tc>
          <w:tcPr>
            <w:tcW w:w="1300" w:type="dxa"/>
            <w:vAlign w:val="bottom"/>
            <w:tcBorders>
              <w:bottom w:val="single" w:sz="8" w:color="E6E6E6"/>
            </w:tcBorders>
            <w:shd w:val="clear" w:color="auto" w:fill="E6E6E6"/>
          </w:tcPr>
          <w:p>
            <w:pPr>
              <w:spacing w:after="0"/>
              <w:rPr>
                <w:sz w:val="10"/>
                <w:szCs w:val="10"/>
                <w:color w:val="auto"/>
              </w:rPr>
            </w:pPr>
          </w:p>
        </w:tc>
        <w:tc>
          <w:tcPr>
            <w:tcW w:w="60" w:type="dxa"/>
            <w:vAlign w:val="bottom"/>
            <w:tcBorders>
              <w:bottom w:val="single" w:sz="8" w:color="E6E6E6"/>
            </w:tcBorders>
            <w:shd w:val="clear" w:color="auto" w:fill="E6E6E6"/>
          </w:tcPr>
          <w:p>
            <w:pPr>
              <w:spacing w:after="0"/>
              <w:rPr>
                <w:sz w:val="10"/>
                <w:szCs w:val="10"/>
                <w:color w:val="auto"/>
              </w:rPr>
            </w:pPr>
          </w:p>
        </w:tc>
        <w:tc>
          <w:tcPr>
            <w:tcW w:w="200" w:type="dxa"/>
            <w:vAlign w:val="bottom"/>
            <w:tcBorders>
              <w:bottom w:val="single" w:sz="8" w:color="auto"/>
            </w:tcBorders>
            <w:shd w:val="clear" w:color="auto" w:fill="E6E6E6"/>
          </w:tcPr>
          <w:p>
            <w:pPr>
              <w:spacing w:after="0"/>
              <w:rPr>
                <w:sz w:val="10"/>
                <w:szCs w:val="10"/>
                <w:color w:val="auto"/>
              </w:rPr>
            </w:pPr>
          </w:p>
        </w:tc>
        <w:tc>
          <w:tcPr>
            <w:tcW w:w="1100" w:type="dxa"/>
            <w:vAlign w:val="bottom"/>
            <w:tcBorders>
              <w:bottom w:val="single" w:sz="8" w:color="auto"/>
            </w:tcBorders>
            <w:shd w:val="clear" w:color="auto" w:fill="E6E6E6"/>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-1831340</wp:posOffset>
            </wp:positionV>
            <wp:extent cx="345440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02">
                      <a:extLst>
                        <a:ext uri="{28A0092B-C50C-407E-A947-70E740481C1C}"/>
                      </a:extLst>
                    </a:blip>
                    <a:srcRect/>
                    <a:stretch>
                      <a:fillRect/>
                    </a:stretch>
                  </pic:blipFill>
                  <pic:spPr bwMode="auto">
                    <a:xfrm>
                      <a:off x="0" y="0"/>
                      <a:ext cx="3454400" cy="25400"/>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-1069340</wp:posOffset>
            </wp:positionV>
            <wp:extent cx="3454400"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03">
                      <a:extLst>
                        <a:ext uri="{28A0092B-C50C-407E-A947-70E740481C1C}"/>
                      </a:extLst>
                    </a:blip>
                    <a:srcRect/>
                    <a:stretch>
                      <a:fillRect/>
                    </a:stretch>
                  </pic:blipFill>
                  <pic:spPr bwMode="auto">
                    <a:xfrm>
                      <a:off x="0" y="0"/>
                      <a:ext cx="3454400" cy="25400"/>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-891540</wp:posOffset>
            </wp:positionV>
            <wp:extent cx="345440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04">
                      <a:extLst>
                        <a:ext uri="{28A0092B-C50C-407E-A947-70E740481C1C}"/>
                      </a:extLst>
                    </a:blip>
                    <a:srcRect/>
                    <a:stretch>
                      <a:fillRect/>
                    </a:stretch>
                  </pic:blipFill>
                  <pic:spPr bwMode="auto">
                    <a:xfrm>
                      <a:off x="0" y="0"/>
                      <a:ext cx="3454400" cy="25400"/>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-675640</wp:posOffset>
            </wp:positionV>
            <wp:extent cx="1720850"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05">
                      <a:extLst>
                        <a:ext uri="{28A0092B-C50C-407E-A947-70E740481C1C}"/>
                      </a:extLst>
                    </a:blip>
                    <a:srcRect/>
                    <a:stretch>
                      <a:fillRect/>
                    </a:stretch>
                  </pic:blipFill>
                  <pic:spPr bwMode="auto">
                    <a:xfrm>
                      <a:off x="0" y="0"/>
                      <a:ext cx="1720850" cy="25400"/>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-510540</wp:posOffset>
            </wp:positionV>
            <wp:extent cx="1720850" cy="508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06">
                      <a:extLst>
                        <a:ext uri="{28A0092B-C50C-407E-A947-70E740481C1C}"/>
                      </a:extLst>
                    </a:blip>
                    <a:srcRect/>
                    <a:stretch>
                      <a:fillRect/>
                    </a:stretch>
                  </pic:blipFill>
                  <pic:spPr bwMode="auto">
                    <a:xfrm>
                      <a:off x="0" y="0"/>
                      <a:ext cx="1720850" cy="5080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-43815</wp:posOffset>
            </wp:positionV>
            <wp:extent cx="85407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07">
                      <a:extLst>
                        <a:ext uri="{28A0092B-C50C-407E-A947-70E740481C1C}"/>
                      </a:extLst>
                    </a:blip>
                    <a:srcRect/>
                    <a:stretch>
                      <a:fillRect/>
                    </a:stretch>
                  </pic:blipFill>
                  <pic:spPr bwMode="auto">
                    <a:xfrm>
                      <a:off x="0" y="0"/>
                      <a:ext cx="854075" cy="25400"/>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-43815</wp:posOffset>
            </wp:positionV>
            <wp:extent cx="85407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08">
                      <a:extLst>
                        <a:ext uri="{28A0092B-C50C-407E-A947-70E740481C1C}"/>
                      </a:extLst>
                    </a:blip>
                    <a:srcRect/>
                    <a:stretch>
                      <a:fillRect/>
                    </a:stretch>
                  </pic:blipFill>
                  <pic:spPr bwMode="auto">
                    <a:xfrm>
                      <a:off x="0" y="0"/>
                      <a:ext cx="854075" cy="25400"/>
                    </a:xfrm>
                    <a:prstGeom prst="rect">
                      <a:avLst/>
                    </a:prstGeom>
                    <a:noFill/>
                  </pic:spPr>
                </pic:pic>
              </a:graphicData>
            </a:graphic>
          </wp:anchor>
        </w:drawing>
      </w:r>
    </w:p>
    <w:p>
      <w:pPr>
        <w:ind w:left="100" w:hanging="100"/>
        <w:spacing w:after="0"/>
        <w:tabs>
          <w:tab w:leader="none" w:pos="100" w:val="left"/>
        </w:tabs>
        <w:numPr>
          <w:ilvl w:val="0"/>
          <w:numId w:val="21"/>
        </w:numPr>
        <w:rPr>
          <w:rFonts w:ascii="Arial" w:cs="Arial" w:eastAsia="Arial" w:hAnsi="Arial"/>
          <w:sz w:val="10"/>
          <w:szCs w:val="10"/>
          <w:color w:val="auto"/>
        </w:rPr>
      </w:pPr>
      <w:r>
        <w:rPr>
          <w:rFonts w:ascii="Arial" w:cs="Arial" w:eastAsia="Arial" w:hAnsi="Arial"/>
          <w:sz w:val="16"/>
          <w:szCs w:val="16"/>
          <w:color w:val="auto"/>
        </w:rPr>
        <w:t>Expected to vest based upon historical forfeiture rate.</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July 2025, LP modified the performance vesting criteria of approximately 101,000 outstanding PSU awards that were granted in 2023. The modification relating to the 2023 PSU awards was considered a Type III modification under Accounting for Share-Based Payments (FASB ASC Topic 718) because it changed the expectation from improbable to probable that the awards would ultimately vest, in which the original awards were cancelled, and the modified awards were considered granted on the modification date. Stock-based compensation expense related to these modified awards will be recognized over the remaining vesting period based on the expected number of awards to vest using fair values per share of $92.30. Stock-based compensation expense related to the 2023 PSU modification was $7 million for the year ended December 31, 2025.</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aggregate intrinsic value of the stock options and SSARs is the total pre-tax intrinsic value (the difference between our closing stock price on the last trading day of a fiscal year and the exercise price, multiplied by the number of in-the-money options and SSARs) that would have been received by the holders had all holders exercised their awards on the last day of such fiscal year. This amount changes based on the market value of our stock, as reported by the New York Stock Exchange. The intrinsic value of SSARs and stock options exercised in the years ended December 31, 2025, 2024, and 2023 was $0 million, $13 million, and $3 million, respectively.</w:t>
      </w:r>
    </w:p>
    <w:p>
      <w:pPr>
        <w:spacing w:after="0" w:line="59"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total fair value of awards vested during the years ended December 31, 2025, 2024, and 2023, was $17 million, $19 million, and $31 million, respectively.</w:t>
      </w:r>
    </w:p>
    <w:p>
      <w:pPr>
        <w:sectPr>
          <w:pgSz w:w="11880" w:h="15480" w:orient="portrait"/>
          <w:cols w:equalWidth="0" w:num="1">
            <w:col w:w="9360"/>
          </w:cols>
          <w:pgMar w:left="1260" w:top="1194"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9360"/>
          </w:cols>
          <w:pgMar w:left="1260" w:top="1194" w:right="1260" w:bottom="225" w:gutter="0" w:footer="0" w:header="0"/>
          <w:type w:val="continuous"/>
        </w:sectPr>
      </w:pPr>
    </w:p>
    <w:bookmarkStart w:id="88" w:name="page89"/>
    <w:bookmarkEnd w:id="88"/>
    <w:p>
      <w:pPr>
        <w:spacing w:after="0"/>
        <w:rPr>
          <w:sz w:val="20"/>
          <w:szCs w:val="20"/>
          <w:color w:val="auto"/>
        </w:rPr>
      </w:pPr>
      <w:r>
        <w:rPr>
          <w:rFonts w:ascii="Arial" w:cs="Arial" w:eastAsia="Arial" w:hAnsi="Arial"/>
          <w:sz w:val="20"/>
          <w:szCs w:val="20"/>
          <w:b w:val="1"/>
          <w:bCs w:val="1"/>
          <w:color w:val="auto"/>
        </w:rPr>
        <w:t>Share Repurchases</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On May 7, 2024, LP’s Board of Directors authorized the 2024 Share Repurchase Program under which we may repurchase shares of LP common stock totaling up to $250 million.</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During 2025, we paid $61 million to repurchase approximately 1 million shares of our common stock through market purchases at an average price of $108.55 per share. During 2024, we paid $212 million to repurchase approximately 2 million shares of our common stock through market purchases at an average price of $87.98 per share.</w:t>
      </w:r>
    </w:p>
    <w:p>
      <w:pPr>
        <w:spacing w:after="0" w:line="80"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We had an aggregate of $177 million of repurchase authorization remaining under the 2024 Share Repurchase Program as of December 31, 2025.</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Stock Purchase Plan</w:t>
      </w:r>
    </w:p>
    <w:p>
      <w:pPr>
        <w:spacing w:after="0" w:line="13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employee stock purchase plan (ESPP) provides our participating employees an opportunity to obtain shares of our common stock at a discount (through payroll deductions over six-month periods). At December 31, 2025, approximately 1 million shares of common stock were reserved for issuance under the ESPP.</w:t>
      </w:r>
    </w:p>
    <w:p>
      <w:pPr>
        <w:spacing w:after="0" w:line="169" w:lineRule="exact"/>
        <w:rPr>
          <w:sz w:val="20"/>
          <w:szCs w:val="20"/>
          <w:color w:val="auto"/>
        </w:rPr>
      </w:pPr>
    </w:p>
    <w:p>
      <w:pPr>
        <w:ind w:left="720" w:hanging="720"/>
        <w:spacing w:after="0"/>
        <w:tabs>
          <w:tab w:leader="none" w:pos="7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OTHER OPERATING AND NON-OPERATING INCOME (EXPENSE)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operating credits and charges, net</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major components of other operating credits and charges, net in the Consolidated Statements of Income for the years ended December 31, 2025, 2024, and 2023 are reflected in the table below and described in the paragraphs following the table (dollar amounts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94"/>
              </w:rPr>
              <w:t>Year Ended December 31,</w:t>
            </w:r>
          </w:p>
        </w:tc>
        <w:tc>
          <w:tcPr>
            <w:tcW w:w="920" w:type="dxa"/>
            <w:vAlign w:val="bottom"/>
            <w:tcBorders>
              <w:bottom w:val="single" w:sz="8" w:color="auto"/>
            </w:tcBorders>
          </w:tcPr>
          <w:p>
            <w:pPr>
              <w:spacing w:after="0"/>
              <w:rPr>
                <w:sz w:val="21"/>
                <w:szCs w:val="21"/>
                <w:color w:val="auto"/>
              </w:rPr>
            </w:pPr>
          </w:p>
        </w:tc>
      </w:tr>
      <w:tr>
        <w:trPr>
          <w:trHeight w:val="247"/>
        </w:trPr>
        <w:tc>
          <w:tcPr>
            <w:tcW w:w="53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33"/>
        </w:trPr>
        <w:tc>
          <w:tcPr>
            <w:tcW w:w="5300" w:type="dxa"/>
            <w:vAlign w:val="bottom"/>
            <w:tcBorders>
              <w:bottom w:val="single" w:sz="8" w:color="E6E6E6"/>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Legal settlement</w:t>
            </w:r>
          </w:p>
        </w:tc>
        <w:tc>
          <w:tcPr>
            <w:tcW w:w="920" w:type="dxa"/>
            <w:vAlign w:val="bottom"/>
            <w:tcBorders>
              <w:bottom w:val="single" w:sz="8" w:color="E6E6E6"/>
            </w:tcBorders>
            <w:shd w:val="clear" w:color="auto" w:fill="E6E6E6"/>
          </w:tcPr>
          <w:p>
            <w:pPr>
              <w:jc w:val="right"/>
              <w:ind w:right="6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6E6E6"/>
            </w:tcBorders>
            <w:gridSpan w:val="2"/>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E6E6E6"/>
            </w:tcBorders>
            <w:gridSpan w:val="2"/>
            <w:shd w:val="clear" w:color="auto" w:fill="E6E6E6"/>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(16)</w:t>
            </w: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Reorganization charges</w:t>
            </w:r>
          </w:p>
        </w:tc>
        <w:tc>
          <w:tcPr>
            <w:tcW w:w="9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2"/>
        </w:trPr>
        <w:tc>
          <w:tcPr>
            <w:tcW w:w="5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Product-line discontinuance charges</w:t>
            </w:r>
          </w:p>
        </w:tc>
        <w:tc>
          <w:tcPr>
            <w:tcW w:w="92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Gain (loss) on asset sales</w:t>
            </w:r>
          </w:p>
        </w:tc>
        <w:tc>
          <w:tcPr>
            <w:tcW w:w="9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2"/>
        </w:trPr>
        <w:tc>
          <w:tcPr>
            <w:tcW w:w="5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5"/>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r>
      <w:tr>
        <w:trPr>
          <w:trHeight w:val="260"/>
        </w:trPr>
        <w:tc>
          <w:tcPr>
            <w:tcW w:w="5300" w:type="dxa"/>
            <w:vAlign w:val="bottom"/>
            <w:tcBorders>
              <w:top w:val="single" w:sz="8" w:color="E6E6E6"/>
            </w:tcBorders>
          </w:tcPr>
          <w:p>
            <w:pPr>
              <w:ind w:left="180"/>
              <w:spacing w:after="0"/>
              <w:rPr>
                <w:sz w:val="20"/>
                <w:szCs w:val="20"/>
                <w:color w:val="auto"/>
              </w:rPr>
            </w:pPr>
            <w:r>
              <w:rPr>
                <w:rFonts w:ascii="Arial" w:cs="Arial" w:eastAsia="Arial" w:hAnsi="Arial"/>
                <w:sz w:val="18"/>
                <w:szCs w:val="18"/>
                <w:b w:val="1"/>
                <w:bCs w:val="1"/>
                <w:color w:val="auto"/>
              </w:rPr>
              <w:t>Other operating credits and charges, net</w:t>
            </w:r>
          </w:p>
        </w:tc>
        <w:tc>
          <w:tcPr>
            <w:tcW w:w="9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80" w:type="dxa"/>
            <w:vAlign w:val="bottom"/>
            <w:tcBorders>
              <w:top w:val="single" w:sz="8" w:color="E6E6E6"/>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Borders>
              <w:top w:val="single" w:sz="8" w:color="E6E6E6"/>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r>
      <w:tr>
        <w:trPr>
          <w:trHeight w:val="20"/>
        </w:trPr>
        <w:tc>
          <w:tcPr>
            <w:tcW w:w="5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-1364615</wp:posOffset>
            </wp:positionV>
            <wp:extent cx="260667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09">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-1174115</wp:posOffset>
            </wp:positionV>
            <wp:extent cx="260667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10">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-221615</wp:posOffset>
            </wp:positionV>
            <wp:extent cx="260667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11">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-43815</wp:posOffset>
            </wp:positionV>
            <wp:extent cx="2606675" cy="508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12">
                      <a:extLst>
                        <a:ext uri="{28A0092B-C50C-407E-A947-70E740481C1C}"/>
                      </a:extLst>
                    </a:blip>
                    <a:srcRect/>
                    <a:stretch>
                      <a:fillRect/>
                    </a:stretch>
                  </pic:blipFill>
                  <pic:spPr bwMode="auto">
                    <a:xfrm>
                      <a:off x="0" y="0"/>
                      <a:ext cx="2606675" cy="50800"/>
                    </a:xfrm>
                    <a:prstGeom prst="rect">
                      <a:avLst/>
                    </a:prstGeom>
                    <a:noFill/>
                  </pic:spPr>
                </pic:pic>
              </a:graphicData>
            </a:graphic>
          </wp:anchor>
        </w:drawing>
      </w:r>
    </w:p>
    <w:p>
      <w:pPr>
        <w:spacing w:after="0" w:line="10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During 2025, we paid $6 million related to certain reorganizations, including severances, and recognized $2 million of product-line discontinuance charges related to inventory we are no longer planning to sell.</w:t>
      </w:r>
    </w:p>
    <w:p>
      <w:pPr>
        <w:spacing w:after="0" w:line="5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During 2024, we received $3 million related to legal settlements, incurred severance and other charges of $2 million related to certain reorganizations, and recognized a $2 million loss on the sales of assets.</w:t>
      </w:r>
    </w:p>
    <w:p>
      <w:pPr>
        <w:spacing w:after="0" w:line="5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During 2023, we agreed to pay $16 million to resolve certain patent-related claims and to obtain certain patent rights. We incurred severance and other charges of $8 million related to certain reorganizations and recognized a $6 million gain on the sale of assets.</w:t>
      </w:r>
    </w:p>
    <w:p>
      <w:pPr>
        <w:sectPr>
          <w:pgSz w:w="11880" w:h="15480" w:orient="portrait"/>
          <w:cols w:equalWidth="0" w:num="1">
            <w:col w:w="9360"/>
          </w:cols>
          <w:pgMar w:left="1260" w:top="1190" w:right="1260" w:bottom="2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9360"/>
          </w:cols>
          <w:pgMar w:left="1260" w:top="1190" w:right="1260" w:bottom="204" w:gutter="0" w:footer="0" w:header="0"/>
          <w:type w:val="continuous"/>
        </w:sectPr>
      </w:pPr>
    </w:p>
    <w:bookmarkStart w:id="89" w:name="page90"/>
    <w:bookmarkEnd w:id="89"/>
    <w:p>
      <w:pPr>
        <w:spacing w:after="0"/>
        <w:rPr>
          <w:sz w:val="20"/>
          <w:szCs w:val="20"/>
          <w:color w:val="auto"/>
        </w:rPr>
      </w:pPr>
      <w:r>
        <w:rPr>
          <w:rFonts w:ascii="Arial" w:cs="Arial" w:eastAsia="Arial" w:hAnsi="Arial"/>
          <w:sz w:val="20"/>
          <w:szCs w:val="20"/>
          <w:b w:val="1"/>
          <w:bCs w:val="1"/>
          <w:color w:val="auto"/>
        </w:rPr>
        <w:t>Non-operating income (expense)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Non-operating income (expense) is comprised of the following components (dollar amounts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10"/>
          </w:tcPr>
          <w:p>
            <w:pPr>
              <w:jc w:val="right"/>
              <w:ind w:right="10"/>
              <w:spacing w:after="0"/>
              <w:rPr>
                <w:sz w:val="20"/>
                <w:szCs w:val="20"/>
                <w:color w:val="auto"/>
              </w:rPr>
            </w:pPr>
            <w:r>
              <w:rPr>
                <w:rFonts w:ascii="Arial" w:cs="Arial" w:eastAsia="Arial" w:hAnsi="Arial"/>
                <w:sz w:val="18"/>
                <w:szCs w:val="18"/>
                <w:b w:val="1"/>
                <w:bCs w:val="1"/>
                <w:color w:val="auto"/>
                <w:w w:val="95"/>
              </w:rPr>
              <w:t>Year Ended December 31,</w:t>
            </w:r>
          </w:p>
        </w:tc>
        <w:tc>
          <w:tcPr>
            <w:tcW w:w="920" w:type="dxa"/>
            <w:vAlign w:val="bottom"/>
            <w:tcBorders>
              <w:bottom w:val="single" w:sz="8" w:color="auto"/>
            </w:tcBorders>
          </w:tcPr>
          <w:p>
            <w:pPr>
              <w:spacing w:after="0"/>
              <w:rPr>
                <w:sz w:val="21"/>
                <w:szCs w:val="21"/>
                <w:color w:val="auto"/>
              </w:rPr>
            </w:pPr>
          </w:p>
        </w:tc>
      </w:tr>
      <w:tr>
        <w:trPr>
          <w:trHeight w:val="247"/>
        </w:trPr>
        <w:tc>
          <w:tcPr>
            <w:tcW w:w="5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33"/>
        </w:trPr>
        <w:tc>
          <w:tcPr>
            <w:tcW w:w="530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Interest expense</w:t>
            </w:r>
          </w:p>
        </w:tc>
        <w:tc>
          <w:tcPr>
            <w:tcW w:w="900" w:type="dxa"/>
            <w:vAlign w:val="bottom"/>
            <w:tcBorders>
              <w:bottom w:val="single" w:sz="8" w:color="E6E6E6"/>
            </w:tcBorders>
            <w:shd w:val="clear" w:color="auto" w:fill="E6E6E6"/>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E6E6E6"/>
            </w:tcBorders>
            <w:gridSpan w:val="4"/>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E6E6E6"/>
            </w:tcBorders>
            <w:gridSpan w:val="4"/>
            <w:shd w:val="clear" w:color="auto" w:fill="E6E6E6"/>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(17)</w:t>
            </w: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Amortization of debt charges</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
        </w:trPr>
        <w:tc>
          <w:tcPr>
            <w:tcW w:w="5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5"/>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Capitalized interest</w:t>
            </w: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w:t>
            </w:r>
          </w:p>
        </w:tc>
      </w:tr>
      <w:tr>
        <w:trPr>
          <w:trHeight w:val="300"/>
        </w:trPr>
        <w:tc>
          <w:tcPr>
            <w:tcW w:w="5300" w:type="dxa"/>
            <w:vAlign w:val="bottom"/>
            <w:tcBorders>
              <w:top w:val="single" w:sz="8" w:color="E6E6E6"/>
              <w:bottom w:val="single" w:sz="8" w:color="E6E6E6"/>
            </w:tcBorders>
          </w:tcPr>
          <w:p>
            <w:pPr>
              <w:ind w:left="420"/>
              <w:spacing w:after="0"/>
              <w:rPr>
                <w:sz w:val="20"/>
                <w:szCs w:val="20"/>
                <w:color w:val="auto"/>
              </w:rPr>
            </w:pPr>
            <w:r>
              <w:rPr>
                <w:rFonts w:ascii="Arial" w:cs="Arial" w:eastAsia="Arial" w:hAnsi="Arial"/>
                <w:sz w:val="18"/>
                <w:szCs w:val="18"/>
                <w:b w:val="1"/>
                <w:bCs w:val="1"/>
                <w:color w:val="auto"/>
              </w:rPr>
              <w:t>Interest expense, net of capitalized interest</w:t>
            </w:r>
          </w:p>
        </w:tc>
        <w:tc>
          <w:tcPr>
            <w:tcW w:w="90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top w:val="single" w:sz="8" w:color="E6E6E6"/>
              <w:bottom w:val="single" w:sz="8" w:color="E6E6E6"/>
            </w:tcBorders>
            <w:gridSpan w:val="2"/>
          </w:tcPr>
          <w:p>
            <w:pPr>
              <w:spacing w:after="0"/>
              <w:rPr>
                <w:sz w:val="24"/>
                <w:szCs w:val="24"/>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top w:val="single" w:sz="8" w:color="E6E6E6"/>
              <w:bottom w:val="single" w:sz="8" w:color="E6E6E6"/>
            </w:tcBorders>
            <w:gridSpan w:val="2"/>
          </w:tcPr>
          <w:p>
            <w:pPr>
              <w:spacing w:after="0"/>
              <w:rPr>
                <w:sz w:val="24"/>
                <w:szCs w:val="24"/>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r>
      <w:tr>
        <w:trPr>
          <w:trHeight w:val="270"/>
        </w:trPr>
        <w:tc>
          <w:tcPr>
            <w:tcW w:w="5300" w:type="dxa"/>
            <w:vAlign w:val="bottom"/>
            <w:shd w:val="clear" w:color="auto" w:fill="E6E6E6"/>
          </w:tcPr>
          <w:p>
            <w:pPr>
              <w:spacing w:after="0"/>
              <w:rPr>
                <w:sz w:val="23"/>
                <w:szCs w:val="23"/>
                <w:color w:val="auto"/>
              </w:rPr>
            </w:pPr>
          </w:p>
        </w:tc>
        <w:tc>
          <w:tcPr>
            <w:tcW w:w="900" w:type="dxa"/>
            <w:vAlign w:val="bottom"/>
            <w:shd w:val="clear" w:color="auto" w:fill="E6E6E6"/>
          </w:tcPr>
          <w:p>
            <w:pPr>
              <w:spacing w:after="0"/>
              <w:rPr>
                <w:sz w:val="23"/>
                <w:szCs w:val="23"/>
                <w:color w:val="auto"/>
              </w:rPr>
            </w:pPr>
          </w:p>
        </w:tc>
        <w:tc>
          <w:tcPr>
            <w:tcW w:w="4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10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920" w:type="dxa"/>
            <w:vAlign w:val="bottom"/>
            <w:shd w:val="clear" w:color="auto" w:fill="E6E6E6"/>
          </w:tcPr>
          <w:p>
            <w:pPr>
              <w:spacing w:after="0"/>
              <w:rPr>
                <w:sz w:val="23"/>
                <w:szCs w:val="23"/>
                <w:color w:val="auto"/>
              </w:rPr>
            </w:pP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Interest income</w:t>
            </w:r>
          </w:p>
        </w:tc>
        <w:tc>
          <w:tcPr>
            <w:tcW w:w="90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gridSpan w:val="4"/>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
        </w:trPr>
        <w:tc>
          <w:tcPr>
            <w:tcW w:w="530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00" w:type="dxa"/>
            <w:vAlign w:val="bottom"/>
            <w:shd w:val="clear" w:color="auto" w:fill="E6E6E6"/>
          </w:tcPr>
          <w:p>
            <w:pPr>
              <w:ind w:left="420"/>
              <w:spacing w:after="0"/>
              <w:rPr>
                <w:sz w:val="20"/>
                <w:szCs w:val="20"/>
                <w:color w:val="auto"/>
              </w:rPr>
            </w:pPr>
            <w:r>
              <w:rPr>
                <w:rFonts w:ascii="Arial" w:cs="Arial" w:eastAsia="Arial" w:hAnsi="Arial"/>
                <w:sz w:val="18"/>
                <w:szCs w:val="18"/>
                <w:b w:val="1"/>
                <w:bCs w:val="1"/>
                <w:color w:val="auto"/>
              </w:rPr>
              <w:t>Investment income</w:t>
            </w:r>
          </w:p>
        </w:tc>
        <w:tc>
          <w:tcPr>
            <w:tcW w:w="900" w:type="dxa"/>
            <w:vAlign w:val="bottom"/>
            <w:shd w:val="clear" w:color="auto" w:fill="E6E6E6"/>
          </w:tcPr>
          <w:p>
            <w:pPr>
              <w:jc w:val="right"/>
              <w:ind w:right="67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16</w:t>
            </w:r>
          </w:p>
        </w:tc>
        <w:tc>
          <w:tcPr>
            <w:tcW w:w="380" w:type="dxa"/>
            <w:vAlign w:val="bottom"/>
            <w:gridSpan w:val="4"/>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22</w:t>
            </w:r>
          </w:p>
        </w:tc>
        <w:tc>
          <w:tcPr>
            <w:tcW w:w="460" w:type="dxa"/>
            <w:vAlign w:val="bottom"/>
            <w:gridSpan w:val="4"/>
            <w:shd w:val="clear" w:color="auto" w:fill="E6E6E6"/>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18</w:t>
            </w:r>
          </w:p>
        </w:tc>
      </w:tr>
      <w:tr>
        <w:trPr>
          <w:trHeight w:val="20"/>
        </w:trPr>
        <w:tc>
          <w:tcPr>
            <w:tcW w:w="5300" w:type="dxa"/>
            <w:vAlign w:val="bottom"/>
            <w:tcBorders>
              <w:top w:val="single" w:sz="8" w:color="E6E6E6"/>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60"/>
        </w:trPr>
        <w:tc>
          <w:tcPr>
            <w:tcW w:w="5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Foreign currency gain (loss), net</w:t>
            </w:r>
          </w:p>
        </w:tc>
        <w:tc>
          <w:tcPr>
            <w:tcW w:w="900" w:type="dxa"/>
            <w:vAlign w:val="bottom"/>
            <w:tcBorders>
              <w:bottom w:val="single" w:sz="8" w:color="E6E6E6"/>
            </w:tcBorders>
            <w:shd w:val="clear" w:color="auto" w:fill="E6E6E6"/>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E6E6E6"/>
            </w:tcBorders>
            <w:gridSpan w:val="4"/>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9</w:t>
            </w:r>
          </w:p>
        </w:tc>
        <w:tc>
          <w:tcPr>
            <w:tcW w:w="460" w:type="dxa"/>
            <w:vAlign w:val="bottom"/>
            <w:tcBorders>
              <w:bottom w:val="single" w:sz="8" w:color="E6E6E6"/>
            </w:tcBorders>
            <w:gridSpan w:val="4"/>
            <w:shd w:val="clear" w:color="auto" w:fill="E6E6E6"/>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(40)</w:t>
            </w: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Pension settlement charges</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2"/>
        </w:trPr>
        <w:tc>
          <w:tcPr>
            <w:tcW w:w="5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5"/>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E6E6E6"/>
            </w:tcBorders>
            <w:shd w:val="clear" w:color="auto" w:fill="E6E6E6"/>
          </w:tcPr>
          <w:p>
            <w:pPr>
              <w:spacing w:after="0"/>
              <w:rPr>
                <w:sz w:val="24"/>
                <w:szCs w:val="24"/>
                <w:color w:val="auto"/>
              </w:rPr>
            </w:pP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r>
      <w:tr>
        <w:trPr>
          <w:trHeight w:val="260"/>
        </w:trPr>
        <w:tc>
          <w:tcPr>
            <w:tcW w:w="5300" w:type="dxa"/>
            <w:vAlign w:val="bottom"/>
            <w:tcBorders>
              <w:top w:val="single" w:sz="8" w:color="E6E6E6"/>
            </w:tcBorders>
          </w:tcPr>
          <w:p>
            <w:pPr>
              <w:ind w:left="420"/>
              <w:spacing w:after="0"/>
              <w:rPr>
                <w:sz w:val="20"/>
                <w:szCs w:val="20"/>
                <w:color w:val="auto"/>
              </w:rPr>
            </w:pPr>
            <w:r>
              <w:rPr>
                <w:rFonts w:ascii="Arial" w:cs="Arial" w:eastAsia="Arial" w:hAnsi="Arial"/>
                <w:sz w:val="18"/>
                <w:szCs w:val="18"/>
                <w:b w:val="1"/>
                <w:bCs w:val="1"/>
                <w:color w:val="auto"/>
              </w:rPr>
              <w:t>Other non-operating (expense) income</w:t>
            </w:r>
          </w:p>
        </w:tc>
        <w:tc>
          <w:tcPr>
            <w:tcW w:w="90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top w:val="single" w:sz="8" w:color="E6E6E6"/>
            </w:tcBorders>
            <w:gridSpan w:val="3"/>
          </w:tcPr>
          <w:p>
            <w:pPr>
              <w:spacing w:after="0"/>
              <w:rPr>
                <w:sz w:val="22"/>
                <w:szCs w:val="22"/>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top w:val="single" w:sz="8" w:color="E6E6E6"/>
            </w:tcBorders>
            <w:gridSpan w:val="3"/>
          </w:tcPr>
          <w:p>
            <w:pPr>
              <w:spacing w:after="0"/>
              <w:rPr>
                <w:sz w:val="22"/>
                <w:szCs w:val="22"/>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r>
      <w:tr>
        <w:trPr>
          <w:trHeight w:val="20"/>
        </w:trPr>
        <w:tc>
          <w:tcPr>
            <w:tcW w:w="5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-2317115</wp:posOffset>
            </wp:positionV>
            <wp:extent cx="260667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13">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-1745615</wp:posOffset>
            </wp:positionV>
            <wp:extent cx="260667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14">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-1567815</wp:posOffset>
            </wp:positionV>
            <wp:extent cx="2606675" cy="508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15">
                      <a:extLst>
                        <a:ext uri="{28A0092B-C50C-407E-A947-70E740481C1C}"/>
                      </a:extLst>
                    </a:blip>
                    <a:srcRect/>
                    <a:stretch>
                      <a:fillRect/>
                    </a:stretch>
                  </pic:blipFill>
                  <pic:spPr bwMode="auto">
                    <a:xfrm>
                      <a:off x="0" y="0"/>
                      <a:ext cx="2606675" cy="508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-1174115</wp:posOffset>
            </wp:positionV>
            <wp:extent cx="260667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16">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-996315</wp:posOffset>
            </wp:positionV>
            <wp:extent cx="2606675" cy="508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17">
                      <a:extLst>
                        <a:ext uri="{28A0092B-C50C-407E-A947-70E740481C1C}"/>
                      </a:extLst>
                    </a:blip>
                    <a:srcRect/>
                    <a:stretch>
                      <a:fillRect/>
                    </a:stretch>
                  </pic:blipFill>
                  <pic:spPr bwMode="auto">
                    <a:xfrm>
                      <a:off x="0" y="0"/>
                      <a:ext cx="2606675" cy="508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-221615</wp:posOffset>
            </wp:positionV>
            <wp:extent cx="260667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18">
                      <a:extLst>
                        <a:ext uri="{28A0092B-C50C-407E-A947-70E740481C1C}"/>
                      </a:extLst>
                    </a:blip>
                    <a:srcRect/>
                    <a:stretch>
                      <a:fillRect/>
                    </a:stretch>
                  </pic:blipFill>
                  <pic:spPr bwMode="auto">
                    <a:xfrm>
                      <a:off x="0" y="0"/>
                      <a:ext cx="2606675" cy="25400"/>
                    </a:xfrm>
                    <a:prstGeom prst="rect">
                      <a:avLst/>
                    </a:prstGeom>
                    <a:noFill/>
                  </pic:spPr>
                </pic:pic>
              </a:graphicData>
            </a:graphic>
          </wp:anchor>
        </w:drawing>
      </w:r>
    </w:p>
    <w:p>
      <w:pPr>
        <w:spacing w:after="0" w:line="10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During 2025, we recognized $15 million of foreign currency losses primarily driven by $2 million and $13 million of transactional gains on Canadian and South American exchange rates, respectively.</w:t>
      </w:r>
    </w:p>
    <w:p>
      <w:pPr>
        <w:spacing w:after="0" w:line="5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During 2024, we recognized $9 million of foreign currency gains primarily driven by $4 million and $5 million of transactional gains on Canadian and South American exchange rates, respectively.</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During 2023, we completed the termination of our U.S. and Canadian defined benefit pension plans resulting in the recognition of non-cash, pre-tax charges of $4 million. Additionally, we recognized $40 million of foreign currency losses primarily driven by $32 million of transactional losses on the Argentine peso.</w:t>
      </w:r>
    </w:p>
    <w:p>
      <w:pPr>
        <w:spacing w:after="0" w:line="169" w:lineRule="exact"/>
        <w:rPr>
          <w:sz w:val="20"/>
          <w:szCs w:val="20"/>
          <w:color w:val="auto"/>
        </w:rPr>
      </w:pPr>
    </w:p>
    <w:p>
      <w:pPr>
        <w:ind w:left="720" w:hanging="720"/>
        <w:spacing w:after="0"/>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IMPAIRMENT OF LONG-LIVED ASSETS</w:t>
      </w:r>
    </w:p>
    <w:p>
      <w:pPr>
        <w:spacing w:after="0" w:line="25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review the carrying values of our long-lived assets for potential impairments and believe we have adequate support for the carrying value of each of these assets based upon the anticipated cash flows that result from our estimates of future demand, pricing, and production costs, assuming certain levels of planned capital expenditures. However, 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w:t>
      </w:r>
    </w:p>
    <w:p>
      <w:pPr>
        <w:spacing w:after="0" w:line="6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We also review from time to time possible dispositions of various assets in light of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During 2025, we recorded $44 million of non-cash, pre-tax impairment charges. These charges included $24 million related to equipment that will not be utilized in future operations, $13 million related to the expiration and non-renewal of certain timber licenses, $4 million related to property, plant, and equipment associated with a facility closure, and $2 million primarily related to an operating lease asset associated with a previously closed facility. During 2024, we recorded $5 million of non-cash, pre-tax impairment charges related to property, plant, and equipment that will not be utilized in future operations.</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9360"/>
          </w:cols>
          <w:pgMar w:left="1260" w:top="1190" w:right="1260" w:bottom="225" w:gutter="0" w:footer="0" w:header="0"/>
          <w:type w:val="continuous"/>
        </w:sectPr>
      </w:pPr>
    </w:p>
    <w:bookmarkStart w:id="90" w:name="page91"/>
    <w:bookmarkEnd w:id="90"/>
    <w:p>
      <w:pPr>
        <w:ind w:left="720" w:hanging="720"/>
        <w:spacing w:after="0"/>
        <w:tabs>
          <w:tab w:leader="none" w:pos="72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We maintain reserves for various contingent liabilities as follows (dollar amounts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80" w:type="dxa"/>
            <w:vAlign w:val="bottom"/>
          </w:tcPr>
          <w:p>
            <w:pPr>
              <w:spacing w:after="0"/>
              <w:rPr>
                <w:sz w:val="21"/>
                <w:szCs w:val="21"/>
                <w:color w:val="auto"/>
              </w:rPr>
            </w:pPr>
          </w:p>
        </w:tc>
        <w:tc>
          <w:tcPr>
            <w:tcW w:w="23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6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36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2024</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6680" w:type="dxa"/>
            <w:vAlign w:val="bottom"/>
            <w:tcBorders>
              <w:bottom w:val="single" w:sz="8" w:color="E6E6E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Environmental reserves</w:t>
            </w:r>
          </w:p>
        </w:tc>
        <w:tc>
          <w:tcPr>
            <w:tcW w:w="940" w:type="dxa"/>
            <w:vAlign w:val="bottom"/>
            <w:tcBorders>
              <w:bottom w:val="single" w:sz="8" w:color="E6E6E6"/>
            </w:tcBorders>
            <w:shd w:val="clear" w:color="auto" w:fill="E6E6E6"/>
          </w:tcPr>
          <w:p>
            <w:pPr>
              <w:jc w:val="right"/>
              <w:ind w:right="7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27</w:t>
            </w:r>
          </w:p>
        </w:tc>
        <w:tc>
          <w:tcPr>
            <w:tcW w:w="1020" w:type="dxa"/>
            <w:vAlign w:val="bottom"/>
            <w:tcBorders>
              <w:bottom w:val="single" w:sz="8" w:color="E6E6E6"/>
            </w:tcBorders>
            <w:gridSpan w:val="2"/>
            <w:shd w:val="clear" w:color="auto" w:fill="E6E6E6"/>
          </w:tcPr>
          <w:p>
            <w:pPr>
              <w:jc w:val="right"/>
              <w:ind w:right="8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8"/>
        </w:trPr>
        <w:tc>
          <w:tcPr>
            <w:tcW w:w="6680" w:type="dxa"/>
            <w:vAlign w:val="bottom"/>
          </w:tcPr>
          <w:p>
            <w:pPr>
              <w:ind w:left="60"/>
              <w:spacing w:after="0"/>
              <w:rPr>
                <w:sz w:val="20"/>
                <w:szCs w:val="20"/>
                <w:color w:val="auto"/>
              </w:rPr>
            </w:pPr>
            <w:r>
              <w:rPr>
                <w:rFonts w:ascii="Arial" w:cs="Arial" w:eastAsia="Arial" w:hAnsi="Arial"/>
                <w:sz w:val="18"/>
                <w:szCs w:val="18"/>
                <w:color w:val="auto"/>
              </w:rPr>
              <w:t>Other reserves</w:t>
            </w:r>
          </w:p>
        </w:tc>
        <w:tc>
          <w:tcPr>
            <w:tcW w:w="9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
        </w:trPr>
        <w:tc>
          <w:tcPr>
            <w:tcW w:w="6680" w:type="dxa"/>
            <w:vAlign w:val="bottom"/>
            <w:tcBorders>
              <w:bottom w:val="single" w:sz="8" w:color="E6E6E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680" w:type="dxa"/>
            <w:vAlign w:val="bottom"/>
            <w:shd w:val="clear" w:color="auto" w:fill="E6E6E6"/>
          </w:tcPr>
          <w:p>
            <w:pPr>
              <w:ind w:left="60"/>
              <w:spacing w:after="0"/>
              <w:rPr>
                <w:sz w:val="20"/>
                <w:szCs w:val="20"/>
                <w:color w:val="auto"/>
              </w:rPr>
            </w:pPr>
            <w:r>
              <w:rPr>
                <w:rFonts w:ascii="Arial" w:cs="Arial" w:eastAsia="Arial" w:hAnsi="Arial"/>
                <w:sz w:val="18"/>
                <w:szCs w:val="18"/>
                <w:b w:val="1"/>
                <w:bCs w:val="1"/>
                <w:color w:val="auto"/>
              </w:rPr>
              <w:t>Total contingencies</w:t>
            </w:r>
          </w:p>
        </w:tc>
        <w:tc>
          <w:tcPr>
            <w:tcW w:w="940" w:type="dxa"/>
            <w:vAlign w:val="bottom"/>
            <w:shd w:val="clear" w:color="auto" w:fill="E6E6E6"/>
          </w:tcPr>
          <w:p>
            <w:pPr>
              <w:jc w:val="right"/>
              <w:ind w:right="71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27</w:t>
            </w:r>
          </w:p>
        </w:tc>
        <w:tc>
          <w:tcPr>
            <w:tcW w:w="1020" w:type="dxa"/>
            <w:vAlign w:val="bottom"/>
            <w:gridSpan w:val="2"/>
            <w:shd w:val="clear" w:color="auto" w:fill="E6E6E6"/>
          </w:tcPr>
          <w:p>
            <w:pPr>
              <w:jc w:val="right"/>
              <w:ind w:right="8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0"/>
        </w:trPr>
        <w:tc>
          <w:tcPr>
            <w:tcW w:w="6680" w:type="dxa"/>
            <w:vAlign w:val="bottom"/>
            <w:tcBorders>
              <w:top w:val="single" w:sz="8" w:color="E6E6E6"/>
              <w:bottom w:val="single" w:sz="8" w:color="E6E6E6"/>
            </w:tcBorders>
            <w:vMerge w:val="restart"/>
          </w:tcPr>
          <w:p>
            <w:pPr>
              <w:ind w:left="420"/>
              <w:spacing w:after="0"/>
              <w:rPr>
                <w:sz w:val="20"/>
                <w:szCs w:val="20"/>
                <w:color w:val="auto"/>
              </w:rPr>
            </w:pPr>
            <w:r>
              <w:rPr>
                <w:rFonts w:ascii="Arial" w:cs="Arial" w:eastAsia="Arial" w:hAnsi="Arial"/>
                <w:sz w:val="18"/>
                <w:szCs w:val="18"/>
                <w:color w:val="auto"/>
              </w:rPr>
              <w:t>Current portion</w:t>
            </w:r>
            <w:r>
              <w:rPr>
                <w:rFonts w:ascii="Arial" w:cs="Arial" w:eastAsia="Arial" w:hAnsi="Arial"/>
                <w:sz w:val="11"/>
                <w:szCs w:val="11"/>
                <w:color w:val="auto"/>
              </w:rPr>
              <w:t>1</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8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5"/>
        </w:trPr>
        <w:tc>
          <w:tcPr>
            <w:tcW w:w="6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8"/>
        </w:trPr>
        <w:tc>
          <w:tcPr>
            <w:tcW w:w="6680" w:type="dxa"/>
            <w:vAlign w:val="bottom"/>
            <w:shd w:val="clear" w:color="auto" w:fill="E6E6E6"/>
          </w:tcPr>
          <w:p>
            <w:pPr>
              <w:ind w:left="420"/>
              <w:spacing w:after="0"/>
              <w:rPr>
                <w:sz w:val="20"/>
                <w:szCs w:val="20"/>
                <w:color w:val="auto"/>
              </w:rPr>
            </w:pPr>
            <w:r>
              <w:rPr>
                <w:rFonts w:ascii="Arial" w:cs="Arial" w:eastAsia="Arial" w:hAnsi="Arial"/>
                <w:sz w:val="18"/>
                <w:szCs w:val="18"/>
                <w:color w:val="auto"/>
              </w:rPr>
              <w:t>Long-term portion</w:t>
            </w:r>
          </w:p>
        </w:tc>
        <w:tc>
          <w:tcPr>
            <w:tcW w:w="940" w:type="dxa"/>
            <w:vAlign w:val="bottom"/>
            <w:shd w:val="clear" w:color="auto" w:fill="E6E6E6"/>
          </w:tcPr>
          <w:p>
            <w:pPr>
              <w:jc w:val="right"/>
              <w:ind w:right="710"/>
              <w:spacing w:after="0"/>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26</w:t>
            </w:r>
          </w:p>
        </w:tc>
        <w:tc>
          <w:tcPr>
            <w:tcW w:w="1020" w:type="dxa"/>
            <w:vAlign w:val="bottom"/>
            <w:gridSpan w:val="2"/>
            <w:shd w:val="clear" w:color="auto" w:fill="E6E6E6"/>
          </w:tcPr>
          <w:p>
            <w:pPr>
              <w:jc w:val="right"/>
              <w:ind w:righ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2"/>
        </w:trPr>
        <w:tc>
          <w:tcPr>
            <w:tcW w:w="6680" w:type="dxa"/>
            <w:vAlign w:val="bottom"/>
            <w:shd w:val="clear" w:color="auto" w:fill="E6E6E6"/>
          </w:tcPr>
          <w:p>
            <w:pPr>
              <w:spacing w:after="0"/>
              <w:rPr>
                <w:sz w:val="3"/>
                <w:szCs w:val="3"/>
                <w:color w:val="auto"/>
              </w:rPr>
            </w:pPr>
          </w:p>
        </w:tc>
        <w:tc>
          <w:tcPr>
            <w:tcW w:w="940" w:type="dxa"/>
            <w:vAlign w:val="bottom"/>
            <w:shd w:val="clear" w:color="auto" w:fill="E6E6E6"/>
          </w:tcPr>
          <w:p>
            <w:pPr>
              <w:spacing w:after="0"/>
              <w:rPr>
                <w:sz w:val="3"/>
                <w:szCs w:val="3"/>
                <w:color w:val="auto"/>
              </w:rPr>
            </w:pPr>
          </w:p>
        </w:tc>
        <w:tc>
          <w:tcPr>
            <w:tcW w:w="360" w:type="dxa"/>
            <w:vAlign w:val="bottom"/>
            <w:shd w:val="clear" w:color="auto" w:fill="E6E6E6"/>
          </w:tcPr>
          <w:p>
            <w:pPr>
              <w:spacing w:after="0"/>
              <w:rPr>
                <w:sz w:val="3"/>
                <w:szCs w:val="3"/>
                <w:color w:val="auto"/>
              </w:rPr>
            </w:pPr>
          </w:p>
        </w:tc>
        <w:tc>
          <w:tcPr>
            <w:tcW w:w="80" w:type="dxa"/>
            <w:vAlign w:val="bottom"/>
            <w:shd w:val="clear" w:color="auto" w:fill="E6E6E6"/>
          </w:tcPr>
          <w:p>
            <w:pPr>
              <w:spacing w:after="0"/>
              <w:rPr>
                <w:sz w:val="3"/>
                <w:szCs w:val="3"/>
                <w:color w:val="auto"/>
              </w:rPr>
            </w:pPr>
          </w:p>
        </w:tc>
        <w:tc>
          <w:tcPr>
            <w:tcW w:w="940" w:type="dxa"/>
            <w:vAlign w:val="bottom"/>
            <w:shd w:val="clear" w:color="auto" w:fill="E6E6E6"/>
          </w:tcPr>
          <w:p>
            <w:pPr>
              <w:spacing w:after="0"/>
              <w:rPr>
                <w:sz w:val="3"/>
                <w:szCs w:val="3"/>
                <w:color w:val="auto"/>
              </w:rPr>
            </w:pPr>
          </w:p>
        </w:tc>
        <w:tc>
          <w:tcPr>
            <w:tcW w:w="360" w:type="dxa"/>
            <w:vAlign w:val="bottom"/>
            <w:shd w:val="clear" w:color="auto" w:fill="E6E6E6"/>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-964565</wp:posOffset>
            </wp:positionV>
            <wp:extent cx="173037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19">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-583565</wp:posOffset>
            </wp:positionV>
            <wp:extent cx="173037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20">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-405765</wp:posOffset>
            </wp:positionV>
            <wp:extent cx="1730375" cy="508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21">
                      <a:extLst>
                        <a:ext uri="{28A0092B-C50C-407E-A947-70E740481C1C}"/>
                      </a:extLst>
                    </a:blip>
                    <a:srcRect/>
                    <a:stretch>
                      <a:fillRect/>
                    </a:stretch>
                  </pic:blipFill>
                  <pic:spPr bwMode="auto">
                    <a:xfrm>
                      <a:off x="0" y="0"/>
                      <a:ext cx="1730375" cy="5080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1</w:t>
      </w:r>
      <w:r>
        <w:rPr>
          <w:rFonts w:ascii="Arial" w:cs="Arial" w:eastAsia="Arial" w:hAnsi="Arial"/>
          <w:sz w:val="16"/>
          <w:szCs w:val="16"/>
          <w:color w:val="auto"/>
        </w:rPr>
        <w:t>Included within accounts payable and accrued liabilities on the Consolidated Balance Sheets.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Estimates of our loss contingencies are based on various assumptions and judgments. Due to the numerous uncertainties and variables associated with these assumptions and judgments, both the precision and reliability of the resulting estimates of the related contingencies are subject to substantial uncertainties. We regularly monitor our estimated exposure to contingencies and, as additional information becomes known, may change our estimates significantly. While no estimate of the range of any such change can be made at this time, the amount that we may ultimately pay in connection with these matters could materially exceed, in either the near term or the longer term, the amounts accrued to date. Our estimates of our loss contingencies do not reflect potential future recoveries from insurance carriers except to the extent that recovery may, from time to time, be deemed probable as a result of an insurer’s agreement to payment terms.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We maintain a reserve for undiscounted estimated environmental loss contingencies. This reserve is primarily for estimated future costs of remediation of hazardous or toxic substances at numerous sites currently or previously owned by the Company. Our estimates of our environmental loss contingencies are based on various assumptions and judgments, the specific nature of which varies considering the particular facts and circumstances surrounding each environmental loss contingency. These estimates typically reflect assumptions and judgments as to the probable nature, magnitude, and timing of the required investigation, remediation and/or monitoring activities and the 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 changes in governmental regulation and environmental technologies, both the precision and reliability of the resulting estimates of the related contingencies are subject to substantial uncertainties. We regularly monitor our estimated exposure to environmental loss contingencies and, as additional information becomes known, may change our estimates significantly.</w:t>
      </w:r>
    </w:p>
    <w:p>
      <w:pPr>
        <w:spacing w:after="0" w:line="80"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activity in our reserve for estimated environmental loss contingency reserves is summarized in the following table (dollar amounts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80" w:type="dxa"/>
            <w:vAlign w:val="bottom"/>
          </w:tcPr>
          <w:p>
            <w:pPr>
              <w:spacing w:after="0"/>
              <w:rPr>
                <w:sz w:val="20"/>
                <w:szCs w:val="20"/>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00" w:type="dxa"/>
            <w:vAlign w:val="bottom"/>
          </w:tcPr>
          <w:p>
            <w:pPr>
              <w:spacing w:after="0"/>
              <w:rPr>
                <w:sz w:val="20"/>
                <w:szCs w:val="20"/>
                <w:color w:val="auto"/>
              </w:rPr>
            </w:pPr>
          </w:p>
        </w:tc>
      </w:tr>
      <w:tr>
        <w:trPr>
          <w:trHeight w:val="33"/>
        </w:trPr>
        <w:tc>
          <w:tcPr>
            <w:tcW w:w="66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7"/>
        </w:trPr>
        <w:tc>
          <w:tcPr>
            <w:tcW w:w="66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360" w:type="dxa"/>
            <w:vAlign w:val="bottom"/>
          </w:tcPr>
          <w:p>
            <w:pPr>
              <w:spacing w:after="0"/>
              <w:rPr>
                <w:sz w:val="21"/>
                <w:szCs w:val="21"/>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21"/>
                <w:szCs w:val="21"/>
                <w:color w:val="auto"/>
              </w:rPr>
            </w:pPr>
          </w:p>
        </w:tc>
      </w:tr>
      <w:tr>
        <w:trPr>
          <w:trHeight w:val="33"/>
        </w:trPr>
        <w:tc>
          <w:tcPr>
            <w:tcW w:w="6680" w:type="dxa"/>
            <w:vAlign w:val="bottom"/>
            <w:tcBorders>
              <w:bottom w:val="single" w:sz="8" w:color="E6E6E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70"/>
        </w:trPr>
        <w:tc>
          <w:tcPr>
            <w:tcW w:w="6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Beginning balance</w:t>
            </w:r>
          </w:p>
        </w:tc>
        <w:tc>
          <w:tcPr>
            <w:tcW w:w="940" w:type="dxa"/>
            <w:vAlign w:val="bottom"/>
            <w:tcBorders>
              <w:bottom w:val="single" w:sz="8" w:color="E6E6E6"/>
            </w:tcBorders>
            <w:shd w:val="clear" w:color="auto" w:fill="E6E6E6"/>
          </w:tcPr>
          <w:p>
            <w:pPr>
              <w:jc w:val="right"/>
              <w:ind w:right="7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28</w:t>
            </w:r>
          </w:p>
        </w:tc>
        <w:tc>
          <w:tcPr>
            <w:tcW w:w="1080" w:type="dxa"/>
            <w:vAlign w:val="bottom"/>
            <w:tcBorders>
              <w:bottom w:val="single" w:sz="8" w:color="E6E6E6"/>
            </w:tcBorders>
            <w:gridSpan w:val="2"/>
            <w:shd w:val="clear" w:color="auto" w:fill="E6E6E6"/>
          </w:tcPr>
          <w:p>
            <w:pPr>
              <w:jc w:val="right"/>
              <w:ind w:right="77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w w:val="99"/>
              </w:rPr>
              <w:t>26</w:t>
            </w:r>
          </w:p>
        </w:tc>
      </w:tr>
      <w:tr>
        <w:trPr>
          <w:trHeight w:val="258"/>
        </w:trPr>
        <w:tc>
          <w:tcPr>
            <w:tcW w:w="6680" w:type="dxa"/>
            <w:vAlign w:val="bottom"/>
          </w:tcPr>
          <w:p>
            <w:pPr>
              <w:ind w:left="180"/>
              <w:spacing w:after="0"/>
              <w:rPr>
                <w:sz w:val="20"/>
                <w:szCs w:val="20"/>
                <w:color w:val="auto"/>
              </w:rPr>
            </w:pPr>
            <w:r>
              <w:rPr>
                <w:rFonts w:ascii="Arial" w:cs="Arial" w:eastAsia="Arial" w:hAnsi="Arial"/>
                <w:sz w:val="18"/>
                <w:szCs w:val="18"/>
                <w:color w:val="auto"/>
                <w:w w:val="97"/>
              </w:rPr>
              <w:t>Adjustments to expense (other operating credits and charges, net and cost of sales)</w:t>
            </w:r>
          </w:p>
        </w:tc>
        <w:tc>
          <w:tcPr>
            <w:tcW w:w="9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2"/>
        </w:trPr>
        <w:tc>
          <w:tcPr>
            <w:tcW w:w="6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295"/>
        </w:trPr>
        <w:tc>
          <w:tcPr>
            <w:tcW w:w="668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Payments made</w:t>
            </w:r>
          </w:p>
        </w:tc>
        <w:tc>
          <w:tcPr>
            <w:tcW w:w="94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r>
      <w:tr>
        <w:trPr>
          <w:trHeight w:val="260"/>
        </w:trPr>
        <w:tc>
          <w:tcPr>
            <w:tcW w:w="6680" w:type="dxa"/>
            <w:vAlign w:val="bottom"/>
            <w:tcBorders>
              <w:top w:val="single" w:sz="8" w:color="E6E6E6"/>
            </w:tcBorders>
          </w:tcPr>
          <w:p>
            <w:pPr>
              <w:ind w:left="60"/>
              <w:spacing w:after="0"/>
              <w:rPr>
                <w:sz w:val="20"/>
                <w:szCs w:val="20"/>
                <w:color w:val="auto"/>
              </w:rPr>
            </w:pPr>
            <w:r>
              <w:rPr>
                <w:rFonts w:ascii="Arial" w:cs="Arial" w:eastAsia="Arial" w:hAnsi="Arial"/>
                <w:sz w:val="18"/>
                <w:szCs w:val="18"/>
                <w:b w:val="1"/>
                <w:bCs w:val="1"/>
                <w:color w:val="auto"/>
              </w:rPr>
              <w:t>Ending balance</w:t>
            </w:r>
          </w:p>
        </w:tc>
        <w:tc>
          <w:tcPr>
            <w:tcW w:w="9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80" w:type="dxa"/>
            <w:vAlign w:val="bottom"/>
            <w:tcBorders>
              <w:top w:val="single" w:sz="8" w:color="E6E6E6"/>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28</w:t>
            </w: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-793115</wp:posOffset>
            </wp:positionV>
            <wp:extent cx="173037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22">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-221615</wp:posOffset>
            </wp:positionV>
            <wp:extent cx="173037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23">
                      <a:extLst>
                        <a:ext uri="{28A0092B-C50C-407E-A947-70E740481C1C}"/>
                      </a:extLst>
                    </a:blip>
                    <a:srcRect/>
                    <a:stretch>
                      <a:fillRect/>
                    </a:stretch>
                  </pic:blipFill>
                  <pic:spPr bwMode="auto">
                    <a:xfrm>
                      <a:off x="0" y="0"/>
                      <a:ext cx="1730375" cy="25400"/>
                    </a:xfrm>
                    <a:prstGeom prst="rect">
                      <a:avLst/>
                    </a:prstGeom>
                    <a:noFill/>
                  </pic:spPr>
                </pic:pic>
              </a:graphicData>
            </a:graphic>
          </wp:anchor>
        </w:drawing>
      </w:r>
    </w:p>
    <w:p>
      <w:pPr>
        <w:spacing w:after="0" w:line="10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During 2024, we adjusted our reserves at several sites to reflect current estimates of remediation costs and environmental settlements.</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9360"/>
          </w:cols>
          <w:pgMar w:left="1260" w:top="1190" w:right="1260" w:bottom="225" w:gutter="0" w:footer="0" w:header="0"/>
          <w:type w:val="continuous"/>
        </w:sectPr>
      </w:pPr>
    </w:p>
    <w:bookmarkStart w:id="91" w:name="page92"/>
    <w:bookmarkEnd w:id="91"/>
    <w:p>
      <w:pPr>
        <w:spacing w:after="0"/>
        <w:rPr>
          <w:sz w:val="20"/>
          <w:szCs w:val="20"/>
          <w:color w:val="auto"/>
        </w:rPr>
      </w:pPr>
      <w:r>
        <w:rPr>
          <w:rFonts w:ascii="Arial" w:cs="Arial" w:eastAsia="Arial" w:hAnsi="Arial"/>
          <w:sz w:val="20"/>
          <w:szCs w:val="20"/>
          <w:b w:val="1"/>
          <w:bCs w:val="1"/>
          <w:color w:val="auto"/>
        </w:rPr>
        <w:t>Other Proceedings</w:t>
      </w:r>
    </w:p>
    <w:p>
      <w:pPr>
        <w:spacing w:after="0" w:line="13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are party to other legal proceedings in the ordinary course of business. Based on the information currently available, we do not believe that the resolution of such proceedings could reasonably be expected to have a material adverse effect on our financial position, results of operations, cash flows, or liquidity.</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Self-Insurance</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are primarily self-insured for workers’ compensation and employee health care liability costs. Self-insurance liabilities for workers’ compensation are determined based upon a valuation performed by an actuarial firm. The estimate of future workers’ compensation liabilities incorporates loss development and an estimate associated with incurred but not yet reported claims. These claims are discounted. Self-insurance liabilities for employee health costs are determined actuarially based upon claims filed and estimated claims incurred but not yet reported. These claims are discounted.</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Indemnities and Guarantees</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are a party to certain contracts in which we agree to indemnify third parties for certain liabilities that arise out of or relate to the subject matter of the contract. In some cases, this indemnity extends to related liabilities arising out of the negligence of the indemnified parties, but usually excludes any liabilities caused by gross negligence or willful misconduct of the indemnified parties. We cannot estimate the potential amount of future payments under these agreements until events arise that would trigger the liability.</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Additionally, in connection with certain sales of assets and divestitures of businesses, we have agreed to indemnify the applicable buyer and certain related parties for certain losses or liabilities incurred by the buyer or such related parties with respect to (1) the representations and warranties made to the buyer by us in connection with the applicable sale or divestiture and (2) liabilities related to the pre-closing operations of the assets or businesses sold. Indemnities related to pre-closing operations generally include environmental liabilities, tax liabilities, and other liabilities not assumed by the buyer.</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Indemnities related to the pre-closing operations of sold assets or divested businesses typically do not represent added liabilities for us, but simply serve to protect the buyer from potential liability associated with the obligations that existed (known and unknown) at the time of the sale. We record accruals for those pre-closing obligations that are considered probable and estimable. We have not accrued any additional amounts as a result of the indemnity agreements summarized below, as we believe the fair value of the guarantees is not material.</w:t>
      </w:r>
    </w:p>
    <w:p>
      <w:pPr>
        <w:spacing w:after="0" w:line="5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In connection with various sales of our timberlands, we have agreed to indemnify the relevant buyers with respect to losses resulting from breaches of limited representations and warranties contained in the related agreements. These indemnities generally are capped at a maximum potential liability and have an unspecified duration.</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We also have various other indemnities that are individually and in the aggregate immaterial.</w:t>
      </w:r>
    </w:p>
    <w:p>
      <w:pPr>
        <w:spacing w:after="0" w:line="130"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We record a liability related to specific indemnification when future payment is probable, and the amount is estimable.</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9360"/>
          </w:cols>
          <w:pgMar w:left="1260" w:top="1190" w:right="1260" w:bottom="225" w:gutter="0" w:footer="0" w:header="0"/>
          <w:type w:val="continuous"/>
        </w:sectPr>
      </w:pPr>
    </w:p>
    <w:bookmarkStart w:id="92" w:name="page93"/>
    <w:bookmarkEnd w:id="92"/>
    <w:p>
      <w:pPr>
        <w:ind w:left="720" w:hanging="720"/>
        <w:spacing w:after="0"/>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PRODUCT WARRANTIES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offer warranties on the sale of most of our products and record an accrual for estimated future claims. Such accruals are based upon historical experience and management’s estimate of the level of future claims. The activity in warranty reserves is summarized in the following table (dollar amounts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80" w:type="dxa"/>
            <w:vAlign w:val="bottom"/>
          </w:tcPr>
          <w:p>
            <w:pPr>
              <w:spacing w:after="0"/>
              <w:rPr>
                <w:sz w:val="21"/>
                <w:szCs w:val="21"/>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00" w:type="dxa"/>
            <w:vAlign w:val="bottom"/>
            <w:tcBorders>
              <w:bottom w:val="single" w:sz="8" w:color="auto"/>
            </w:tcBorders>
          </w:tcPr>
          <w:p>
            <w:pPr>
              <w:spacing w:after="0"/>
              <w:rPr>
                <w:sz w:val="21"/>
                <w:szCs w:val="21"/>
                <w:color w:val="auto"/>
              </w:rPr>
            </w:pPr>
          </w:p>
        </w:tc>
      </w:tr>
      <w:tr>
        <w:trPr>
          <w:trHeight w:val="247"/>
        </w:trPr>
        <w:tc>
          <w:tcPr>
            <w:tcW w:w="668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340" w:type="dxa"/>
            <w:vAlign w:val="bottom"/>
          </w:tcPr>
          <w:p>
            <w:pPr>
              <w:spacing w:after="0"/>
              <w:rPr>
                <w:sz w:val="21"/>
                <w:szCs w:val="21"/>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21"/>
                <w:szCs w:val="21"/>
                <w:color w:val="auto"/>
              </w:rPr>
            </w:pPr>
          </w:p>
        </w:tc>
      </w:tr>
      <w:tr>
        <w:trPr>
          <w:trHeight w:val="33"/>
        </w:trPr>
        <w:tc>
          <w:tcPr>
            <w:tcW w:w="6680" w:type="dxa"/>
            <w:vAlign w:val="bottom"/>
            <w:tcBorders>
              <w:bottom w:val="single" w:sz="8" w:color="E6E6E6"/>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70"/>
        </w:trPr>
        <w:tc>
          <w:tcPr>
            <w:tcW w:w="668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Beginning balance</w:t>
            </w:r>
          </w:p>
        </w:tc>
        <w:tc>
          <w:tcPr>
            <w:tcW w:w="960" w:type="dxa"/>
            <w:vAlign w:val="bottom"/>
            <w:tcBorders>
              <w:bottom w:val="single" w:sz="8" w:color="E6E6E6"/>
            </w:tcBorders>
            <w:shd w:val="clear" w:color="auto" w:fill="E6E6E6"/>
          </w:tcPr>
          <w:p>
            <w:pPr>
              <w:jc w:val="right"/>
              <w:ind w:right="73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6</w:t>
            </w:r>
          </w:p>
        </w:tc>
        <w:tc>
          <w:tcPr>
            <w:tcW w:w="1080" w:type="dxa"/>
            <w:vAlign w:val="bottom"/>
            <w:tcBorders>
              <w:bottom w:val="single" w:sz="8" w:color="E6E6E6"/>
            </w:tcBorders>
            <w:gridSpan w:val="2"/>
            <w:shd w:val="clear" w:color="auto" w:fill="E6E6E6"/>
          </w:tcPr>
          <w:p>
            <w:pPr>
              <w:jc w:val="right"/>
              <w:ind w:right="77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8</w:t>
            </w:r>
          </w:p>
        </w:tc>
      </w:tr>
      <w:tr>
        <w:trPr>
          <w:trHeight w:val="258"/>
        </w:trPr>
        <w:tc>
          <w:tcPr>
            <w:tcW w:w="6680" w:type="dxa"/>
            <w:vAlign w:val="bottom"/>
          </w:tcPr>
          <w:p>
            <w:pPr>
              <w:ind w:left="180"/>
              <w:spacing w:after="0"/>
              <w:rPr>
                <w:sz w:val="20"/>
                <w:szCs w:val="20"/>
                <w:color w:val="auto"/>
              </w:rPr>
            </w:pPr>
            <w:r>
              <w:rPr>
                <w:rFonts w:ascii="Arial" w:cs="Arial" w:eastAsia="Arial" w:hAnsi="Arial"/>
                <w:sz w:val="18"/>
                <w:szCs w:val="18"/>
                <w:color w:val="auto"/>
              </w:rPr>
              <w:t>Changes in warranty provision</w:t>
            </w:r>
          </w:p>
        </w:tc>
        <w:tc>
          <w:tcPr>
            <w:tcW w:w="9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
        </w:trPr>
        <w:tc>
          <w:tcPr>
            <w:tcW w:w="6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295"/>
        </w:trPr>
        <w:tc>
          <w:tcPr>
            <w:tcW w:w="668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Payments made</w:t>
            </w:r>
          </w:p>
        </w:tc>
        <w:tc>
          <w:tcPr>
            <w:tcW w:w="960" w:type="dxa"/>
            <w:vAlign w:val="bottom"/>
            <w:tcBorders>
              <w:bottom w:val="single" w:sz="8" w:color="E6E6E6"/>
            </w:tcBorders>
            <w:shd w:val="clear" w:color="auto" w:fill="E6E6E6"/>
          </w:tcPr>
          <w:p>
            <w:pPr>
              <w:spacing w:after="0"/>
              <w:rPr>
                <w:sz w:val="24"/>
                <w:szCs w:val="24"/>
                <w:color w:val="auto"/>
              </w:rPr>
            </w:pPr>
          </w:p>
        </w:tc>
        <w:tc>
          <w:tcPr>
            <w:tcW w:w="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w:t>
            </w:r>
          </w:p>
        </w:tc>
      </w:tr>
      <w:tr>
        <w:trPr>
          <w:trHeight w:val="300"/>
        </w:trPr>
        <w:tc>
          <w:tcPr>
            <w:tcW w:w="6680" w:type="dxa"/>
            <w:vAlign w:val="bottom"/>
            <w:tcBorders>
              <w:top w:val="single" w:sz="8" w:color="E6E6E6"/>
              <w:bottom w:val="single" w:sz="8" w:color="E6E6E6"/>
            </w:tcBorders>
          </w:tcPr>
          <w:p>
            <w:pPr>
              <w:ind w:left="60"/>
              <w:spacing w:after="0"/>
              <w:rPr>
                <w:sz w:val="20"/>
                <w:szCs w:val="20"/>
                <w:color w:val="auto"/>
              </w:rPr>
            </w:pPr>
            <w:r>
              <w:rPr>
                <w:rFonts w:ascii="Arial" w:cs="Arial" w:eastAsia="Arial" w:hAnsi="Arial"/>
                <w:sz w:val="18"/>
                <w:szCs w:val="18"/>
                <w:b w:val="1"/>
                <w:bCs w:val="1"/>
                <w:color w:val="auto"/>
              </w:rPr>
              <w:t>Total warranty reserves</w:t>
            </w:r>
          </w:p>
        </w:tc>
        <w:tc>
          <w:tcPr>
            <w:tcW w:w="96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80" w:type="dxa"/>
            <w:vAlign w:val="bottom"/>
            <w:tcBorders>
              <w:top w:val="single" w:sz="8" w:color="E6E6E6"/>
              <w:bottom w:val="single" w:sz="8" w:color="E6E6E6"/>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r>
      <w:tr>
        <w:trPr>
          <w:trHeight w:val="250"/>
        </w:trPr>
        <w:tc>
          <w:tcPr>
            <w:tcW w:w="6680" w:type="dxa"/>
            <w:vAlign w:val="bottom"/>
            <w:tcBorders>
              <w:bottom w:val="single" w:sz="8" w:color="E6E6E6"/>
            </w:tcBorders>
            <w:shd w:val="clear" w:color="auto" w:fill="E6E6E6"/>
          </w:tcPr>
          <w:p>
            <w:pPr>
              <w:ind w:left="420"/>
              <w:spacing w:after="0"/>
              <w:rPr>
                <w:sz w:val="20"/>
                <w:szCs w:val="20"/>
                <w:color w:val="auto"/>
              </w:rPr>
            </w:pPr>
            <w:r>
              <w:rPr>
                <w:rFonts w:ascii="Arial" w:cs="Arial" w:eastAsia="Arial" w:hAnsi="Arial"/>
                <w:sz w:val="18"/>
                <w:szCs w:val="18"/>
                <w:color w:val="auto"/>
              </w:rPr>
              <w:t>Current portion of warranty reserves</w:t>
            </w:r>
            <w:r>
              <w:rPr>
                <w:rFonts w:ascii="Arial" w:cs="Arial" w:eastAsia="Arial" w:hAnsi="Arial"/>
                <w:sz w:val="11"/>
                <w:szCs w:val="11"/>
                <w:color w:val="auto"/>
              </w:rPr>
              <w:t>1</w:t>
            </w:r>
          </w:p>
        </w:tc>
        <w:tc>
          <w:tcPr>
            <w:tcW w:w="960" w:type="dxa"/>
            <w:vAlign w:val="bottom"/>
            <w:tcBorders>
              <w:bottom w:val="single" w:sz="8" w:color="E6E6E6"/>
            </w:tcBorders>
            <w:shd w:val="clear" w:color="auto" w:fill="E6E6E6"/>
          </w:tcPr>
          <w:p>
            <w:pPr>
              <w:spacing w:after="0"/>
              <w:rPr>
                <w:sz w:val="21"/>
                <w:szCs w:val="21"/>
                <w:color w:val="auto"/>
              </w:rPr>
            </w:pPr>
          </w:p>
        </w:tc>
        <w:tc>
          <w:tcPr>
            <w:tcW w:w="3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E6E6E6"/>
            </w:tcBorders>
            <w:shd w:val="clear" w:color="auto" w:fill="E6E6E6"/>
          </w:tcPr>
          <w:p>
            <w:pPr>
              <w:spacing w:after="0"/>
              <w:rPr>
                <w:sz w:val="21"/>
                <w:szCs w:val="21"/>
                <w:color w:val="auto"/>
              </w:rPr>
            </w:pPr>
          </w:p>
        </w:tc>
        <w:tc>
          <w:tcPr>
            <w:tcW w:w="1000" w:type="dxa"/>
            <w:vAlign w:val="bottom"/>
            <w:tcBorders>
              <w:bottom w:val="single" w:sz="8" w:color="E6E6E6"/>
            </w:tcBorders>
            <w:shd w:val="clear" w:color="auto" w:fill="E6E6E6"/>
          </w:tcPr>
          <w:p>
            <w:pPr>
              <w:spacing w:after="0"/>
              <w:rPr>
                <w:sz w:val="21"/>
                <w:szCs w:val="21"/>
                <w:color w:val="auto"/>
              </w:rPr>
            </w:pPr>
          </w:p>
        </w:tc>
        <w:tc>
          <w:tcPr>
            <w:tcW w:w="3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w:t>
            </w:r>
          </w:p>
        </w:tc>
      </w:tr>
      <w:tr>
        <w:trPr>
          <w:trHeight w:val="258"/>
        </w:trPr>
        <w:tc>
          <w:tcPr>
            <w:tcW w:w="6680" w:type="dxa"/>
            <w:vAlign w:val="bottom"/>
          </w:tcPr>
          <w:p>
            <w:pPr>
              <w:ind w:left="420"/>
              <w:spacing w:after="0"/>
              <w:rPr>
                <w:sz w:val="20"/>
                <w:szCs w:val="20"/>
                <w:color w:val="auto"/>
              </w:rPr>
            </w:pPr>
            <w:r>
              <w:rPr>
                <w:rFonts w:ascii="Arial" w:cs="Arial" w:eastAsia="Arial" w:hAnsi="Arial"/>
                <w:sz w:val="18"/>
                <w:szCs w:val="18"/>
                <w:color w:val="auto"/>
              </w:rPr>
              <w:t>Long-term portion of warranty reserves</w:t>
            </w:r>
            <w:r>
              <w:rPr>
                <w:rFonts w:ascii="Arial" w:cs="Arial" w:eastAsia="Arial" w:hAnsi="Arial"/>
                <w:sz w:val="11"/>
                <w:szCs w:val="11"/>
                <w:color w:val="auto"/>
              </w:rPr>
              <w:t>2</w:t>
            </w:r>
          </w:p>
        </w:tc>
        <w:tc>
          <w:tcPr>
            <w:tcW w:w="9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-1128395</wp:posOffset>
            </wp:positionV>
            <wp:extent cx="173037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24">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-556895</wp:posOffset>
            </wp:positionV>
            <wp:extent cx="173037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25">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-379095</wp:posOffset>
            </wp:positionV>
            <wp:extent cx="1730375" cy="508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26">
                      <a:extLst>
                        <a:ext uri="{28A0092B-C50C-407E-A947-70E740481C1C}"/>
                      </a:extLst>
                    </a:blip>
                    <a:srcRect/>
                    <a:stretch>
                      <a:fillRect/>
                    </a:stretch>
                  </pic:blipFill>
                  <pic:spPr bwMode="auto">
                    <a:xfrm>
                      <a:off x="0" y="0"/>
                      <a:ext cx="1730375" cy="5080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0"/>
          <w:szCs w:val="10"/>
          <w:color w:val="auto"/>
        </w:rPr>
        <w:t>1</w:t>
      </w:r>
      <w:r>
        <w:rPr>
          <w:rFonts w:ascii="Arial" w:cs="Arial" w:eastAsia="Arial" w:hAnsi="Arial"/>
          <w:sz w:val="16"/>
          <w:szCs w:val="16"/>
          <w:color w:val="auto"/>
        </w:rPr>
        <w:t>Included within accounts payable and accrued liabilities on the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0"/>
          <w:szCs w:val="10"/>
          <w:color w:val="auto"/>
        </w:rPr>
        <w:t>2</w:t>
      </w:r>
      <w:r>
        <w:rPr>
          <w:rFonts w:ascii="Arial" w:cs="Arial" w:eastAsia="Arial" w:hAnsi="Arial"/>
          <w:sz w:val="16"/>
          <w:szCs w:val="16"/>
          <w:color w:val="auto"/>
        </w:rPr>
        <w:t>Included within other long-term liabilities on the Consolidated Balance Sheets.</w:t>
      </w:r>
    </w:p>
    <w:p>
      <w:pPr>
        <w:spacing w:after="0" w:line="116"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We believe that the warranty reserve balances at December 31, 2025 are adequate to cover future warranty payments. However, it is possible that additional charges may be required.</w:t>
      </w:r>
    </w:p>
    <w:p>
      <w:pPr>
        <w:spacing w:after="0" w:line="171" w:lineRule="exact"/>
        <w:rPr>
          <w:sz w:val="20"/>
          <w:szCs w:val="20"/>
          <w:color w:val="auto"/>
        </w:rPr>
      </w:pPr>
    </w:p>
    <w:p>
      <w:pPr>
        <w:ind w:left="720" w:hanging="720"/>
        <w:spacing w:after="0"/>
        <w:tabs>
          <w:tab w:leader="none" w:pos="7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RETIREMENT PLANS AND POST-RETIREMENT BENEFITS</w:t>
      </w:r>
    </w:p>
    <w:p>
      <w:pPr>
        <w:spacing w:after="0" w:line="257"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We sponsor various defined contribution retirement plans and benefit pension plans that provide retirement benefits to substantially all our employees. Most regularly scheduled employees are eligible to participate in the defined contribution retirement plans except those covered by a collective bargaining agreement unless the collective bargaining agreement explicitly allows for participation in our plans. We contribute to a multiemployer plan for certain employees covered by collective bargaining agreements. We also provide other post-retirement benefits consisting primarily of healthcare benefits to certain retirees who meet age and service requirements. The defined benefit pension plans were limited to active and retired employees that were eligible prior to the plans being frozen.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Defined Contribution Plans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sponsor defined contribution plans in the U.S. and Canada. In the U.S., these plans are primarily 401(k) plans for hourly and salaried employees that allow for pre-tax employee deferrals and a Company match of up to 5% of an employee’s eligible wages (subject to certain limits). Under the profit-sharing feature of these plans, we may elect to contribute a discretionary amount as a percentage of eligible wages. Included in the assets of the 401(k) and profit-sharing plans are 0.4 million shares of LP common stock that represented approximately 6% of the total market value of plan assets at December 31, 2025.</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In Canada, we sponsor both defined contribution plans and Registered Retirement Savings Plans for hourly and salaried employees that allow for employee tax deferrals. We provide a 100% match for employee contributions up to 4% and provide a 50% match of employee’s contributions from 4% to 6% (subject to certain limits).</w:t>
      </w:r>
    </w:p>
    <w:p>
      <w:pPr>
        <w:spacing w:after="0" w:line="41"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Expenses related to the U.S. and Canadian defined contribution plans and the Registered Retirement Savings Plans, including the profit-sharing feature, were $21 million, $20 million, and $15 million in 2025, 2024, and 2023,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Benefit Plans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have several plans that provide post-retirement benefits other than pensions, primarily for salaried employees in the U.S. and certain groups of Canadian employees. The obligation at December 31, 2025 and 2024 for these post-retirement benefits was $7 million and $8 million, respectively. The net expense related to these plans was not significant in 2025, 2024, or 2023.</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9360"/>
          </w:cols>
          <w:pgMar w:left="1260" w:top="1190" w:right="1260" w:bottom="225" w:gutter="0" w:footer="0" w:header="0"/>
          <w:type w:val="continuous"/>
        </w:sectPr>
      </w:pPr>
    </w:p>
    <w:bookmarkStart w:id="93" w:name="page94"/>
    <w:bookmarkEnd w:id="93"/>
    <w:p>
      <w:pPr>
        <w:jc w:val="both"/>
        <w:spacing w:after="0" w:line="270" w:lineRule="auto"/>
        <w:rPr>
          <w:sz w:val="20"/>
          <w:szCs w:val="20"/>
          <w:color w:val="auto"/>
        </w:rPr>
      </w:pPr>
      <w:r>
        <w:rPr>
          <w:rFonts w:ascii="Arial" w:cs="Arial" w:eastAsia="Arial" w:hAnsi="Arial"/>
          <w:sz w:val="19"/>
          <w:szCs w:val="19"/>
          <w:color w:val="auto"/>
        </w:rPr>
        <w:t>In 2004, we adopted the Louisiana-Pacific Corporation 2004 Executive Deferred Compensation Plan (the Deferred Compensation Plan). Pursuant to the Deferred Compensation Plan, participants are eligible to defer up to 90% of their base salary and annual cash incentives that exceed the limitation as set forth by the Internal Revenue Service and receive a 5% match on their contributions. Each Deferred Compensation Plan participant is fully vested in all employee deferred compensation and earnings credited associated with employee contributions. Employer contributions and associated earnings vest over periods not exceeding five years. The liability under the Deferred Compensation Plan amounted to $3 million as of December 31, 2025, and 2024, and is included in other long-term liabilities on our Consolidated Balance Sheets.</w:t>
      </w:r>
    </w:p>
    <w:p>
      <w:pPr>
        <w:spacing w:after="0" w:line="187" w:lineRule="exact"/>
        <w:rPr>
          <w:sz w:val="20"/>
          <w:szCs w:val="20"/>
          <w:color w:val="auto"/>
        </w:rPr>
      </w:pPr>
    </w:p>
    <w:p>
      <w:pPr>
        <w:ind w:left="720" w:hanging="720"/>
        <w:spacing w:after="0"/>
        <w:tabs>
          <w:tab w:leader="none" w:pos="72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SEGMENT INFORMATION</w:t>
      </w:r>
    </w:p>
    <w:p>
      <w:pPr>
        <w:spacing w:after="0" w:line="25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Company defines its operating segments as those operations that engage in business activities from which revenues are earned and expenses incurred, for which discrete financial information is available, and that are regularly reviewed to analyze performance and allocate resources by the chief operating decision maker (“CODM”), the Company’s Chief Executive Officer.</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in Reportable Segments</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conducts business through three operating segments: Siding, OSB and LP South America (LPSA). In the fourth quarter of 2025, the Company determined that LPSA did not meet the reportable segment criteria and beginning with the fourth quarter of 2025, the financial information for the LPSA operating segment is included in Other. These changes had no impact on our consolidated results of operations or financial position. Prior period segment information has been recast to conform to our current presentation. Our other operating segments, Siding and OSB remain reportable operating segments. Other now comprises our South American operations and other products that are not individually significant.</w:t>
      </w:r>
    </w:p>
    <w:p>
      <w:pPr>
        <w:spacing w:after="0" w:line="73" w:lineRule="exact"/>
        <w:rPr>
          <w:sz w:val="20"/>
          <w:szCs w:val="20"/>
          <w:color w:val="auto"/>
        </w:rPr>
      </w:pPr>
    </w:p>
    <w:p>
      <w:pPr>
        <w:jc w:val="both"/>
        <w:ind w:left="720" w:hanging="180"/>
        <w:spacing w:after="0" w:line="258"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Siding segment serves diverse end markets with a broad product portfolio of engineered wood siding, trim, soffit, and fascia. Our Siding is offered primed (LP</w:t>
      </w:r>
      <w:r>
        <w:rPr>
          <w:rFonts w:ascii="Arial" w:cs="Arial" w:eastAsia="Arial" w:hAnsi="Arial"/>
          <w:sz w:val="13"/>
          <w:szCs w:val="13"/>
          <w:color w:val="auto"/>
        </w:rPr>
        <w:t>®</w:t>
      </w:r>
      <w:r>
        <w:rPr>
          <w:rFonts w:ascii="Arial" w:cs="Arial" w:eastAsia="Arial" w:hAnsi="Arial"/>
          <w:sz w:val="20"/>
          <w:szCs w:val="20"/>
          <w:color w:val="auto"/>
        </w:rPr>
        <w:t xml:space="preserve"> SmartSide</w:t>
      </w:r>
      <w:r>
        <w:rPr>
          <w:rFonts w:ascii="Arial" w:cs="Arial" w:eastAsia="Arial" w:hAnsi="Arial"/>
          <w:sz w:val="13"/>
          <w:szCs w:val="13"/>
          <w:color w:val="auto"/>
        </w:rPr>
        <w:t>®</w:t>
      </w:r>
      <w:r>
        <w:rPr>
          <w:rFonts w:ascii="Arial" w:cs="Arial" w:eastAsia="Arial" w:hAnsi="Arial"/>
          <w:sz w:val="20"/>
          <w:szCs w:val="20"/>
          <w:color w:val="auto"/>
        </w:rPr>
        <w:t xml:space="preserve"> Trim &amp; Siding, LP BuilderSeries</w:t>
      </w:r>
      <w:r>
        <w:rPr>
          <w:rFonts w:ascii="Arial" w:cs="Arial" w:eastAsia="Arial" w:hAnsi="Arial"/>
          <w:sz w:val="13"/>
          <w:szCs w:val="13"/>
          <w:color w:val="auto"/>
        </w:rPr>
        <w:t>®</w:t>
      </w:r>
      <w:r>
        <w:rPr>
          <w:rFonts w:ascii="Arial" w:cs="Arial" w:eastAsia="Arial" w:hAnsi="Arial"/>
          <w:sz w:val="20"/>
          <w:szCs w:val="20"/>
          <w:color w:val="auto"/>
        </w:rPr>
        <w:t xml:space="preserve"> Lap Siding, and LP</w:t>
      </w:r>
      <w:r>
        <w:rPr>
          <w:rFonts w:ascii="Arial" w:cs="Arial" w:eastAsia="Arial" w:hAnsi="Arial"/>
          <w:sz w:val="13"/>
          <w:szCs w:val="13"/>
          <w:color w:val="auto"/>
        </w:rPr>
        <w:t>®</w:t>
      </w:r>
      <w:r>
        <w:rPr>
          <w:rFonts w:ascii="Arial" w:cs="Arial" w:eastAsia="Arial" w:hAnsi="Arial"/>
          <w:sz w:val="20"/>
          <w:szCs w:val="20"/>
          <w:color w:val="auto"/>
        </w:rPr>
        <w:t xml:space="preserve"> Outdoor Building Solutions</w:t>
      </w:r>
      <w:r>
        <w:rPr>
          <w:rFonts w:ascii="Arial" w:cs="Arial" w:eastAsia="Arial" w:hAnsi="Arial"/>
          <w:sz w:val="13"/>
          <w:szCs w:val="13"/>
          <w:color w:val="auto"/>
        </w:rPr>
        <w:t>®</w:t>
      </w:r>
      <w:r>
        <w:rPr>
          <w:rFonts w:ascii="Arial" w:cs="Arial" w:eastAsia="Arial" w:hAnsi="Arial"/>
          <w:sz w:val="20"/>
          <w:szCs w:val="20"/>
          <w:color w:val="auto"/>
        </w:rPr>
        <w:t>) and pre-finished (LP</w:t>
      </w:r>
      <w:r>
        <w:rPr>
          <w:rFonts w:ascii="Arial" w:cs="Arial" w:eastAsia="Arial" w:hAnsi="Arial"/>
          <w:sz w:val="13"/>
          <w:szCs w:val="13"/>
          <w:color w:val="auto"/>
        </w:rPr>
        <w:t>®</w:t>
      </w:r>
      <w:r>
        <w:rPr>
          <w:rFonts w:ascii="Arial" w:cs="Arial" w:eastAsia="Arial" w:hAnsi="Arial"/>
          <w:sz w:val="20"/>
          <w:szCs w:val="20"/>
          <w:color w:val="auto"/>
        </w:rPr>
        <w:t xml:space="preserve"> SmartSide</w:t>
      </w:r>
      <w:r>
        <w:rPr>
          <w:rFonts w:ascii="Arial" w:cs="Arial" w:eastAsia="Arial" w:hAnsi="Arial"/>
          <w:sz w:val="13"/>
          <w:szCs w:val="13"/>
          <w:color w:val="auto"/>
        </w:rPr>
        <w:t>®</w:t>
      </w:r>
      <w:r>
        <w:rPr>
          <w:rFonts w:ascii="Arial" w:cs="Arial" w:eastAsia="Arial" w:hAnsi="Arial"/>
          <w:sz w:val="20"/>
          <w:szCs w:val="20"/>
          <w:color w:val="auto"/>
        </w:rPr>
        <w:t xml:space="preserve"> ExpertFinish</w:t>
      </w:r>
      <w:r>
        <w:rPr>
          <w:rFonts w:ascii="Arial" w:cs="Arial" w:eastAsia="Arial" w:hAnsi="Arial"/>
          <w:sz w:val="13"/>
          <w:szCs w:val="13"/>
          <w:color w:val="auto"/>
        </w:rPr>
        <w:t>®</w:t>
      </w:r>
      <w:r>
        <w:rPr>
          <w:rFonts w:ascii="Arial" w:cs="Arial" w:eastAsia="Arial" w:hAnsi="Arial"/>
          <w:sz w:val="20"/>
          <w:szCs w:val="20"/>
          <w:color w:val="auto"/>
        </w:rPr>
        <w:t xml:space="preserve"> Trim &amp; Siding) to meet the needs of builders and installers in new construction and repair and remodeling applications.</w:t>
      </w:r>
    </w:p>
    <w:p>
      <w:pPr>
        <w:spacing w:after="0" w:line="111" w:lineRule="exact"/>
        <w:rPr>
          <w:rFonts w:ascii="Arial" w:cs="Arial" w:eastAsia="Arial" w:hAnsi="Arial"/>
          <w:sz w:val="20"/>
          <w:szCs w:val="20"/>
          <w:color w:val="auto"/>
        </w:rPr>
      </w:pPr>
    </w:p>
    <w:p>
      <w:pPr>
        <w:jc w:val="both"/>
        <w:ind w:left="720" w:hanging="180"/>
        <w:spacing w:after="0" w:line="310" w:lineRule="auto"/>
        <w:tabs>
          <w:tab w:leader="none" w:pos="720" w:val="left"/>
        </w:tabs>
        <w:numPr>
          <w:ilvl w:val="0"/>
          <w:numId w:val="28"/>
        </w:numPr>
        <w:rPr>
          <w:rFonts w:ascii="Arial" w:cs="Arial" w:eastAsia="Arial" w:hAnsi="Arial"/>
          <w:sz w:val="23"/>
          <w:szCs w:val="23"/>
          <w:color w:val="auto"/>
        </w:rPr>
      </w:pPr>
      <w:r>
        <w:rPr>
          <w:rFonts w:ascii="Arial" w:cs="Arial" w:eastAsia="Arial" w:hAnsi="Arial"/>
          <w:sz w:val="19"/>
          <w:szCs w:val="19"/>
          <w:color w:val="auto"/>
        </w:rPr>
        <w:t>The OSB segment manufactures and distributes OSB structural panel products, including the innovative value-added OSB product portfolio known as LP</w:t>
      </w:r>
      <w:r>
        <w:rPr>
          <w:rFonts w:ascii="Arial" w:cs="Arial" w:eastAsia="Arial" w:hAnsi="Arial"/>
          <w:sz w:val="13"/>
          <w:szCs w:val="13"/>
          <w:color w:val="auto"/>
        </w:rPr>
        <w:t>®</w:t>
      </w:r>
      <w:r>
        <w:rPr>
          <w:rFonts w:ascii="Arial" w:cs="Arial" w:eastAsia="Arial" w:hAnsi="Arial"/>
          <w:sz w:val="19"/>
          <w:szCs w:val="19"/>
          <w:color w:val="auto"/>
        </w:rPr>
        <w:t xml:space="preserve"> Structural Solutions (which includes LP</w:t>
      </w:r>
      <w:r>
        <w:rPr>
          <w:rFonts w:ascii="Arial" w:cs="Arial" w:eastAsia="Arial" w:hAnsi="Arial"/>
          <w:sz w:val="13"/>
          <w:szCs w:val="13"/>
          <w:color w:val="auto"/>
        </w:rPr>
        <w:t>®</w:t>
      </w:r>
      <w:r>
        <w:rPr>
          <w:rFonts w:ascii="Arial" w:cs="Arial" w:eastAsia="Arial" w:hAnsi="Arial"/>
          <w:sz w:val="19"/>
          <w:szCs w:val="19"/>
          <w:color w:val="auto"/>
        </w:rPr>
        <w:t xml:space="preserve"> FlameBlock</w:t>
      </w:r>
      <w:r>
        <w:rPr>
          <w:rFonts w:ascii="Arial" w:cs="Arial" w:eastAsia="Arial" w:hAnsi="Arial"/>
          <w:sz w:val="13"/>
          <w:szCs w:val="13"/>
          <w:color w:val="auto"/>
        </w:rPr>
        <w:t>®</w:t>
      </w:r>
      <w:r>
        <w:rPr>
          <w:rFonts w:ascii="Arial" w:cs="Arial" w:eastAsia="Arial" w:hAnsi="Arial"/>
          <w:sz w:val="19"/>
          <w:szCs w:val="19"/>
          <w:color w:val="auto"/>
        </w:rPr>
        <w:t xml:space="preserve"> Fire-Rated Sheathing, LP WeatherLogic</w:t>
      </w:r>
      <w:r>
        <w:rPr>
          <w:rFonts w:ascii="Arial" w:cs="Arial" w:eastAsia="Arial" w:hAnsi="Arial"/>
          <w:sz w:val="13"/>
          <w:szCs w:val="13"/>
          <w:color w:val="auto"/>
        </w:rPr>
        <w:t>®</w:t>
      </w:r>
      <w:r>
        <w:rPr>
          <w:rFonts w:ascii="Arial" w:cs="Arial" w:eastAsia="Arial" w:hAnsi="Arial"/>
          <w:sz w:val="19"/>
          <w:szCs w:val="19"/>
          <w:color w:val="auto"/>
        </w:rPr>
        <w:t xml:space="preserve"> Air &amp; Water Barrier, LP</w:t>
      </w:r>
      <w:r>
        <w:rPr>
          <w:rFonts w:ascii="Arial" w:cs="Arial" w:eastAsia="Arial" w:hAnsi="Arial"/>
          <w:sz w:val="13"/>
          <w:szCs w:val="13"/>
          <w:color w:val="auto"/>
        </w:rPr>
        <w:t>®</w:t>
      </w:r>
      <w:r>
        <w:rPr>
          <w:rFonts w:ascii="Arial" w:cs="Arial" w:eastAsia="Arial" w:hAnsi="Arial"/>
          <w:sz w:val="19"/>
          <w:szCs w:val="19"/>
          <w:color w:val="auto"/>
        </w:rPr>
        <w:t xml:space="preserve"> TechShield</w:t>
      </w:r>
      <w:r>
        <w:rPr>
          <w:rFonts w:ascii="Arial" w:cs="Arial" w:eastAsia="Arial" w:hAnsi="Arial"/>
          <w:sz w:val="13"/>
          <w:szCs w:val="13"/>
          <w:color w:val="auto"/>
        </w:rPr>
        <w:t>®</w:t>
      </w:r>
      <w:r>
        <w:rPr>
          <w:rFonts w:ascii="Arial" w:cs="Arial" w:eastAsia="Arial" w:hAnsi="Arial"/>
          <w:sz w:val="19"/>
          <w:szCs w:val="19"/>
          <w:color w:val="auto"/>
        </w:rPr>
        <w:t xml:space="preserve"> Radiant Barrier, LP Legacy</w:t>
      </w:r>
      <w:r>
        <w:rPr>
          <w:rFonts w:ascii="Arial" w:cs="Arial" w:eastAsia="Arial" w:hAnsi="Arial"/>
          <w:sz w:val="13"/>
          <w:szCs w:val="13"/>
          <w:color w:val="auto"/>
        </w:rPr>
        <w:t>®</w:t>
      </w:r>
      <w:r>
        <w:rPr>
          <w:rFonts w:ascii="Arial" w:cs="Arial" w:eastAsia="Arial" w:hAnsi="Arial"/>
          <w:sz w:val="19"/>
          <w:szCs w:val="19"/>
          <w:color w:val="auto"/>
        </w:rPr>
        <w:t xml:space="preserve"> Premium Sub-Flooring, and LP</w:t>
      </w:r>
      <w:r>
        <w:rPr>
          <w:rFonts w:ascii="Arial" w:cs="Arial" w:eastAsia="Arial" w:hAnsi="Arial"/>
          <w:sz w:val="13"/>
          <w:szCs w:val="13"/>
          <w:color w:val="auto"/>
        </w:rPr>
        <w:t>®</w:t>
      </w:r>
      <w:r>
        <w:rPr>
          <w:rFonts w:ascii="Arial" w:cs="Arial" w:eastAsia="Arial" w:hAnsi="Arial"/>
          <w:sz w:val="19"/>
          <w:szCs w:val="19"/>
          <w:color w:val="auto"/>
        </w:rPr>
        <w:t xml:space="preserve"> TopNotch</w:t>
      </w:r>
      <w:r>
        <w:rPr>
          <w:rFonts w:ascii="Arial" w:cs="Arial" w:eastAsia="Arial" w:hAnsi="Arial"/>
          <w:sz w:val="13"/>
          <w:szCs w:val="13"/>
          <w:color w:val="auto"/>
        </w:rPr>
        <w:t>®</w:t>
      </w:r>
      <w:r>
        <w:rPr>
          <w:rFonts w:ascii="Arial" w:cs="Arial" w:eastAsia="Arial" w:hAnsi="Arial"/>
          <w:sz w:val="19"/>
          <w:szCs w:val="19"/>
          <w:color w:val="auto"/>
        </w:rPr>
        <w:t xml:space="preserve"> 350 Durable Sub-Flooring).</w:t>
      </w:r>
    </w:p>
    <w:p>
      <w:pPr>
        <w:spacing w:after="0" w:line="56"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accounting policies of the segments are the same as those described in the Company’s summary of significant accounting policies. We evaluate the performance of our operating segments based on segment Adjusted EBITDA, which the CODM uses to evaluate performance and allocate resources.</w:t>
      </w:r>
    </w:p>
    <w:p>
      <w:pPr>
        <w:spacing w:after="0" w:line="75"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Segment Adjusted EBITDA is defined as net income before interest expense, provision for income taxes, depreciation and amortization, and excludes stock-based compensation expense, loss on impairment, business exit credit and charges, product-line discontinuance charges, other operating credits and charges, net, loss on early debt extinguishment, investment income, pension settlement charges, and other non-operating income (expense).</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CODM uses segment Adjusted EBITDA predominantly in the annual budget and forecasting process. The CODM considers budget-to-actual variances on a quarterly basis when making decisions about the allocation of operating and capital resources to each segment. The CODM also uses segment Adjusted EBITDA to assess the relative performance of each segment and to determine the compensation of certain employees.</w:t>
      </w:r>
    </w:p>
    <w:p>
      <w:pPr>
        <w:sectPr>
          <w:pgSz w:w="11880" w:h="15480" w:orient="portrait"/>
          <w:cols w:equalWidth="0" w:num="1">
            <w:col w:w="9360"/>
          </w:cols>
          <w:pgMar w:left="1260" w:top="1197"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9360"/>
          </w:cols>
          <w:pgMar w:left="1260" w:top="1197" w:right="1260" w:bottom="225" w:gutter="0" w:footer="0" w:header="0"/>
          <w:type w:val="continuous"/>
        </w:sectPr>
      </w:pPr>
    </w:p>
    <w:bookmarkStart w:id="94" w:name="page95"/>
    <w:bookmarkEnd w:id="94"/>
    <w:p>
      <w:pPr>
        <w:spacing w:after="0"/>
        <w:rPr>
          <w:sz w:val="20"/>
          <w:szCs w:val="20"/>
          <w:color w:val="auto"/>
        </w:rPr>
      </w:pPr>
      <w:r>
        <w:rPr>
          <w:rFonts w:ascii="Arial" w:cs="Arial" w:eastAsia="Arial" w:hAnsi="Arial"/>
          <w:sz w:val="20"/>
          <w:szCs w:val="20"/>
          <w:color w:val="auto"/>
        </w:rPr>
        <w:t>Information about our segments is as follows (dollar amounts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gridSpan w:val="11"/>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 2025</w:t>
            </w:r>
          </w:p>
        </w:tc>
      </w:tr>
      <w:tr>
        <w:trPr>
          <w:trHeight w:val="33"/>
        </w:trPr>
        <w:tc>
          <w:tcPr>
            <w:tcW w:w="5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7"/>
        </w:trPr>
        <w:tc>
          <w:tcPr>
            <w:tcW w:w="5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Siding</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OSB</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33"/>
        </w:trPr>
        <w:tc>
          <w:tcPr>
            <w:tcW w:w="5320" w:type="dxa"/>
            <w:vAlign w:val="bottom"/>
            <w:tcBorders>
              <w:bottom w:val="single" w:sz="8" w:color="E6E6E6"/>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0"/>
        </w:trPr>
        <w:tc>
          <w:tcPr>
            <w:tcW w:w="5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Revenues from external customers</w:t>
            </w:r>
          </w:p>
        </w:tc>
        <w:tc>
          <w:tcPr>
            <w:tcW w:w="280" w:type="dxa"/>
            <w:vAlign w:val="bottom"/>
            <w:tcBorders>
              <w:bottom w:val="single" w:sz="8" w:color="E6E6E6"/>
            </w:tcBorders>
            <w:shd w:val="clear" w:color="auto" w:fill="E6E6E6"/>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1,689</w:t>
            </w:r>
          </w:p>
        </w:tc>
        <w:tc>
          <w:tcPr>
            <w:tcW w:w="2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E6E6E6"/>
            </w:tcBorders>
            <w:gridSpan w:val="3"/>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832</w:t>
            </w:r>
          </w:p>
        </w:tc>
        <w:tc>
          <w:tcPr>
            <w:tcW w:w="2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E6E6E6"/>
            </w:tcBorders>
            <w:gridSpan w:val="3"/>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2,521</w:t>
            </w:r>
          </w:p>
        </w:tc>
      </w:tr>
      <w:tr>
        <w:trPr>
          <w:trHeight w:val="258"/>
        </w:trPr>
        <w:tc>
          <w:tcPr>
            <w:tcW w:w="532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Reconciliation of revenue</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2"/>
        </w:trPr>
        <w:tc>
          <w:tcPr>
            <w:tcW w:w="5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5"/>
        </w:trPr>
        <w:tc>
          <w:tcPr>
            <w:tcW w:w="53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Other revenues</w:t>
            </w:r>
            <w:r>
              <w:rPr>
                <w:rFonts w:ascii="Arial" w:cs="Arial" w:eastAsia="Arial" w:hAnsi="Arial"/>
                <w:sz w:val="11"/>
                <w:szCs w:val="11"/>
                <w:color w:val="auto"/>
              </w:rPr>
              <w:t>1</w:t>
            </w:r>
          </w:p>
        </w:tc>
        <w:tc>
          <w:tcPr>
            <w:tcW w:w="28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187</w:t>
            </w:r>
          </w:p>
        </w:tc>
      </w:tr>
      <w:tr>
        <w:trPr>
          <w:trHeight w:val="300"/>
        </w:trPr>
        <w:tc>
          <w:tcPr>
            <w:tcW w:w="5320" w:type="dxa"/>
            <w:vAlign w:val="bottom"/>
            <w:tcBorders>
              <w:top w:val="single" w:sz="8" w:color="E6E6E6"/>
              <w:bottom w:val="single" w:sz="8" w:color="E6E6E6"/>
            </w:tcBorders>
          </w:tcPr>
          <w:p>
            <w:pPr>
              <w:ind w:left="60"/>
              <w:spacing w:after="0"/>
              <w:rPr>
                <w:sz w:val="20"/>
                <w:szCs w:val="20"/>
                <w:color w:val="auto"/>
              </w:rPr>
            </w:pPr>
            <w:r>
              <w:rPr>
                <w:rFonts w:ascii="Arial" w:cs="Arial" w:eastAsia="Arial" w:hAnsi="Arial"/>
                <w:sz w:val="18"/>
                <w:szCs w:val="18"/>
                <w:b w:val="1"/>
                <w:bCs w:val="1"/>
                <w:color w:val="auto"/>
              </w:rPr>
              <w:t>Total consolidated revenues</w:t>
            </w:r>
          </w:p>
        </w:tc>
        <w:tc>
          <w:tcPr>
            <w:tcW w:w="280" w:type="dxa"/>
            <w:vAlign w:val="bottom"/>
            <w:tcBorders>
              <w:top w:val="single" w:sz="8" w:color="E6E6E6"/>
              <w:bottom w:val="single" w:sz="8" w:color="E6E6E6"/>
            </w:tcBorders>
          </w:tcPr>
          <w:p>
            <w:pPr>
              <w:spacing w:after="0"/>
              <w:rPr>
                <w:sz w:val="24"/>
                <w:szCs w:val="24"/>
                <w:color w:val="auto"/>
              </w:rPr>
            </w:pPr>
          </w:p>
        </w:tc>
        <w:tc>
          <w:tcPr>
            <w:tcW w:w="102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4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300" w:type="dxa"/>
            <w:vAlign w:val="bottom"/>
            <w:tcBorders>
              <w:top w:val="single" w:sz="8" w:color="E6E6E6"/>
              <w:bottom w:val="single" w:sz="8" w:color="E6E6E6"/>
            </w:tcBorders>
          </w:tcPr>
          <w:p>
            <w:pPr>
              <w:spacing w:after="0"/>
              <w:rPr>
                <w:sz w:val="24"/>
                <w:szCs w:val="24"/>
                <w:color w:val="auto"/>
              </w:rPr>
            </w:pPr>
          </w:p>
        </w:tc>
        <w:tc>
          <w:tcPr>
            <w:tcW w:w="100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60" w:type="dxa"/>
            <w:vAlign w:val="bottom"/>
            <w:tcBorders>
              <w:top w:val="single" w:sz="8" w:color="E6E6E6"/>
              <w:bottom w:val="single" w:sz="8" w:color="E6E6E6"/>
            </w:tcBorders>
            <w:gridSpan w:val="2"/>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2,708</w:t>
            </w:r>
          </w:p>
        </w:tc>
      </w:tr>
      <w:tr>
        <w:trPr>
          <w:trHeight w:val="250"/>
        </w:trPr>
        <w:tc>
          <w:tcPr>
            <w:tcW w:w="5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i w:val="1"/>
                <w:iCs w:val="1"/>
                <w:color w:val="auto"/>
              </w:rPr>
              <w:t>Less:</w:t>
            </w:r>
          </w:p>
        </w:tc>
        <w:tc>
          <w:tcPr>
            <w:tcW w:w="280" w:type="dxa"/>
            <w:vAlign w:val="bottom"/>
            <w:tcBorders>
              <w:bottom w:val="single" w:sz="8" w:color="E6E6E6"/>
            </w:tcBorders>
            <w:shd w:val="clear" w:color="auto" w:fill="E6E6E6"/>
          </w:tcPr>
          <w:p>
            <w:pPr>
              <w:spacing w:after="0"/>
              <w:rPr>
                <w:sz w:val="21"/>
                <w:szCs w:val="21"/>
                <w:color w:val="auto"/>
              </w:rPr>
            </w:pPr>
          </w:p>
        </w:tc>
        <w:tc>
          <w:tcPr>
            <w:tcW w:w="102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300" w:type="dxa"/>
            <w:vAlign w:val="bottom"/>
            <w:tcBorders>
              <w:bottom w:val="single" w:sz="8" w:color="E6E6E6"/>
            </w:tcBorders>
            <w:shd w:val="clear" w:color="auto" w:fill="E6E6E6"/>
          </w:tcPr>
          <w:p>
            <w:pPr>
              <w:spacing w:after="0"/>
              <w:rPr>
                <w:sz w:val="21"/>
                <w:szCs w:val="21"/>
                <w:color w:val="auto"/>
              </w:rPr>
            </w:pPr>
          </w:p>
        </w:tc>
        <w:tc>
          <w:tcPr>
            <w:tcW w:w="100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80" w:type="dxa"/>
            <w:vAlign w:val="bottom"/>
            <w:tcBorders>
              <w:bottom w:val="single" w:sz="8" w:color="E6E6E6"/>
            </w:tcBorders>
            <w:shd w:val="clear" w:color="auto" w:fill="E6E6E6"/>
          </w:tcPr>
          <w:p>
            <w:pPr>
              <w:spacing w:after="0"/>
              <w:rPr>
                <w:sz w:val="21"/>
                <w:szCs w:val="21"/>
                <w:color w:val="auto"/>
              </w:rPr>
            </w:pPr>
          </w:p>
        </w:tc>
        <w:tc>
          <w:tcPr>
            <w:tcW w:w="1000" w:type="dxa"/>
            <w:vAlign w:val="bottom"/>
            <w:tcBorders>
              <w:bottom w:val="single" w:sz="8" w:color="E6E6E6"/>
            </w:tcBorders>
            <w:shd w:val="clear" w:color="auto" w:fill="E6E6E6"/>
          </w:tcPr>
          <w:p>
            <w:pPr>
              <w:spacing w:after="0"/>
              <w:rPr>
                <w:sz w:val="21"/>
                <w:szCs w:val="21"/>
                <w:color w:val="auto"/>
              </w:rPr>
            </w:pPr>
          </w:p>
        </w:tc>
      </w:tr>
      <w:tr>
        <w:trPr>
          <w:trHeight w:val="258"/>
        </w:trPr>
        <w:tc>
          <w:tcPr>
            <w:tcW w:w="532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2"/>
        </w:trPr>
        <w:tc>
          <w:tcPr>
            <w:tcW w:w="5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53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(176)</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(68)</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r>
      <w:tr>
        <w:trPr>
          <w:trHeight w:val="258"/>
        </w:trPr>
        <w:tc>
          <w:tcPr>
            <w:tcW w:w="53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2"/>
        </w:trPr>
        <w:tc>
          <w:tcPr>
            <w:tcW w:w="5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5"/>
        </w:trPr>
        <w:tc>
          <w:tcPr>
            <w:tcW w:w="53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Other segment items</w:t>
            </w:r>
            <w:r>
              <w:rPr>
                <w:rFonts w:ascii="Arial" w:cs="Arial" w:eastAsia="Arial" w:hAnsi="Arial"/>
                <w:sz w:val="11"/>
                <w:szCs w:val="11"/>
                <w:color w:val="auto"/>
              </w:rPr>
              <w:t>2</w:t>
            </w:r>
          </w:p>
        </w:tc>
        <w:tc>
          <w:tcPr>
            <w:tcW w:w="28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r>
      <w:tr>
        <w:trPr>
          <w:trHeight w:val="260"/>
        </w:trPr>
        <w:tc>
          <w:tcPr>
            <w:tcW w:w="5320" w:type="dxa"/>
            <w:vAlign w:val="bottom"/>
            <w:tcBorders>
              <w:top w:val="single" w:sz="8" w:color="E6E6E6"/>
            </w:tcBorders>
          </w:tcPr>
          <w:p>
            <w:pPr>
              <w:ind w:left="60"/>
              <w:spacing w:after="0"/>
              <w:rPr>
                <w:sz w:val="20"/>
                <w:szCs w:val="20"/>
                <w:color w:val="auto"/>
              </w:rPr>
            </w:pPr>
            <w:r>
              <w:rPr>
                <w:rFonts w:ascii="Arial" w:cs="Arial" w:eastAsia="Arial" w:hAnsi="Arial"/>
                <w:sz w:val="18"/>
                <w:szCs w:val="18"/>
                <w:b w:val="1"/>
                <w:bCs w:val="1"/>
                <w:color w:val="auto"/>
              </w:rPr>
              <w:t>Reportable segment Adjusted EBITDA</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w:t>
            </w:r>
          </w:p>
        </w:tc>
        <w:tc>
          <w:tcPr>
            <w:tcW w:w="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E6E6E6"/>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Borders>
              <w:top w:val="single" w:sz="8" w:color="E6E6E6"/>
              <w:bottom w:val="single" w:sz="8" w:color="auto"/>
            </w:tcBorders>
          </w:tcPr>
          <w:p>
            <w:pPr>
              <w:spacing w:after="0"/>
              <w:rPr>
                <w:sz w:val="22"/>
                <w:szCs w:val="22"/>
                <w:color w:val="auto"/>
              </w:rPr>
            </w:pPr>
          </w:p>
        </w:tc>
        <w:tc>
          <w:tcPr>
            <w:tcW w:w="40" w:type="dxa"/>
            <w:vAlign w:val="bottom"/>
            <w:tcBorders>
              <w:top w:val="single" w:sz="8" w:color="E6E6E6"/>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w:t>
            </w: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r>
      <w:tr>
        <w:trPr>
          <w:trHeight w:val="447"/>
        </w:trPr>
        <w:tc>
          <w:tcPr>
            <w:tcW w:w="5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60" w:type="dxa"/>
            <w:vAlign w:val="bottom"/>
            <w:gridSpan w:val="11"/>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 2024</w:t>
            </w:r>
          </w:p>
        </w:tc>
      </w:tr>
      <w:tr>
        <w:trPr>
          <w:trHeight w:val="33"/>
        </w:trPr>
        <w:tc>
          <w:tcPr>
            <w:tcW w:w="5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7"/>
        </w:trPr>
        <w:tc>
          <w:tcPr>
            <w:tcW w:w="5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Siding</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OSB</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33"/>
        </w:trPr>
        <w:tc>
          <w:tcPr>
            <w:tcW w:w="5320" w:type="dxa"/>
            <w:vAlign w:val="bottom"/>
            <w:tcBorders>
              <w:bottom w:val="single" w:sz="8" w:color="E6E6E6"/>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0"/>
        </w:trPr>
        <w:tc>
          <w:tcPr>
            <w:tcW w:w="5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Revenues from external customers</w:t>
            </w:r>
          </w:p>
        </w:tc>
        <w:tc>
          <w:tcPr>
            <w:tcW w:w="280" w:type="dxa"/>
            <w:vAlign w:val="bottom"/>
            <w:tcBorders>
              <w:bottom w:val="single" w:sz="8" w:color="E6E6E6"/>
            </w:tcBorders>
            <w:shd w:val="clear" w:color="auto" w:fill="E6E6E6"/>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1,558</w:t>
            </w:r>
          </w:p>
        </w:tc>
        <w:tc>
          <w:tcPr>
            <w:tcW w:w="2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E6E6E6"/>
            </w:tcBorders>
            <w:gridSpan w:val="3"/>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1,184</w:t>
            </w:r>
          </w:p>
        </w:tc>
        <w:tc>
          <w:tcPr>
            <w:tcW w:w="2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E6E6E6"/>
            </w:tcBorders>
            <w:gridSpan w:val="3"/>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2,742</w:t>
            </w:r>
          </w:p>
        </w:tc>
      </w:tr>
      <w:tr>
        <w:trPr>
          <w:trHeight w:val="258"/>
        </w:trPr>
        <w:tc>
          <w:tcPr>
            <w:tcW w:w="532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Reconciliation of revenue</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2"/>
        </w:trPr>
        <w:tc>
          <w:tcPr>
            <w:tcW w:w="5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5"/>
        </w:trPr>
        <w:tc>
          <w:tcPr>
            <w:tcW w:w="53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Other revenues</w:t>
            </w:r>
            <w:r>
              <w:rPr>
                <w:rFonts w:ascii="Arial" w:cs="Arial" w:eastAsia="Arial" w:hAnsi="Arial"/>
                <w:sz w:val="11"/>
                <w:szCs w:val="11"/>
                <w:color w:val="auto"/>
              </w:rPr>
              <w:t>1</w:t>
            </w:r>
          </w:p>
        </w:tc>
        <w:tc>
          <w:tcPr>
            <w:tcW w:w="28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199</w:t>
            </w:r>
          </w:p>
        </w:tc>
      </w:tr>
      <w:tr>
        <w:trPr>
          <w:trHeight w:val="300"/>
        </w:trPr>
        <w:tc>
          <w:tcPr>
            <w:tcW w:w="5320" w:type="dxa"/>
            <w:vAlign w:val="bottom"/>
            <w:tcBorders>
              <w:top w:val="single" w:sz="8" w:color="E6E6E6"/>
              <w:bottom w:val="single" w:sz="8" w:color="E6E6E6"/>
            </w:tcBorders>
          </w:tcPr>
          <w:p>
            <w:pPr>
              <w:ind w:left="60"/>
              <w:spacing w:after="0"/>
              <w:rPr>
                <w:sz w:val="20"/>
                <w:szCs w:val="20"/>
                <w:color w:val="auto"/>
              </w:rPr>
            </w:pPr>
            <w:r>
              <w:rPr>
                <w:rFonts w:ascii="Arial" w:cs="Arial" w:eastAsia="Arial" w:hAnsi="Arial"/>
                <w:sz w:val="18"/>
                <w:szCs w:val="18"/>
                <w:b w:val="1"/>
                <w:bCs w:val="1"/>
                <w:color w:val="auto"/>
              </w:rPr>
              <w:t>Total consolidated revenues</w:t>
            </w:r>
          </w:p>
        </w:tc>
        <w:tc>
          <w:tcPr>
            <w:tcW w:w="280" w:type="dxa"/>
            <w:vAlign w:val="bottom"/>
            <w:tcBorders>
              <w:top w:val="single" w:sz="8" w:color="E6E6E6"/>
              <w:bottom w:val="single" w:sz="8" w:color="E6E6E6"/>
            </w:tcBorders>
          </w:tcPr>
          <w:p>
            <w:pPr>
              <w:spacing w:after="0"/>
              <w:rPr>
                <w:sz w:val="24"/>
                <w:szCs w:val="24"/>
                <w:color w:val="auto"/>
              </w:rPr>
            </w:pPr>
          </w:p>
        </w:tc>
        <w:tc>
          <w:tcPr>
            <w:tcW w:w="102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4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300" w:type="dxa"/>
            <w:vAlign w:val="bottom"/>
            <w:tcBorders>
              <w:top w:val="single" w:sz="8" w:color="E6E6E6"/>
              <w:bottom w:val="single" w:sz="8" w:color="E6E6E6"/>
            </w:tcBorders>
          </w:tcPr>
          <w:p>
            <w:pPr>
              <w:spacing w:after="0"/>
              <w:rPr>
                <w:sz w:val="24"/>
                <w:szCs w:val="24"/>
                <w:color w:val="auto"/>
              </w:rPr>
            </w:pPr>
          </w:p>
        </w:tc>
        <w:tc>
          <w:tcPr>
            <w:tcW w:w="100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60" w:type="dxa"/>
            <w:vAlign w:val="bottom"/>
            <w:tcBorders>
              <w:top w:val="single" w:sz="8" w:color="E6E6E6"/>
              <w:bottom w:val="single" w:sz="8" w:color="E6E6E6"/>
            </w:tcBorders>
            <w:gridSpan w:val="2"/>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2,941</w:t>
            </w:r>
          </w:p>
        </w:tc>
      </w:tr>
      <w:tr>
        <w:trPr>
          <w:trHeight w:val="250"/>
        </w:trPr>
        <w:tc>
          <w:tcPr>
            <w:tcW w:w="5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i w:val="1"/>
                <w:iCs w:val="1"/>
                <w:color w:val="auto"/>
              </w:rPr>
              <w:t>Less:</w:t>
            </w:r>
          </w:p>
        </w:tc>
        <w:tc>
          <w:tcPr>
            <w:tcW w:w="280" w:type="dxa"/>
            <w:vAlign w:val="bottom"/>
            <w:tcBorders>
              <w:bottom w:val="single" w:sz="8" w:color="E6E6E6"/>
            </w:tcBorders>
            <w:shd w:val="clear" w:color="auto" w:fill="E6E6E6"/>
          </w:tcPr>
          <w:p>
            <w:pPr>
              <w:spacing w:after="0"/>
              <w:rPr>
                <w:sz w:val="21"/>
                <w:szCs w:val="21"/>
                <w:color w:val="auto"/>
              </w:rPr>
            </w:pPr>
          </w:p>
        </w:tc>
        <w:tc>
          <w:tcPr>
            <w:tcW w:w="102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300" w:type="dxa"/>
            <w:vAlign w:val="bottom"/>
            <w:tcBorders>
              <w:bottom w:val="single" w:sz="8" w:color="E6E6E6"/>
            </w:tcBorders>
            <w:shd w:val="clear" w:color="auto" w:fill="E6E6E6"/>
          </w:tcPr>
          <w:p>
            <w:pPr>
              <w:spacing w:after="0"/>
              <w:rPr>
                <w:sz w:val="21"/>
                <w:szCs w:val="21"/>
                <w:color w:val="auto"/>
              </w:rPr>
            </w:pPr>
          </w:p>
        </w:tc>
        <w:tc>
          <w:tcPr>
            <w:tcW w:w="100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80" w:type="dxa"/>
            <w:vAlign w:val="bottom"/>
            <w:tcBorders>
              <w:bottom w:val="single" w:sz="8" w:color="E6E6E6"/>
            </w:tcBorders>
            <w:shd w:val="clear" w:color="auto" w:fill="E6E6E6"/>
          </w:tcPr>
          <w:p>
            <w:pPr>
              <w:spacing w:after="0"/>
              <w:rPr>
                <w:sz w:val="21"/>
                <w:szCs w:val="21"/>
                <w:color w:val="auto"/>
              </w:rPr>
            </w:pPr>
          </w:p>
        </w:tc>
        <w:tc>
          <w:tcPr>
            <w:tcW w:w="1000" w:type="dxa"/>
            <w:vAlign w:val="bottom"/>
            <w:tcBorders>
              <w:bottom w:val="single" w:sz="8" w:color="E6E6E6"/>
            </w:tcBorders>
            <w:shd w:val="clear" w:color="auto" w:fill="E6E6E6"/>
          </w:tcPr>
          <w:p>
            <w:pPr>
              <w:spacing w:after="0"/>
              <w:rPr>
                <w:sz w:val="21"/>
                <w:szCs w:val="21"/>
                <w:color w:val="auto"/>
              </w:rPr>
            </w:pPr>
          </w:p>
        </w:tc>
      </w:tr>
      <w:tr>
        <w:trPr>
          <w:trHeight w:val="258"/>
        </w:trPr>
        <w:tc>
          <w:tcPr>
            <w:tcW w:w="532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2"/>
        </w:trPr>
        <w:tc>
          <w:tcPr>
            <w:tcW w:w="5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53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(155)</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r>
      <w:tr>
        <w:trPr>
          <w:trHeight w:val="258"/>
        </w:trPr>
        <w:tc>
          <w:tcPr>
            <w:tcW w:w="53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2"/>
        </w:trPr>
        <w:tc>
          <w:tcPr>
            <w:tcW w:w="5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5"/>
        </w:trPr>
        <w:tc>
          <w:tcPr>
            <w:tcW w:w="53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Other segment items</w:t>
            </w:r>
            <w:r>
              <w:rPr>
                <w:rFonts w:ascii="Arial" w:cs="Arial" w:eastAsia="Arial" w:hAnsi="Arial"/>
                <w:sz w:val="11"/>
                <w:szCs w:val="11"/>
                <w:color w:val="auto"/>
              </w:rPr>
              <w:t>2</w:t>
            </w:r>
          </w:p>
        </w:tc>
        <w:tc>
          <w:tcPr>
            <w:tcW w:w="28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r>
      <w:tr>
        <w:trPr>
          <w:trHeight w:val="260"/>
        </w:trPr>
        <w:tc>
          <w:tcPr>
            <w:tcW w:w="5320" w:type="dxa"/>
            <w:vAlign w:val="bottom"/>
            <w:tcBorders>
              <w:top w:val="single" w:sz="8" w:color="E6E6E6"/>
            </w:tcBorders>
          </w:tcPr>
          <w:p>
            <w:pPr>
              <w:ind w:left="60"/>
              <w:spacing w:after="0"/>
              <w:rPr>
                <w:sz w:val="20"/>
                <w:szCs w:val="20"/>
                <w:color w:val="auto"/>
              </w:rPr>
            </w:pPr>
            <w:r>
              <w:rPr>
                <w:rFonts w:ascii="Arial" w:cs="Arial" w:eastAsia="Arial" w:hAnsi="Arial"/>
                <w:sz w:val="18"/>
                <w:szCs w:val="18"/>
                <w:b w:val="1"/>
                <w:bCs w:val="1"/>
                <w:color w:val="auto"/>
              </w:rPr>
              <w:t>Reportable segment Adjusted EBITDA</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w:t>
            </w:r>
          </w:p>
        </w:tc>
        <w:tc>
          <w:tcPr>
            <w:tcW w:w="20" w:type="dxa"/>
            <w:vAlign w:val="bottom"/>
            <w:tcBorders>
              <w:top w:val="single" w:sz="8" w:color="E6E6E6"/>
            </w:tcBorders>
          </w:tcPr>
          <w:p>
            <w:pPr>
              <w:spacing w:after="0"/>
              <w:rPr>
                <w:sz w:val="22"/>
                <w:szCs w:val="22"/>
                <w:color w:val="auto"/>
              </w:rPr>
            </w:pPr>
          </w:p>
        </w:tc>
        <w:tc>
          <w:tcPr>
            <w:tcW w:w="40" w:type="dxa"/>
            <w:vAlign w:val="bottom"/>
            <w:tcBorders>
              <w:top w:val="single" w:sz="8" w:color="E6E6E6"/>
            </w:tcBorders>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w:t>
            </w:r>
          </w:p>
        </w:tc>
        <w:tc>
          <w:tcPr>
            <w:tcW w:w="20" w:type="dxa"/>
            <w:vAlign w:val="bottom"/>
            <w:tcBorders>
              <w:top w:val="single" w:sz="8" w:color="E6E6E6"/>
            </w:tcBorders>
          </w:tcPr>
          <w:p>
            <w:pPr>
              <w:spacing w:after="0"/>
              <w:rPr>
                <w:sz w:val="22"/>
                <w:szCs w:val="22"/>
                <w:color w:val="auto"/>
              </w:rPr>
            </w:pPr>
          </w:p>
        </w:tc>
        <w:tc>
          <w:tcPr>
            <w:tcW w:w="40" w:type="dxa"/>
            <w:vAlign w:val="bottom"/>
            <w:tcBorders>
              <w:top w:val="single" w:sz="8" w:color="E6E6E6"/>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w:t>
            </w: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r>
      <w:tr>
        <w:trPr>
          <w:trHeight w:val="447"/>
        </w:trPr>
        <w:tc>
          <w:tcPr>
            <w:tcW w:w="5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60" w:type="dxa"/>
            <w:vAlign w:val="bottom"/>
            <w:gridSpan w:val="11"/>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 2023</w:t>
            </w:r>
          </w:p>
        </w:tc>
      </w:tr>
      <w:tr>
        <w:trPr>
          <w:trHeight w:val="33"/>
        </w:trPr>
        <w:tc>
          <w:tcPr>
            <w:tcW w:w="5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7"/>
        </w:trPr>
        <w:tc>
          <w:tcPr>
            <w:tcW w:w="5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Siding</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OSB</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33"/>
        </w:trPr>
        <w:tc>
          <w:tcPr>
            <w:tcW w:w="5320" w:type="dxa"/>
            <w:vAlign w:val="bottom"/>
            <w:tcBorders>
              <w:bottom w:val="single" w:sz="8" w:color="E6E6E6"/>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40" w:type="dxa"/>
            <w:vAlign w:val="bottom"/>
            <w:tcBorders>
              <w:bottom w:val="single" w:sz="8" w:color="E6E6E6"/>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4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0"/>
        </w:trPr>
        <w:tc>
          <w:tcPr>
            <w:tcW w:w="5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Revenues from external customers</w:t>
            </w:r>
          </w:p>
        </w:tc>
        <w:tc>
          <w:tcPr>
            <w:tcW w:w="280" w:type="dxa"/>
            <w:vAlign w:val="bottom"/>
            <w:tcBorders>
              <w:bottom w:val="single" w:sz="8" w:color="E6E6E6"/>
            </w:tcBorders>
            <w:shd w:val="clear" w:color="auto" w:fill="E6E6E6"/>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1,328</w:t>
            </w:r>
          </w:p>
        </w:tc>
        <w:tc>
          <w:tcPr>
            <w:tcW w:w="2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E6E6E6"/>
            </w:tcBorders>
            <w:gridSpan w:val="3"/>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1,026</w:t>
            </w:r>
          </w:p>
        </w:tc>
        <w:tc>
          <w:tcPr>
            <w:tcW w:w="20" w:type="dxa"/>
            <w:vAlign w:val="bottom"/>
            <w:tcBorders>
              <w:bottom w:val="single" w:sz="8" w:color="E6E6E6"/>
            </w:tcBorders>
            <w:shd w:val="clear" w:color="auto" w:fill="E6E6E6"/>
          </w:tcPr>
          <w:p>
            <w:pPr>
              <w:spacing w:after="0"/>
              <w:rPr>
                <w:sz w:val="23"/>
                <w:szCs w:val="23"/>
                <w:color w:val="auto"/>
              </w:rPr>
            </w:pPr>
          </w:p>
        </w:tc>
        <w:tc>
          <w:tcPr>
            <w:tcW w:w="340" w:type="dxa"/>
            <w:vAlign w:val="bottom"/>
            <w:tcBorders>
              <w:bottom w:val="single" w:sz="8" w:color="E6E6E6"/>
            </w:tcBorders>
            <w:gridSpan w:val="3"/>
            <w:shd w:val="clear" w:color="auto" w:fill="E6E6E6"/>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2,354</w:t>
            </w:r>
          </w:p>
        </w:tc>
      </w:tr>
      <w:tr>
        <w:trPr>
          <w:trHeight w:val="258"/>
        </w:trPr>
        <w:tc>
          <w:tcPr>
            <w:tcW w:w="532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Reconciliation of revenue</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2"/>
        </w:trPr>
        <w:tc>
          <w:tcPr>
            <w:tcW w:w="5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5"/>
        </w:trPr>
        <w:tc>
          <w:tcPr>
            <w:tcW w:w="53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Other revenues</w:t>
            </w:r>
            <w:r>
              <w:rPr>
                <w:rFonts w:ascii="Arial" w:cs="Arial" w:eastAsia="Arial" w:hAnsi="Arial"/>
                <w:sz w:val="11"/>
                <w:szCs w:val="11"/>
                <w:color w:val="auto"/>
              </w:rPr>
              <w:t>1</w:t>
            </w:r>
          </w:p>
        </w:tc>
        <w:tc>
          <w:tcPr>
            <w:tcW w:w="28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227</w:t>
            </w:r>
          </w:p>
        </w:tc>
      </w:tr>
      <w:tr>
        <w:trPr>
          <w:trHeight w:val="300"/>
        </w:trPr>
        <w:tc>
          <w:tcPr>
            <w:tcW w:w="5320" w:type="dxa"/>
            <w:vAlign w:val="bottom"/>
            <w:tcBorders>
              <w:top w:val="single" w:sz="8" w:color="E6E6E6"/>
              <w:bottom w:val="single" w:sz="8" w:color="E6E6E6"/>
            </w:tcBorders>
          </w:tcPr>
          <w:p>
            <w:pPr>
              <w:ind w:left="60"/>
              <w:spacing w:after="0"/>
              <w:rPr>
                <w:sz w:val="20"/>
                <w:szCs w:val="20"/>
                <w:color w:val="auto"/>
              </w:rPr>
            </w:pPr>
            <w:r>
              <w:rPr>
                <w:rFonts w:ascii="Arial" w:cs="Arial" w:eastAsia="Arial" w:hAnsi="Arial"/>
                <w:sz w:val="18"/>
                <w:szCs w:val="18"/>
                <w:b w:val="1"/>
                <w:bCs w:val="1"/>
                <w:color w:val="auto"/>
              </w:rPr>
              <w:t>Total consolidated revenues</w:t>
            </w:r>
          </w:p>
        </w:tc>
        <w:tc>
          <w:tcPr>
            <w:tcW w:w="280" w:type="dxa"/>
            <w:vAlign w:val="bottom"/>
            <w:tcBorders>
              <w:top w:val="single" w:sz="8" w:color="E6E6E6"/>
              <w:bottom w:val="single" w:sz="8" w:color="E6E6E6"/>
            </w:tcBorders>
          </w:tcPr>
          <w:p>
            <w:pPr>
              <w:spacing w:after="0"/>
              <w:rPr>
                <w:sz w:val="24"/>
                <w:szCs w:val="24"/>
                <w:color w:val="auto"/>
              </w:rPr>
            </w:pPr>
          </w:p>
        </w:tc>
        <w:tc>
          <w:tcPr>
            <w:tcW w:w="102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4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300" w:type="dxa"/>
            <w:vAlign w:val="bottom"/>
            <w:tcBorders>
              <w:top w:val="single" w:sz="8" w:color="E6E6E6"/>
              <w:bottom w:val="single" w:sz="8" w:color="E6E6E6"/>
            </w:tcBorders>
          </w:tcPr>
          <w:p>
            <w:pPr>
              <w:spacing w:after="0"/>
              <w:rPr>
                <w:sz w:val="24"/>
                <w:szCs w:val="24"/>
                <w:color w:val="auto"/>
              </w:rPr>
            </w:pPr>
          </w:p>
        </w:tc>
        <w:tc>
          <w:tcPr>
            <w:tcW w:w="1000" w:type="dxa"/>
            <w:vAlign w:val="bottom"/>
            <w:tcBorders>
              <w:top w:val="single" w:sz="8" w:color="E6E6E6"/>
              <w:bottom w:val="single" w:sz="8" w:color="E6E6E6"/>
            </w:tcBorders>
          </w:tcPr>
          <w:p>
            <w:pPr>
              <w:spacing w:after="0"/>
              <w:rPr>
                <w:sz w:val="24"/>
                <w:szCs w:val="24"/>
                <w:color w:val="auto"/>
              </w:rPr>
            </w:pPr>
          </w:p>
        </w:tc>
        <w:tc>
          <w:tcPr>
            <w:tcW w:w="20" w:type="dxa"/>
            <w:vAlign w:val="bottom"/>
            <w:tcBorders>
              <w:top w:val="single" w:sz="8" w:color="E6E6E6"/>
              <w:bottom w:val="single" w:sz="8" w:color="E6E6E6"/>
            </w:tcBorders>
          </w:tcPr>
          <w:p>
            <w:pPr>
              <w:spacing w:after="0"/>
              <w:rPr>
                <w:sz w:val="24"/>
                <w:szCs w:val="24"/>
                <w:color w:val="auto"/>
              </w:rPr>
            </w:pPr>
          </w:p>
        </w:tc>
        <w:tc>
          <w:tcPr>
            <w:tcW w:w="40" w:type="dxa"/>
            <w:vAlign w:val="bottom"/>
            <w:tcBorders>
              <w:top w:val="single" w:sz="8" w:color="E6E6E6"/>
              <w:bottom w:val="single" w:sz="8" w:color="E6E6E6"/>
            </w:tcBorders>
          </w:tcPr>
          <w:p>
            <w:pPr>
              <w:spacing w:after="0"/>
              <w:rPr>
                <w:sz w:val="24"/>
                <w:szCs w:val="24"/>
                <w:color w:val="auto"/>
              </w:rPr>
            </w:pPr>
          </w:p>
        </w:tc>
        <w:tc>
          <w:tcPr>
            <w:tcW w:w="30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2,581</w:t>
            </w:r>
          </w:p>
        </w:tc>
      </w:tr>
      <w:tr>
        <w:trPr>
          <w:trHeight w:val="250"/>
        </w:trPr>
        <w:tc>
          <w:tcPr>
            <w:tcW w:w="5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i w:val="1"/>
                <w:iCs w:val="1"/>
                <w:color w:val="auto"/>
              </w:rPr>
              <w:t>Less:</w:t>
            </w:r>
          </w:p>
        </w:tc>
        <w:tc>
          <w:tcPr>
            <w:tcW w:w="280" w:type="dxa"/>
            <w:vAlign w:val="bottom"/>
            <w:tcBorders>
              <w:bottom w:val="single" w:sz="8" w:color="E6E6E6"/>
            </w:tcBorders>
            <w:shd w:val="clear" w:color="auto" w:fill="E6E6E6"/>
          </w:tcPr>
          <w:p>
            <w:pPr>
              <w:spacing w:after="0"/>
              <w:rPr>
                <w:sz w:val="21"/>
                <w:szCs w:val="21"/>
                <w:color w:val="auto"/>
              </w:rPr>
            </w:pPr>
          </w:p>
        </w:tc>
        <w:tc>
          <w:tcPr>
            <w:tcW w:w="102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300" w:type="dxa"/>
            <w:vAlign w:val="bottom"/>
            <w:tcBorders>
              <w:bottom w:val="single" w:sz="8" w:color="E6E6E6"/>
            </w:tcBorders>
            <w:shd w:val="clear" w:color="auto" w:fill="E6E6E6"/>
          </w:tcPr>
          <w:p>
            <w:pPr>
              <w:spacing w:after="0"/>
              <w:rPr>
                <w:sz w:val="21"/>
                <w:szCs w:val="21"/>
                <w:color w:val="auto"/>
              </w:rPr>
            </w:pPr>
          </w:p>
        </w:tc>
        <w:tc>
          <w:tcPr>
            <w:tcW w:w="100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40" w:type="dxa"/>
            <w:vAlign w:val="bottom"/>
            <w:tcBorders>
              <w:bottom w:val="single" w:sz="8" w:color="E6E6E6"/>
            </w:tcBorders>
            <w:shd w:val="clear" w:color="auto" w:fill="E6E6E6"/>
          </w:tcPr>
          <w:p>
            <w:pPr>
              <w:spacing w:after="0"/>
              <w:rPr>
                <w:sz w:val="21"/>
                <w:szCs w:val="21"/>
                <w:color w:val="auto"/>
              </w:rPr>
            </w:pPr>
          </w:p>
        </w:tc>
        <w:tc>
          <w:tcPr>
            <w:tcW w:w="20" w:type="dxa"/>
            <w:vAlign w:val="bottom"/>
            <w:tcBorders>
              <w:bottom w:val="single" w:sz="8" w:color="E6E6E6"/>
            </w:tcBorders>
            <w:shd w:val="clear" w:color="auto" w:fill="E6E6E6"/>
          </w:tcPr>
          <w:p>
            <w:pPr>
              <w:spacing w:after="0"/>
              <w:rPr>
                <w:sz w:val="21"/>
                <w:szCs w:val="21"/>
                <w:color w:val="auto"/>
              </w:rPr>
            </w:pPr>
          </w:p>
        </w:tc>
        <w:tc>
          <w:tcPr>
            <w:tcW w:w="280" w:type="dxa"/>
            <w:vAlign w:val="bottom"/>
            <w:tcBorders>
              <w:bottom w:val="single" w:sz="8" w:color="E6E6E6"/>
            </w:tcBorders>
            <w:shd w:val="clear" w:color="auto" w:fill="E6E6E6"/>
          </w:tcPr>
          <w:p>
            <w:pPr>
              <w:spacing w:after="0"/>
              <w:rPr>
                <w:sz w:val="21"/>
                <w:szCs w:val="21"/>
                <w:color w:val="auto"/>
              </w:rPr>
            </w:pPr>
          </w:p>
        </w:tc>
        <w:tc>
          <w:tcPr>
            <w:tcW w:w="1000" w:type="dxa"/>
            <w:vAlign w:val="bottom"/>
            <w:tcBorders>
              <w:bottom w:val="single" w:sz="8" w:color="E6E6E6"/>
            </w:tcBorders>
            <w:shd w:val="clear" w:color="auto" w:fill="E6E6E6"/>
          </w:tcPr>
          <w:p>
            <w:pPr>
              <w:spacing w:after="0"/>
              <w:rPr>
                <w:sz w:val="21"/>
                <w:szCs w:val="21"/>
                <w:color w:val="auto"/>
              </w:rPr>
            </w:pPr>
          </w:p>
        </w:tc>
      </w:tr>
      <w:tr>
        <w:trPr>
          <w:trHeight w:val="258"/>
        </w:trPr>
        <w:tc>
          <w:tcPr>
            <w:tcW w:w="532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2"/>
        </w:trPr>
        <w:tc>
          <w:tcPr>
            <w:tcW w:w="5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53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(125)</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(61)</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r>
      <w:tr>
        <w:trPr>
          <w:trHeight w:val="258"/>
        </w:trPr>
        <w:tc>
          <w:tcPr>
            <w:tcW w:w="53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2"/>
        </w:trPr>
        <w:tc>
          <w:tcPr>
            <w:tcW w:w="5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5"/>
        </w:trPr>
        <w:tc>
          <w:tcPr>
            <w:tcW w:w="53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color w:val="auto"/>
              </w:rPr>
              <w:t>Other segment items</w:t>
            </w:r>
            <w:r>
              <w:rPr>
                <w:rFonts w:ascii="Arial" w:cs="Arial" w:eastAsia="Arial" w:hAnsi="Arial"/>
                <w:sz w:val="11"/>
                <w:szCs w:val="11"/>
                <w:color w:val="auto"/>
              </w:rPr>
              <w:t>2</w:t>
            </w:r>
          </w:p>
        </w:tc>
        <w:tc>
          <w:tcPr>
            <w:tcW w:w="280" w:type="dxa"/>
            <w:vAlign w:val="bottom"/>
            <w:tcBorders>
              <w:bottom w:val="single" w:sz="8" w:color="E6E6E6"/>
            </w:tcBorders>
            <w:shd w:val="clear" w:color="auto" w:fill="E6E6E6"/>
          </w:tcPr>
          <w:p>
            <w:pPr>
              <w:spacing w:after="0"/>
              <w:rPr>
                <w:sz w:val="24"/>
                <w:szCs w:val="24"/>
                <w:color w:val="auto"/>
              </w:rPr>
            </w:pPr>
          </w:p>
        </w:tc>
        <w:tc>
          <w:tcPr>
            <w:tcW w:w="10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ind w:right="5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r>
      <w:tr>
        <w:trPr>
          <w:trHeight w:val="260"/>
        </w:trPr>
        <w:tc>
          <w:tcPr>
            <w:tcW w:w="5320" w:type="dxa"/>
            <w:vAlign w:val="bottom"/>
            <w:tcBorders>
              <w:top w:val="single" w:sz="8" w:color="E6E6E6"/>
            </w:tcBorders>
          </w:tcPr>
          <w:p>
            <w:pPr>
              <w:ind w:left="60"/>
              <w:spacing w:after="0"/>
              <w:rPr>
                <w:sz w:val="20"/>
                <w:szCs w:val="20"/>
                <w:color w:val="auto"/>
              </w:rPr>
            </w:pPr>
            <w:r>
              <w:rPr>
                <w:rFonts w:ascii="Arial" w:cs="Arial" w:eastAsia="Arial" w:hAnsi="Arial"/>
                <w:sz w:val="18"/>
                <w:szCs w:val="18"/>
                <w:b w:val="1"/>
                <w:bCs w:val="1"/>
                <w:color w:val="auto"/>
              </w:rPr>
              <w:t>Reportable segment Adjusted EBITDA</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w:t>
            </w:r>
          </w:p>
        </w:tc>
        <w:tc>
          <w:tcPr>
            <w:tcW w:w="20" w:type="dxa"/>
            <w:vAlign w:val="bottom"/>
            <w:tcBorders>
              <w:top w:val="single" w:sz="8" w:color="E6E6E6"/>
            </w:tcBorders>
          </w:tcPr>
          <w:p>
            <w:pPr>
              <w:spacing w:after="0"/>
              <w:rPr>
                <w:sz w:val="22"/>
                <w:szCs w:val="22"/>
                <w:color w:val="auto"/>
              </w:rPr>
            </w:pPr>
          </w:p>
        </w:tc>
        <w:tc>
          <w:tcPr>
            <w:tcW w:w="40" w:type="dxa"/>
            <w:vAlign w:val="bottom"/>
            <w:tcBorders>
              <w:top w:val="single" w:sz="8" w:color="E6E6E6"/>
            </w:tcBorders>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220</w:t>
            </w:r>
          </w:p>
        </w:tc>
        <w:tc>
          <w:tcPr>
            <w:tcW w:w="20" w:type="dxa"/>
            <w:vAlign w:val="bottom"/>
            <w:tcBorders>
              <w:top w:val="single" w:sz="8" w:color="E6E6E6"/>
            </w:tcBorders>
          </w:tcPr>
          <w:p>
            <w:pPr>
              <w:spacing w:after="0"/>
              <w:rPr>
                <w:sz w:val="22"/>
                <w:szCs w:val="22"/>
                <w:color w:val="auto"/>
              </w:rPr>
            </w:pPr>
          </w:p>
        </w:tc>
        <w:tc>
          <w:tcPr>
            <w:tcW w:w="40" w:type="dxa"/>
            <w:vAlign w:val="bottom"/>
            <w:tcBorders>
              <w:top w:val="single" w:sz="8" w:color="E6E6E6"/>
            </w:tcBorders>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w:t>
            </w: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3368675</wp:posOffset>
            </wp:positionH>
            <wp:positionV relativeFrom="paragraph">
              <wp:posOffset>-6787515</wp:posOffset>
            </wp:positionV>
            <wp:extent cx="258762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27">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-6216015</wp:posOffset>
            </wp:positionV>
            <wp:extent cx="85407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28">
                      <a:extLst>
                        <a:ext uri="{28A0092B-C50C-407E-A947-70E740481C1C}"/>
                      </a:extLst>
                    </a:blip>
                    <a:srcRect/>
                    <a:stretch>
                      <a:fillRect/>
                    </a:stretch>
                  </pic:blipFill>
                  <pic:spPr bwMode="auto">
                    <a:xfrm>
                      <a:off x="0" y="0"/>
                      <a:ext cx="854075" cy="25400"/>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-6038215</wp:posOffset>
            </wp:positionV>
            <wp:extent cx="854075" cy="508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29">
                      <a:extLst>
                        <a:ext uri="{28A0092B-C50C-407E-A947-70E740481C1C}"/>
                      </a:extLst>
                    </a:blip>
                    <a:srcRect/>
                    <a:stretch>
                      <a:fillRect/>
                    </a:stretch>
                  </pic:blipFill>
                  <pic:spPr bwMode="auto">
                    <a:xfrm>
                      <a:off x="0" y="0"/>
                      <a:ext cx="854075" cy="5080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-5073015</wp:posOffset>
            </wp:positionV>
            <wp:extent cx="258762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30">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-4361815</wp:posOffset>
            </wp:positionV>
            <wp:extent cx="258762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31">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-3790315</wp:posOffset>
            </wp:positionV>
            <wp:extent cx="85407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32">
                      <a:extLst>
                        <a:ext uri="{28A0092B-C50C-407E-A947-70E740481C1C}"/>
                      </a:extLst>
                    </a:blip>
                    <a:srcRect/>
                    <a:stretch>
                      <a:fillRect/>
                    </a:stretch>
                  </pic:blipFill>
                  <pic:spPr bwMode="auto">
                    <a:xfrm>
                      <a:off x="0" y="0"/>
                      <a:ext cx="854075" cy="25400"/>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-3587115</wp:posOffset>
            </wp:positionV>
            <wp:extent cx="85407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33">
                      <a:extLst>
                        <a:ext uri="{28A0092B-C50C-407E-A947-70E740481C1C}"/>
                      </a:extLst>
                    </a:blip>
                    <a:srcRect/>
                    <a:stretch>
                      <a:fillRect/>
                    </a:stretch>
                  </pic:blipFill>
                  <pic:spPr bwMode="auto">
                    <a:xfrm>
                      <a:off x="0" y="0"/>
                      <a:ext cx="854075" cy="2540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-2647315</wp:posOffset>
            </wp:positionV>
            <wp:extent cx="258762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34">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-1936115</wp:posOffset>
            </wp:positionV>
            <wp:extent cx="258762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35">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-1364615</wp:posOffset>
            </wp:positionV>
            <wp:extent cx="85407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36">
                      <a:extLst>
                        <a:ext uri="{28A0092B-C50C-407E-A947-70E740481C1C}"/>
                      </a:extLst>
                    </a:blip>
                    <a:srcRect/>
                    <a:stretch>
                      <a:fillRect/>
                    </a:stretch>
                  </pic:blipFill>
                  <pic:spPr bwMode="auto">
                    <a:xfrm>
                      <a:off x="0" y="0"/>
                      <a:ext cx="854075" cy="25400"/>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-1161415</wp:posOffset>
            </wp:positionV>
            <wp:extent cx="85407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37">
                      <a:extLst>
                        <a:ext uri="{28A0092B-C50C-407E-A947-70E740481C1C}"/>
                      </a:extLst>
                    </a:blip>
                    <a:srcRect/>
                    <a:stretch>
                      <a:fillRect/>
                    </a:stretch>
                  </pic:blipFill>
                  <pic:spPr bwMode="auto">
                    <a:xfrm>
                      <a:off x="0" y="0"/>
                      <a:ext cx="854075" cy="2540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-221615</wp:posOffset>
            </wp:positionV>
            <wp:extent cx="258762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38">
                      <a:extLst>
                        <a:ext uri="{28A0092B-C50C-407E-A947-70E740481C1C}"/>
                      </a:extLst>
                    </a:blip>
                    <a:srcRect/>
                    <a:stretch>
                      <a:fillRect/>
                    </a:stretch>
                  </pic:blipFill>
                  <pic:spPr bwMode="auto">
                    <a:xfrm>
                      <a:off x="0" y="0"/>
                      <a:ext cx="2587625" cy="25400"/>
                    </a:xfrm>
                    <a:prstGeom prst="rect">
                      <a:avLst/>
                    </a:prstGeom>
                    <a:noFill/>
                  </pic:spPr>
                </pic:pic>
              </a:graphicData>
            </a:graphic>
          </wp:anchor>
        </w:drawing>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0"/>
          <w:szCs w:val="10"/>
          <w:color w:val="auto"/>
        </w:rPr>
        <w:t>1</w:t>
      </w:r>
      <w:r>
        <w:rPr>
          <w:rFonts w:ascii="Arial" w:cs="Arial" w:eastAsia="Arial" w:hAnsi="Arial"/>
          <w:sz w:val="16"/>
          <w:szCs w:val="16"/>
          <w:color w:val="auto"/>
        </w:rPr>
        <w:t>Other revenues include sales from LPSA and other minor products, services, and closed operations that do not meet the criteria for discontinued</w:t>
      </w:r>
      <w:r>
        <w:rPr>
          <w:rFonts w:ascii="Arial" w:cs="Arial" w:eastAsia="Arial" w:hAnsi="Arial"/>
          <w:sz w:val="10"/>
          <w:szCs w:val="10"/>
          <w:color w:val="auto"/>
        </w:rPr>
        <w:t xml:space="preserve"> </w:t>
      </w:r>
      <w:r>
        <w:rPr>
          <w:rFonts w:ascii="Arial" w:cs="Arial" w:eastAsia="Arial" w:hAnsi="Arial"/>
          <w:sz w:val="16"/>
          <w:szCs w:val="16"/>
          <w:color w:val="auto"/>
        </w:rPr>
        <w:t>operations.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2</w:t>
      </w:r>
      <w:r>
        <w:rPr>
          <w:rFonts w:ascii="Arial" w:cs="Arial" w:eastAsia="Arial" w:hAnsi="Arial"/>
          <w:sz w:val="16"/>
          <w:szCs w:val="16"/>
          <w:color w:val="auto"/>
        </w:rPr>
        <w:t>Other segment items include stock compensation expense.</w:t>
      </w:r>
    </w:p>
    <w:p>
      <w:pPr>
        <w:sectPr>
          <w:pgSz w:w="11880" w:h="15480" w:orient="portrait"/>
          <w:cols w:equalWidth="0" w:num="1">
            <w:col w:w="9360"/>
          </w:cols>
          <w:pgMar w:left="1260" w:top="1197"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9360"/>
          </w:cols>
          <w:pgMar w:left="1260" w:top="1197" w:right="1260" w:bottom="225"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39"/>
        </w:trPr>
        <w:tc>
          <w:tcPr>
            <w:tcW w:w="5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80" w:type="dxa"/>
            <w:vAlign w:val="bottom"/>
            <w:gridSpan w:val="9"/>
          </w:tcPr>
          <w:p>
            <w:pPr>
              <w:jc w:val="right"/>
              <w:ind w:right="100"/>
              <w:spacing w:after="0"/>
              <w:rPr>
                <w:sz w:val="20"/>
                <w:szCs w:val="20"/>
                <w:color w:val="auto"/>
              </w:rPr>
            </w:pPr>
            <w:r>
              <w:rPr>
                <w:rFonts w:ascii="Arial" w:cs="Arial" w:eastAsia="Arial" w:hAnsi="Arial"/>
                <w:sz w:val="18"/>
                <w:szCs w:val="18"/>
                <w:b w:val="1"/>
                <w:bCs w:val="1"/>
                <w:color w:val="auto"/>
                <w:w w:val="97"/>
              </w:rPr>
              <w:t>Year Ended December 31,</w:t>
            </w:r>
          </w:p>
        </w:tc>
        <w:tc>
          <w:tcPr>
            <w:tcW w:w="920" w:type="dxa"/>
            <w:vAlign w:val="bottom"/>
          </w:tcPr>
          <w:p>
            <w:pPr>
              <w:spacing w:after="0"/>
              <w:rPr>
                <w:sz w:val="20"/>
                <w:szCs w:val="20"/>
                <w:color w:val="auto"/>
              </w:rPr>
            </w:pPr>
          </w:p>
        </w:tc>
      </w:tr>
      <w:tr>
        <w:trPr>
          <w:trHeight w:val="33"/>
        </w:trPr>
        <w:tc>
          <w:tcPr>
            <w:tcW w:w="5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7"/>
        </w:trPr>
        <w:tc>
          <w:tcPr>
            <w:tcW w:w="5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89"/>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33"/>
        </w:trPr>
        <w:tc>
          <w:tcPr>
            <w:tcW w:w="5300" w:type="dxa"/>
            <w:vAlign w:val="bottom"/>
            <w:tcBorders>
              <w:bottom w:val="single" w:sz="8" w:color="E6E6E6"/>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0"/>
        </w:trPr>
        <w:tc>
          <w:tcPr>
            <w:tcW w:w="5300" w:type="dxa"/>
            <w:vAlign w:val="bottom"/>
            <w:shd w:val="clear" w:color="auto" w:fill="E6E6E6"/>
          </w:tcPr>
          <w:p>
            <w:pPr>
              <w:ind w:left="60"/>
              <w:spacing w:after="0"/>
              <w:rPr>
                <w:sz w:val="20"/>
                <w:szCs w:val="20"/>
                <w:color w:val="auto"/>
              </w:rPr>
            </w:pPr>
            <w:r>
              <w:rPr>
                <w:rFonts w:ascii="Arial" w:cs="Arial" w:eastAsia="Arial" w:hAnsi="Arial"/>
                <w:sz w:val="18"/>
                <w:szCs w:val="18"/>
                <w:b w:val="1"/>
                <w:bCs w:val="1"/>
                <w:i w:val="1"/>
                <w:iCs w:val="1"/>
                <w:color w:val="auto"/>
              </w:rPr>
              <w:t>Reconciliation of profit (loss)</w:t>
            </w:r>
          </w:p>
        </w:tc>
        <w:tc>
          <w:tcPr>
            <w:tcW w:w="86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3"/>
        </w:trPr>
        <w:tc>
          <w:tcPr>
            <w:tcW w:w="5300" w:type="dxa"/>
            <w:vAlign w:val="bottom"/>
          </w:tcPr>
          <w:p>
            <w:pPr>
              <w:ind w:left="60"/>
              <w:spacing w:after="0"/>
              <w:rPr>
                <w:sz w:val="20"/>
                <w:szCs w:val="20"/>
                <w:color w:val="auto"/>
              </w:rPr>
            </w:pPr>
            <w:r>
              <w:rPr>
                <w:rFonts w:ascii="Arial" w:cs="Arial" w:eastAsia="Arial" w:hAnsi="Arial"/>
                <w:sz w:val="18"/>
                <w:szCs w:val="18"/>
                <w:b w:val="1"/>
                <w:bCs w:val="1"/>
                <w:color w:val="auto"/>
              </w:rPr>
              <w:t>Reportable Segment adjusted EBITDA</w:t>
            </w:r>
          </w:p>
        </w:tc>
        <w:tc>
          <w:tcPr>
            <w:tcW w:w="86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452</w:t>
            </w:r>
          </w:p>
        </w:tc>
        <w:tc>
          <w:tcPr>
            <w:tcW w:w="380" w:type="dxa"/>
            <w:vAlign w:val="bottom"/>
            <w:gridSpan w:val="4"/>
          </w:tcPr>
          <w:p>
            <w:pPr>
              <w:ind w:left="1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688</w:t>
            </w:r>
          </w:p>
        </w:tc>
        <w:tc>
          <w:tcPr>
            <w:tcW w:w="4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490</w:t>
            </w:r>
          </w:p>
        </w:tc>
      </w:tr>
      <w:tr>
        <w:trPr>
          <w:trHeight w:val="307"/>
        </w:trPr>
        <w:tc>
          <w:tcPr>
            <w:tcW w:w="5300" w:type="dxa"/>
            <w:vAlign w:val="bottom"/>
            <w:shd w:val="clear" w:color="auto" w:fill="E6E6E6"/>
          </w:tcPr>
          <w:p>
            <w:pPr>
              <w:ind w:left="60"/>
              <w:spacing w:after="0"/>
              <w:rPr>
                <w:sz w:val="20"/>
                <w:szCs w:val="20"/>
                <w:color w:val="auto"/>
              </w:rPr>
            </w:pPr>
            <w:r>
              <w:rPr>
                <w:rFonts w:ascii="Arial" w:cs="Arial" w:eastAsia="Arial" w:hAnsi="Arial"/>
                <w:sz w:val="18"/>
                <w:szCs w:val="18"/>
                <w:color w:val="auto"/>
              </w:rPr>
              <w:t>Add (deduct):</w:t>
            </w:r>
          </w:p>
        </w:tc>
        <w:tc>
          <w:tcPr>
            <w:tcW w:w="860" w:type="dxa"/>
            <w:vAlign w:val="bottom"/>
            <w:shd w:val="clear" w:color="auto" w:fill="E6E6E6"/>
          </w:tcPr>
          <w:p>
            <w:pPr>
              <w:spacing w:after="0"/>
              <w:rPr>
                <w:sz w:val="24"/>
                <w:szCs w:val="24"/>
                <w:color w:val="auto"/>
              </w:rPr>
            </w:pPr>
          </w:p>
        </w:tc>
        <w:tc>
          <w:tcPr>
            <w:tcW w:w="4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920" w:type="dxa"/>
            <w:vAlign w:val="bottom"/>
            <w:shd w:val="clear" w:color="auto" w:fill="E6E6E6"/>
          </w:tcPr>
          <w:p>
            <w:pPr>
              <w:spacing w:after="0"/>
              <w:rPr>
                <w:sz w:val="24"/>
                <w:szCs w:val="24"/>
                <w:color w:val="auto"/>
              </w:rPr>
            </w:pPr>
          </w:p>
        </w:tc>
      </w:tr>
      <w:tr>
        <w:trPr>
          <w:trHeight w:val="293"/>
        </w:trPr>
        <w:tc>
          <w:tcPr>
            <w:tcW w:w="5300" w:type="dxa"/>
            <w:vAlign w:val="bottom"/>
          </w:tcPr>
          <w:p>
            <w:pPr>
              <w:ind w:left="180"/>
              <w:spacing w:after="0"/>
              <w:rPr>
                <w:sz w:val="20"/>
                <w:szCs w:val="20"/>
                <w:color w:val="auto"/>
              </w:rPr>
            </w:pPr>
            <w:r>
              <w:rPr>
                <w:rFonts w:ascii="Arial" w:cs="Arial" w:eastAsia="Arial" w:hAnsi="Arial"/>
                <w:sz w:val="18"/>
                <w:szCs w:val="18"/>
                <w:color w:val="auto"/>
              </w:rPr>
              <w:t>Other Adjusted EBITDA</w:t>
            </w:r>
            <w:r>
              <w:rPr>
                <w:rFonts w:ascii="Arial" w:cs="Arial" w:eastAsia="Arial" w:hAnsi="Arial"/>
                <w:sz w:val="11"/>
                <w:szCs w:val="11"/>
                <w:color w:val="auto"/>
              </w:rPr>
              <w:t>1</w:t>
            </w:r>
          </w:p>
        </w:tc>
        <w:tc>
          <w:tcPr>
            <w:tcW w:w="8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7"/>
        </w:trPr>
        <w:tc>
          <w:tcPr>
            <w:tcW w:w="5300" w:type="dxa"/>
            <w:vAlign w:val="bottom"/>
            <w:shd w:val="clear" w:color="auto" w:fill="E6E6E6"/>
          </w:tcPr>
          <w:p>
            <w:pPr>
              <w:ind w:left="180"/>
              <w:spacing w:after="0"/>
              <w:rPr>
                <w:sz w:val="20"/>
                <w:szCs w:val="20"/>
                <w:color w:val="auto"/>
              </w:rPr>
            </w:pPr>
            <w:r>
              <w:rPr>
                <w:rFonts w:ascii="Arial" w:cs="Arial" w:eastAsia="Arial" w:hAnsi="Arial"/>
                <w:sz w:val="18"/>
                <w:szCs w:val="18"/>
                <w:color w:val="auto"/>
              </w:rPr>
              <w:t>Equity in unconsolidated affiliate</w:t>
            </w:r>
          </w:p>
        </w:tc>
        <w:tc>
          <w:tcPr>
            <w:tcW w:w="860" w:type="dxa"/>
            <w:vAlign w:val="bottom"/>
            <w:shd w:val="clear" w:color="auto" w:fill="E6E6E6"/>
          </w:tcPr>
          <w:p>
            <w:pPr>
              <w:spacing w:after="0"/>
              <w:rPr>
                <w:sz w:val="24"/>
                <w:szCs w:val="24"/>
                <w:color w:val="auto"/>
              </w:rPr>
            </w:pP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w:t>
            </w:r>
          </w:p>
        </w:tc>
      </w:tr>
      <w:tr>
        <w:trPr>
          <w:trHeight w:val="293"/>
        </w:trPr>
        <w:tc>
          <w:tcPr>
            <w:tcW w:w="53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(145)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07"/>
        </w:trPr>
        <w:tc>
          <w:tcPr>
            <w:tcW w:w="5300" w:type="dxa"/>
            <w:vAlign w:val="bottom"/>
            <w:shd w:val="clear" w:color="auto" w:fill="E6E6E6"/>
          </w:tcPr>
          <w:p>
            <w:pPr>
              <w:ind w:left="180"/>
              <w:spacing w:after="0"/>
              <w:rPr>
                <w:sz w:val="20"/>
                <w:szCs w:val="20"/>
                <w:color w:val="auto"/>
              </w:rPr>
            </w:pPr>
            <w:r>
              <w:rPr>
                <w:rFonts w:ascii="Arial" w:cs="Arial" w:eastAsia="Arial" w:hAnsi="Arial"/>
                <w:sz w:val="18"/>
                <w:szCs w:val="18"/>
                <w:color w:val="auto"/>
              </w:rPr>
              <w:t>Stock-based compensation expense</w:t>
            </w:r>
          </w:p>
        </w:tc>
        <w:tc>
          <w:tcPr>
            <w:tcW w:w="860" w:type="dxa"/>
            <w:vAlign w:val="bottom"/>
            <w:shd w:val="clear" w:color="auto" w:fill="E6E6E6"/>
          </w:tcPr>
          <w:p>
            <w:pPr>
              <w:spacing w:after="0"/>
              <w:rPr>
                <w:sz w:val="24"/>
                <w:szCs w:val="24"/>
                <w:color w:val="auto"/>
              </w:rPr>
            </w:pP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(13)</w:t>
            </w:r>
          </w:p>
        </w:tc>
      </w:tr>
      <w:tr>
        <w:trPr>
          <w:trHeight w:val="293"/>
        </w:trPr>
        <w:tc>
          <w:tcPr>
            <w:tcW w:w="5300" w:type="dxa"/>
            <w:vAlign w:val="bottom"/>
          </w:tcPr>
          <w:p>
            <w:pPr>
              <w:ind w:left="180"/>
              <w:spacing w:after="0"/>
              <w:rPr>
                <w:sz w:val="20"/>
                <w:szCs w:val="20"/>
                <w:color w:val="auto"/>
              </w:rPr>
            </w:pPr>
            <w:r>
              <w:rPr>
                <w:rFonts w:ascii="Arial" w:cs="Arial" w:eastAsia="Arial" w:hAnsi="Arial"/>
                <w:sz w:val="18"/>
                <w:szCs w:val="18"/>
                <w:color w:val="auto"/>
              </w:rPr>
              <w:t>Loss on impairment</w:t>
            </w:r>
            <w:r>
              <w:rPr>
                <w:rFonts w:ascii="Arial" w:cs="Arial" w:eastAsia="Arial" w:hAnsi="Arial"/>
                <w:sz w:val="11"/>
                <w:szCs w:val="11"/>
                <w:color w:val="auto"/>
              </w:rPr>
              <w:t>1</w:t>
            </w:r>
          </w:p>
        </w:tc>
        <w:tc>
          <w:tcPr>
            <w:tcW w:w="8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7"/>
        </w:trPr>
        <w:tc>
          <w:tcPr>
            <w:tcW w:w="5300" w:type="dxa"/>
            <w:vAlign w:val="bottom"/>
            <w:shd w:val="clear" w:color="auto" w:fill="E6E6E6"/>
          </w:tcPr>
          <w:p>
            <w:pPr>
              <w:ind w:left="180"/>
              <w:spacing w:after="0"/>
              <w:rPr>
                <w:sz w:val="20"/>
                <w:szCs w:val="20"/>
                <w:color w:val="auto"/>
              </w:rPr>
            </w:pPr>
            <w:r>
              <w:rPr>
                <w:rFonts w:ascii="Arial" w:cs="Arial" w:eastAsia="Arial" w:hAnsi="Arial"/>
                <w:sz w:val="18"/>
                <w:szCs w:val="18"/>
                <w:color w:val="auto"/>
              </w:rPr>
              <w:t>Other operating credits and charges, net</w:t>
            </w:r>
            <w:r>
              <w:rPr>
                <w:rFonts w:ascii="Arial" w:cs="Arial" w:eastAsia="Arial" w:hAnsi="Arial"/>
                <w:sz w:val="11"/>
                <w:szCs w:val="11"/>
                <w:color w:val="auto"/>
              </w:rPr>
              <w:t>2,3</w:t>
            </w:r>
          </w:p>
        </w:tc>
        <w:tc>
          <w:tcPr>
            <w:tcW w:w="860" w:type="dxa"/>
            <w:vAlign w:val="bottom"/>
            <w:shd w:val="clear" w:color="auto" w:fill="E6E6E6"/>
          </w:tcPr>
          <w:p>
            <w:pPr>
              <w:spacing w:after="0"/>
              <w:rPr>
                <w:sz w:val="24"/>
                <w:szCs w:val="24"/>
                <w:color w:val="auto"/>
              </w:rPr>
            </w:pP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w:t>
            </w:r>
          </w:p>
        </w:tc>
      </w:tr>
      <w:tr>
        <w:trPr>
          <w:trHeight w:val="293"/>
        </w:trPr>
        <w:tc>
          <w:tcPr>
            <w:tcW w:w="5300" w:type="dxa"/>
            <w:vAlign w:val="bottom"/>
          </w:tcPr>
          <w:p>
            <w:pPr>
              <w:ind w:left="180"/>
              <w:spacing w:after="0"/>
              <w:rPr>
                <w:sz w:val="20"/>
                <w:szCs w:val="20"/>
                <w:color w:val="auto"/>
              </w:rPr>
            </w:pPr>
            <w:r>
              <w:rPr>
                <w:rFonts w:ascii="Arial" w:cs="Arial" w:eastAsia="Arial" w:hAnsi="Arial"/>
                <w:sz w:val="18"/>
                <w:szCs w:val="18"/>
                <w:color w:val="auto"/>
              </w:rPr>
              <w:t>Product-line discontinuance charges</w:t>
            </w:r>
            <w:r>
              <w:rPr>
                <w:rFonts w:ascii="Arial" w:cs="Arial" w:eastAsia="Arial" w:hAnsi="Arial"/>
                <w:sz w:val="11"/>
                <w:szCs w:val="11"/>
                <w:color w:val="auto"/>
              </w:rPr>
              <w:t>3</w:t>
            </w:r>
          </w:p>
        </w:tc>
        <w:tc>
          <w:tcPr>
            <w:tcW w:w="8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07"/>
        </w:trPr>
        <w:tc>
          <w:tcPr>
            <w:tcW w:w="5300" w:type="dxa"/>
            <w:vAlign w:val="bottom"/>
            <w:shd w:val="clear" w:color="auto" w:fill="E6E6E6"/>
          </w:tcPr>
          <w:p>
            <w:pPr>
              <w:ind w:left="180"/>
              <w:spacing w:after="0"/>
              <w:rPr>
                <w:sz w:val="20"/>
                <w:szCs w:val="20"/>
                <w:color w:val="auto"/>
              </w:rPr>
            </w:pPr>
            <w:r>
              <w:rPr>
                <w:rFonts w:ascii="Arial" w:cs="Arial" w:eastAsia="Arial" w:hAnsi="Arial"/>
                <w:sz w:val="18"/>
                <w:szCs w:val="18"/>
                <w:color w:val="auto"/>
              </w:rPr>
              <w:t>Business exit credits and charges</w:t>
            </w:r>
            <w:r>
              <w:rPr>
                <w:rFonts w:ascii="Arial" w:cs="Arial" w:eastAsia="Arial" w:hAnsi="Arial"/>
                <w:sz w:val="11"/>
                <w:szCs w:val="11"/>
                <w:color w:val="auto"/>
              </w:rPr>
              <w:t>2</w:t>
            </w:r>
          </w:p>
        </w:tc>
        <w:tc>
          <w:tcPr>
            <w:tcW w:w="860" w:type="dxa"/>
            <w:vAlign w:val="bottom"/>
            <w:shd w:val="clear" w:color="auto" w:fill="E6E6E6"/>
          </w:tcPr>
          <w:p>
            <w:pPr>
              <w:spacing w:after="0"/>
              <w:rPr>
                <w:sz w:val="24"/>
                <w:szCs w:val="24"/>
                <w:color w:val="auto"/>
              </w:rPr>
            </w:pP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(32)</w:t>
            </w:r>
          </w:p>
        </w:tc>
      </w:tr>
      <w:tr>
        <w:trPr>
          <w:trHeight w:val="293"/>
        </w:trPr>
        <w:tc>
          <w:tcPr>
            <w:tcW w:w="53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7"/>
        </w:trPr>
        <w:tc>
          <w:tcPr>
            <w:tcW w:w="5300" w:type="dxa"/>
            <w:vAlign w:val="bottom"/>
            <w:shd w:val="clear" w:color="auto" w:fill="E6E6E6"/>
          </w:tcPr>
          <w:p>
            <w:pPr>
              <w:ind w:left="180"/>
              <w:spacing w:after="0"/>
              <w:rPr>
                <w:sz w:val="20"/>
                <w:szCs w:val="20"/>
                <w:color w:val="auto"/>
              </w:rPr>
            </w:pPr>
            <w:r>
              <w:rPr>
                <w:rFonts w:ascii="Arial" w:cs="Arial" w:eastAsia="Arial" w:hAnsi="Arial"/>
                <w:sz w:val="18"/>
                <w:szCs w:val="18"/>
                <w:color w:val="auto"/>
              </w:rPr>
              <w:t>Investment income</w:t>
            </w:r>
          </w:p>
        </w:tc>
        <w:tc>
          <w:tcPr>
            <w:tcW w:w="860" w:type="dxa"/>
            <w:vAlign w:val="bottom"/>
            <w:shd w:val="clear" w:color="auto" w:fill="E6E6E6"/>
          </w:tcPr>
          <w:p>
            <w:pPr>
              <w:spacing w:after="0"/>
              <w:rPr>
                <w:sz w:val="24"/>
                <w:szCs w:val="24"/>
                <w:color w:val="auto"/>
              </w:rPr>
            </w:pPr>
          </w:p>
        </w:tc>
        <w:tc>
          <w:tcPr>
            <w:tcW w:w="4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18</w:t>
            </w:r>
          </w:p>
        </w:tc>
      </w:tr>
      <w:tr>
        <w:trPr>
          <w:trHeight w:val="290"/>
        </w:trPr>
        <w:tc>
          <w:tcPr>
            <w:tcW w:w="5300" w:type="dxa"/>
            <w:vAlign w:val="bottom"/>
          </w:tcPr>
          <w:p>
            <w:pPr>
              <w:ind w:left="180"/>
              <w:spacing w:after="0"/>
              <w:rPr>
                <w:sz w:val="20"/>
                <w:szCs w:val="20"/>
                <w:color w:val="auto"/>
              </w:rPr>
            </w:pPr>
            <w:r>
              <w:rPr>
                <w:rFonts w:ascii="Arial" w:cs="Arial" w:eastAsia="Arial" w:hAnsi="Arial"/>
                <w:sz w:val="18"/>
                <w:szCs w:val="18"/>
                <w:color w:val="auto"/>
              </w:rPr>
              <w:t>Other non-operating (expense) income</w:t>
            </w:r>
          </w:p>
        </w:tc>
        <w:tc>
          <w:tcPr>
            <w:tcW w:w="8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75"/>
        </w:trPr>
        <w:tc>
          <w:tcPr>
            <w:tcW w:w="5300" w:type="dxa"/>
            <w:vAlign w:val="bottom"/>
          </w:tcPr>
          <w:p>
            <w:pPr>
              <w:ind w:left="60"/>
              <w:spacing w:after="0"/>
              <w:rPr>
                <w:sz w:val="20"/>
                <w:szCs w:val="20"/>
                <w:color w:val="auto"/>
              </w:rPr>
            </w:pPr>
            <w:r>
              <w:rPr>
                <w:rFonts w:ascii="Arial" w:cs="Arial" w:eastAsia="Arial" w:hAnsi="Arial"/>
                <w:sz w:val="18"/>
                <w:szCs w:val="18"/>
                <w:b w:val="1"/>
                <w:bCs w:val="1"/>
                <w:color w:val="auto"/>
              </w:rPr>
              <w:t>Income before income taxes</w:t>
            </w:r>
          </w:p>
        </w:tc>
        <w:tc>
          <w:tcPr>
            <w:tcW w:w="86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195</w:t>
            </w:r>
          </w:p>
        </w:tc>
        <w:tc>
          <w:tcPr>
            <w:tcW w:w="20" w:type="dxa"/>
            <w:vAlign w:val="bottom"/>
          </w:tcPr>
          <w:p>
            <w:pPr>
              <w:spacing w:after="0"/>
              <w:rPr>
                <w:sz w:val="23"/>
                <w:szCs w:val="23"/>
                <w:color w:val="auto"/>
              </w:rPr>
            </w:pPr>
          </w:p>
        </w:tc>
        <w:tc>
          <w:tcPr>
            <w:tcW w:w="80" w:type="dxa"/>
            <w:vAlign w:val="bottom"/>
            <w:gridSpan w:val="2"/>
          </w:tcPr>
          <w:p>
            <w:pPr>
              <w:spacing w:after="0"/>
              <w:rPr>
                <w:sz w:val="23"/>
                <w:szCs w:val="23"/>
                <w:color w:val="auto"/>
              </w:rPr>
            </w:pPr>
          </w:p>
        </w:tc>
        <w:tc>
          <w:tcPr>
            <w:tcW w:w="28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547</w:t>
            </w:r>
          </w:p>
        </w:tc>
        <w:tc>
          <w:tcPr>
            <w:tcW w:w="4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248</w:t>
            </w:r>
          </w:p>
        </w:tc>
      </w:tr>
      <w:tr>
        <w:trPr>
          <w:trHeight w:val="20"/>
        </w:trPr>
        <w:tc>
          <w:tcPr>
            <w:tcW w:w="5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-2898140</wp:posOffset>
            </wp:positionV>
            <wp:extent cx="260667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39">
                      <a:extLst>
                        <a:ext uri="{28A0092B-C50C-407E-A947-70E740481C1C}"/>
                      </a:extLst>
                    </a:blip>
                    <a:srcRect/>
                    <a:stretch>
                      <a:fillRect/>
                    </a:stretch>
                  </pic:blipFill>
                  <pic:spPr bwMode="auto">
                    <a:xfrm>
                      <a:off x="0" y="0"/>
                      <a:ext cx="2606675" cy="25400"/>
                    </a:xfrm>
                    <a:prstGeom prst="rect">
                      <a:avLst/>
                    </a:prstGeom>
                    <a:noFill/>
                  </pic:spPr>
                </pic:pic>
              </a:graphicData>
            </a:graphic>
          </wp:anchor>
        </w:drawing>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0"/>
          <w:szCs w:val="10"/>
          <w:color w:val="auto"/>
        </w:rPr>
        <w:t>1</w:t>
      </w:r>
      <w:r>
        <w:rPr>
          <w:rFonts w:ascii="Arial" w:cs="Arial" w:eastAsia="Arial" w:hAnsi="Arial"/>
          <w:sz w:val="16"/>
          <w:szCs w:val="16"/>
          <w:color w:val="auto"/>
        </w:rPr>
        <w:t>Other Adjusted EBITDA includes LPSA, corporate, and other minor products, services, and closed operations that do not meet the criteria for</w:t>
      </w:r>
      <w:r>
        <w:rPr>
          <w:rFonts w:ascii="Arial" w:cs="Arial" w:eastAsia="Arial" w:hAnsi="Arial"/>
          <w:sz w:val="10"/>
          <w:szCs w:val="10"/>
          <w:color w:val="auto"/>
        </w:rPr>
        <w:t xml:space="preserve"> </w:t>
      </w:r>
      <w:r>
        <w:rPr>
          <w:rFonts w:ascii="Arial" w:cs="Arial" w:eastAsia="Arial" w:hAnsi="Arial"/>
          <w:sz w:val="16"/>
          <w:szCs w:val="16"/>
          <w:color w:val="auto"/>
        </w:rPr>
        <w:t>discontinued operations.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2</w:t>
      </w:r>
      <w:r>
        <w:rPr>
          <w:rFonts w:ascii="Arial" w:cs="Arial" w:eastAsia="Arial" w:hAnsi="Arial"/>
          <w:sz w:val="16"/>
          <w:szCs w:val="16"/>
          <w:color w:val="auto"/>
        </w:rPr>
        <w:t>See further discussion in “Note 5 - Business Exit Credits and Charges” of the Notes to the Consolidated Financial Statements.</w:t>
      </w:r>
    </w:p>
    <w:p>
      <w:pPr>
        <w:spacing w:after="0" w:line="48" w:lineRule="exact"/>
        <w:rPr>
          <w:sz w:val="20"/>
          <w:szCs w:val="20"/>
          <w:color w:val="auto"/>
        </w:rPr>
      </w:pPr>
    </w:p>
    <w:p>
      <w:pPr>
        <w:jc w:val="both"/>
        <w:spacing w:after="0" w:line="283" w:lineRule="auto"/>
        <w:rPr>
          <w:sz w:val="20"/>
          <w:szCs w:val="20"/>
          <w:color w:val="auto"/>
        </w:rPr>
      </w:pPr>
      <w:r>
        <w:rPr>
          <w:rFonts w:ascii="Arial" w:cs="Arial" w:eastAsia="Arial" w:hAnsi="Arial"/>
          <w:sz w:val="10"/>
          <w:szCs w:val="10"/>
          <w:color w:val="auto"/>
        </w:rPr>
        <w:t>3</w:t>
      </w:r>
      <w:r>
        <w:rPr>
          <w:rFonts w:ascii="Arial" w:cs="Arial" w:eastAsia="Arial" w:hAnsi="Arial"/>
          <w:sz w:val="16"/>
          <w:szCs w:val="16"/>
          <w:color w:val="auto"/>
        </w:rPr>
        <w:t>See further discussion in “Note 10 - Other Operating and Non-Operating Income (Expense)” of the Notes to the Consolidated Financial</w:t>
      </w:r>
      <w:r>
        <w:rPr>
          <w:rFonts w:ascii="Arial" w:cs="Arial" w:eastAsia="Arial" w:hAnsi="Arial"/>
          <w:sz w:val="10"/>
          <w:szCs w:val="10"/>
          <w:color w:val="auto"/>
        </w:rPr>
        <w:t xml:space="preserve"> </w:t>
      </w:r>
      <w:r>
        <w:rPr>
          <w:rFonts w:ascii="Arial" w:cs="Arial" w:eastAsia="Arial" w:hAnsi="Arial"/>
          <w:sz w:val="16"/>
          <w:szCs w:val="16"/>
          <w:color w:val="auto"/>
        </w:rPr>
        <w:t>Statements.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95"/>
              </w:rPr>
              <w:t>Year Ended December 31,</w:t>
            </w:r>
          </w:p>
        </w:tc>
        <w:tc>
          <w:tcPr>
            <w:tcW w:w="920" w:type="dxa"/>
            <w:vAlign w:val="bottom"/>
            <w:tcBorders>
              <w:bottom w:val="single" w:sz="8" w:color="auto"/>
            </w:tcBorders>
          </w:tcPr>
          <w:p>
            <w:pPr>
              <w:spacing w:after="0"/>
              <w:rPr>
                <w:sz w:val="21"/>
                <w:szCs w:val="21"/>
                <w:color w:val="auto"/>
              </w:rPr>
            </w:pPr>
          </w:p>
        </w:tc>
      </w:tr>
      <w:tr>
        <w:trPr>
          <w:trHeight w:val="247"/>
        </w:trPr>
        <w:tc>
          <w:tcPr>
            <w:tcW w:w="5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33"/>
        </w:trPr>
        <w:tc>
          <w:tcPr>
            <w:tcW w:w="532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Capital Expenditures</w:t>
            </w:r>
          </w:p>
        </w:tc>
        <w:tc>
          <w:tcPr>
            <w:tcW w:w="90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E6E6E6"/>
            </w:tcBorders>
            <w:shd w:val="clear" w:color="auto" w:fill="E6E6E6"/>
          </w:tcPr>
          <w:p>
            <w:pPr>
              <w:spacing w:after="0"/>
              <w:rPr>
                <w:sz w:val="23"/>
                <w:szCs w:val="23"/>
                <w:color w:val="auto"/>
              </w:rPr>
            </w:pPr>
          </w:p>
        </w:tc>
        <w:tc>
          <w:tcPr>
            <w:tcW w:w="4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E6E6E6"/>
            </w:tcBorders>
            <w:shd w:val="clear" w:color="auto" w:fill="E6E6E6"/>
          </w:tcPr>
          <w:p>
            <w:pPr>
              <w:spacing w:after="0"/>
              <w:rPr>
                <w:sz w:val="23"/>
                <w:szCs w:val="23"/>
                <w:color w:val="auto"/>
              </w:rPr>
            </w:pPr>
          </w:p>
        </w:tc>
      </w:tr>
      <w:tr>
        <w:trPr>
          <w:trHeight w:val="258"/>
        </w:trPr>
        <w:tc>
          <w:tcPr>
            <w:tcW w:w="5320" w:type="dxa"/>
            <w:vAlign w:val="bottom"/>
          </w:tcPr>
          <w:p>
            <w:pPr>
              <w:ind w:left="60"/>
              <w:spacing w:after="0"/>
              <w:rPr>
                <w:sz w:val="20"/>
                <w:szCs w:val="20"/>
                <w:color w:val="auto"/>
              </w:rPr>
            </w:pPr>
            <w:r>
              <w:rPr>
                <w:rFonts w:ascii="Arial" w:cs="Arial" w:eastAsia="Arial" w:hAnsi="Arial"/>
                <w:sz w:val="18"/>
                <w:szCs w:val="18"/>
                <w:color w:val="auto"/>
              </w:rPr>
              <w:t>Siding</w:t>
            </w:r>
          </w:p>
        </w:tc>
        <w:tc>
          <w:tcPr>
            <w:tcW w:w="90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184</w:t>
            </w: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2"/>
                <w:szCs w:val="22"/>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42"/>
        </w:trPr>
        <w:tc>
          <w:tcPr>
            <w:tcW w:w="5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OSB</w:t>
            </w:r>
          </w:p>
        </w:tc>
        <w:tc>
          <w:tcPr>
            <w:tcW w:w="90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83</w:t>
            </w: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63</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59</w:t>
            </w:r>
          </w:p>
        </w:tc>
      </w:tr>
      <w:tr>
        <w:trPr>
          <w:trHeight w:val="258"/>
        </w:trPr>
        <w:tc>
          <w:tcPr>
            <w:tcW w:w="5320" w:type="dxa"/>
            <w:vAlign w:val="bottom"/>
          </w:tcPr>
          <w:p>
            <w:pPr>
              <w:ind w:left="6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
        </w:trPr>
        <w:tc>
          <w:tcPr>
            <w:tcW w:w="5320" w:type="dxa"/>
            <w:vAlign w:val="bottom"/>
            <w:tcBorders>
              <w:bottom w:val="single" w:sz="8" w:color="E6E6E6"/>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20"/>
        </w:trPr>
        <w:tc>
          <w:tcPr>
            <w:tcW w:w="53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b w:val="1"/>
                <w:bCs w:val="1"/>
                <w:color w:val="auto"/>
              </w:rPr>
              <w:t>Total capital expenditures</w:t>
            </w:r>
          </w:p>
        </w:tc>
        <w:tc>
          <w:tcPr>
            <w:tcW w:w="900" w:type="dxa"/>
            <w:vAlign w:val="bottom"/>
            <w:tcBorders>
              <w:bottom w:val="single" w:sz="8" w:color="auto"/>
            </w:tcBorders>
            <w:shd w:val="clear" w:color="auto" w:fill="E6E6E6"/>
          </w:tcPr>
          <w:p>
            <w:pPr>
              <w:jc w:val="right"/>
              <w:ind w:right="67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291</w:t>
            </w:r>
          </w:p>
        </w:tc>
        <w:tc>
          <w:tcPr>
            <w:tcW w:w="60" w:type="dxa"/>
            <w:vAlign w:val="bottom"/>
            <w:tcBorders>
              <w:bottom w:val="single" w:sz="8" w:color="E6E6E6"/>
            </w:tcBorders>
            <w:gridSpan w:val="2"/>
            <w:shd w:val="clear" w:color="auto" w:fill="E6E6E6"/>
          </w:tcPr>
          <w:p>
            <w:pPr>
              <w:spacing w:after="0"/>
              <w:rPr>
                <w:sz w:val="24"/>
                <w:szCs w:val="24"/>
                <w:color w:val="auto"/>
              </w:rPr>
            </w:pPr>
          </w:p>
        </w:tc>
        <w:tc>
          <w:tcPr>
            <w:tcW w:w="280" w:type="dxa"/>
            <w:vAlign w:val="bottom"/>
            <w:tcBorders>
              <w:bottom w:val="single" w:sz="8" w:color="auto"/>
            </w:tcBorders>
            <w:shd w:val="clear" w:color="auto" w:fill="E6E6E6"/>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183</w:t>
            </w:r>
          </w:p>
        </w:tc>
        <w:tc>
          <w:tcPr>
            <w:tcW w:w="20" w:type="dxa"/>
            <w:vAlign w:val="bottom"/>
            <w:tcBorders>
              <w:bottom w:val="single" w:sz="8" w:color="auto"/>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300</w:t>
            </w:r>
          </w:p>
        </w:tc>
      </w:tr>
      <w:tr>
        <w:trPr>
          <w:trHeight w:val="415"/>
        </w:trPr>
        <w:tc>
          <w:tcPr>
            <w:tcW w:w="5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rPr>
              <w:t>December 31,</w:t>
            </w:r>
          </w:p>
        </w:tc>
      </w:tr>
      <w:tr>
        <w:trPr>
          <w:trHeight w:val="247"/>
        </w:trPr>
        <w:tc>
          <w:tcPr>
            <w:tcW w:w="5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r>
      <w:tr>
        <w:trPr>
          <w:trHeight w:val="33"/>
        </w:trPr>
        <w:tc>
          <w:tcPr>
            <w:tcW w:w="5320" w:type="dxa"/>
            <w:vAlign w:val="bottom"/>
            <w:tcBorders>
              <w:bottom w:val="single" w:sz="8" w:color="E6E6E6"/>
            </w:tcBorders>
          </w:tcPr>
          <w:p>
            <w:pPr>
              <w:spacing w:after="0"/>
              <w:rPr>
                <w:sz w:val="2"/>
                <w:szCs w:val="2"/>
                <w:color w:val="auto"/>
              </w:rPr>
            </w:pPr>
          </w:p>
        </w:tc>
        <w:tc>
          <w:tcPr>
            <w:tcW w:w="900" w:type="dxa"/>
            <w:vAlign w:val="bottom"/>
            <w:tcBorders>
              <w:bottom w:val="single" w:sz="8" w:color="E6E6E6"/>
            </w:tcBorders>
          </w:tcPr>
          <w:p>
            <w:pPr>
              <w:spacing w:after="0"/>
              <w:rPr>
                <w:sz w:val="2"/>
                <w:szCs w:val="2"/>
                <w:color w:val="auto"/>
              </w:rPr>
            </w:pPr>
          </w:p>
        </w:tc>
        <w:tc>
          <w:tcPr>
            <w:tcW w:w="420" w:type="dxa"/>
            <w:vAlign w:val="bottom"/>
            <w:tcBorders>
              <w:bottom w:val="single" w:sz="8" w:color="E6E6E6"/>
            </w:tcBorders>
          </w:tcPr>
          <w:p>
            <w:pPr>
              <w:spacing w:after="0"/>
              <w:rPr>
                <w:sz w:val="2"/>
                <w:szCs w:val="2"/>
                <w:color w:val="auto"/>
              </w:rPr>
            </w:pPr>
          </w:p>
        </w:tc>
        <w:tc>
          <w:tcPr>
            <w:tcW w:w="4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Identifiable Assets</w:t>
            </w:r>
          </w:p>
        </w:tc>
        <w:tc>
          <w:tcPr>
            <w:tcW w:w="900" w:type="dxa"/>
            <w:vAlign w:val="bottom"/>
            <w:tcBorders>
              <w:bottom w:val="single" w:sz="8" w:color="E6E6E6"/>
            </w:tcBorders>
            <w:shd w:val="clear" w:color="auto" w:fill="E6E6E6"/>
          </w:tcPr>
          <w:p>
            <w:pPr>
              <w:spacing w:after="0"/>
              <w:rPr>
                <w:sz w:val="23"/>
                <w:szCs w:val="23"/>
                <w:color w:val="auto"/>
              </w:rPr>
            </w:pPr>
          </w:p>
        </w:tc>
        <w:tc>
          <w:tcPr>
            <w:tcW w:w="420" w:type="dxa"/>
            <w:vAlign w:val="bottom"/>
            <w:tcBorders>
              <w:bottom w:val="single" w:sz="8" w:color="E6E6E6"/>
            </w:tcBorders>
            <w:shd w:val="clear" w:color="auto" w:fill="E6E6E6"/>
          </w:tcPr>
          <w:p>
            <w:pPr>
              <w:spacing w:after="0"/>
              <w:rPr>
                <w:sz w:val="23"/>
                <w:szCs w:val="23"/>
                <w:color w:val="auto"/>
              </w:rPr>
            </w:pPr>
          </w:p>
        </w:tc>
        <w:tc>
          <w:tcPr>
            <w:tcW w:w="4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8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60" w:type="dxa"/>
            <w:vAlign w:val="bottom"/>
            <w:tcBorders>
              <w:bottom w:val="single" w:sz="8" w:color="E6E6E6"/>
            </w:tcBorders>
            <w:shd w:val="clear" w:color="auto" w:fill="E6E6E6"/>
          </w:tcPr>
          <w:p>
            <w:pPr>
              <w:spacing w:after="0"/>
              <w:rPr>
                <w:sz w:val="23"/>
                <w:szCs w:val="23"/>
                <w:color w:val="auto"/>
              </w:rPr>
            </w:pPr>
          </w:p>
        </w:tc>
        <w:tc>
          <w:tcPr>
            <w:tcW w:w="38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E6E6E6"/>
            </w:tcBorders>
            <w:shd w:val="clear" w:color="auto" w:fill="E6E6E6"/>
          </w:tcPr>
          <w:p>
            <w:pPr>
              <w:spacing w:after="0"/>
              <w:rPr>
                <w:sz w:val="23"/>
                <w:szCs w:val="23"/>
                <w:color w:val="auto"/>
              </w:rPr>
            </w:pPr>
          </w:p>
        </w:tc>
      </w:tr>
      <w:tr>
        <w:trPr>
          <w:trHeight w:val="258"/>
        </w:trPr>
        <w:tc>
          <w:tcPr>
            <w:tcW w:w="5320" w:type="dxa"/>
            <w:vAlign w:val="bottom"/>
          </w:tcPr>
          <w:p>
            <w:pPr>
              <w:ind w:left="60"/>
              <w:spacing w:after="0"/>
              <w:rPr>
                <w:sz w:val="20"/>
                <w:szCs w:val="20"/>
                <w:color w:val="auto"/>
              </w:rPr>
            </w:pPr>
            <w:r>
              <w:rPr>
                <w:rFonts w:ascii="Arial" w:cs="Arial" w:eastAsia="Arial" w:hAnsi="Arial"/>
                <w:sz w:val="18"/>
                <w:szCs w:val="18"/>
                <w:color w:val="auto"/>
              </w:rPr>
              <w:t>Siding</w:t>
            </w: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1,419</w:t>
            </w:r>
          </w:p>
        </w:tc>
        <w:tc>
          <w:tcPr>
            <w:tcW w:w="20" w:type="dxa"/>
            <w:vAlign w:val="bottom"/>
          </w:tcPr>
          <w:p>
            <w:pPr>
              <w:spacing w:after="0"/>
              <w:rPr>
                <w:sz w:val="22"/>
                <w:szCs w:val="22"/>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1,307</w:t>
            </w:r>
          </w:p>
        </w:tc>
      </w:tr>
      <w:tr>
        <w:trPr>
          <w:trHeight w:val="42"/>
        </w:trPr>
        <w:tc>
          <w:tcPr>
            <w:tcW w:w="5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OSB</w:t>
            </w:r>
          </w:p>
        </w:tc>
        <w:tc>
          <w:tcPr>
            <w:tcW w:w="90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8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531</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553</w:t>
            </w:r>
          </w:p>
        </w:tc>
      </w:tr>
      <w:tr>
        <w:trPr>
          <w:trHeight w:val="258"/>
        </w:trPr>
        <w:tc>
          <w:tcPr>
            <w:tcW w:w="5320" w:type="dxa"/>
            <w:vAlign w:val="bottom"/>
          </w:tcPr>
          <w:p>
            <w:pPr>
              <w:ind w:left="6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32"/>
        </w:trPr>
        <w:tc>
          <w:tcPr>
            <w:tcW w:w="5320" w:type="dxa"/>
            <w:vAlign w:val="bottom"/>
            <w:tcBorders>
              <w:bottom w:val="single" w:sz="8" w:color="E6E6E6"/>
            </w:tcBorders>
          </w:tcPr>
          <w:p>
            <w:pPr>
              <w:spacing w:after="0"/>
              <w:rPr>
                <w:sz w:val="2"/>
                <w:szCs w:val="2"/>
                <w:color w:val="auto"/>
              </w:rPr>
            </w:pPr>
          </w:p>
        </w:tc>
        <w:tc>
          <w:tcPr>
            <w:tcW w:w="900" w:type="dxa"/>
            <w:vAlign w:val="bottom"/>
            <w:tcBorders>
              <w:bottom w:val="single" w:sz="8" w:color="E6E6E6"/>
            </w:tcBorders>
          </w:tcPr>
          <w:p>
            <w:pPr>
              <w:spacing w:after="0"/>
              <w:rPr>
                <w:sz w:val="2"/>
                <w:szCs w:val="2"/>
                <w:color w:val="auto"/>
              </w:rPr>
            </w:pPr>
          </w:p>
        </w:tc>
        <w:tc>
          <w:tcPr>
            <w:tcW w:w="420" w:type="dxa"/>
            <w:vAlign w:val="bottom"/>
            <w:tcBorders>
              <w:bottom w:val="single" w:sz="8" w:color="E6E6E6"/>
            </w:tcBorders>
          </w:tcPr>
          <w:p>
            <w:pPr>
              <w:spacing w:after="0"/>
              <w:rPr>
                <w:sz w:val="2"/>
                <w:szCs w:val="2"/>
                <w:color w:val="auto"/>
              </w:rPr>
            </w:pPr>
          </w:p>
        </w:tc>
        <w:tc>
          <w:tcPr>
            <w:tcW w:w="4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60" w:type="dxa"/>
            <w:vAlign w:val="bottom"/>
            <w:tcBorders>
              <w:bottom w:val="single" w:sz="8" w:color="E6E6E6"/>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00"/>
        </w:trPr>
        <w:tc>
          <w:tcPr>
            <w:tcW w:w="532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8"/>
                <w:szCs w:val="18"/>
                <w:b w:val="1"/>
                <w:bCs w:val="1"/>
                <w:color w:val="auto"/>
              </w:rPr>
              <w:t>Total assets</w:t>
            </w:r>
          </w:p>
        </w:tc>
        <w:tc>
          <w:tcPr>
            <w:tcW w:w="900" w:type="dxa"/>
            <w:vAlign w:val="bottom"/>
            <w:tcBorders>
              <w:bottom w:val="single" w:sz="8" w:color="E6E6E6"/>
            </w:tcBorders>
            <w:shd w:val="clear" w:color="auto" w:fill="E6E6E6"/>
          </w:tcPr>
          <w:p>
            <w:pPr>
              <w:spacing w:after="0"/>
              <w:rPr>
                <w:sz w:val="24"/>
                <w:szCs w:val="24"/>
                <w:color w:val="auto"/>
              </w:rPr>
            </w:pPr>
          </w:p>
        </w:tc>
        <w:tc>
          <w:tcPr>
            <w:tcW w:w="4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gridSpan w:val="2"/>
            <w:shd w:val="clear" w:color="auto" w:fill="E6E6E6"/>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2,627</w:t>
            </w:r>
          </w:p>
        </w:tc>
        <w:tc>
          <w:tcPr>
            <w:tcW w:w="2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380" w:type="dxa"/>
            <w:vAlign w:val="bottom"/>
            <w:tcBorders>
              <w:bottom w:val="single" w:sz="8" w:color="auto"/>
            </w:tcBorders>
            <w:shd w:val="clear" w:color="auto" w:fill="E6E6E6"/>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2,556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3368675</wp:posOffset>
            </wp:positionH>
            <wp:positionV relativeFrom="paragraph">
              <wp:posOffset>-2428240</wp:posOffset>
            </wp:positionV>
            <wp:extent cx="258762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40">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-1666240</wp:posOffset>
            </wp:positionV>
            <wp:extent cx="258762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41">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-1488440</wp:posOffset>
            </wp:positionV>
            <wp:extent cx="2587625" cy="508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42">
                      <a:extLst>
                        <a:ext uri="{28A0092B-C50C-407E-A947-70E740481C1C}"/>
                      </a:extLst>
                    </a:blip>
                    <a:srcRect/>
                    <a:stretch>
                      <a:fillRect/>
                    </a:stretch>
                  </pic:blipFill>
                  <pic:spPr bwMode="auto">
                    <a:xfrm>
                      <a:off x="0" y="0"/>
                      <a:ext cx="2587625" cy="508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-983615</wp:posOffset>
            </wp:positionV>
            <wp:extent cx="173037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43">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-221615</wp:posOffset>
            </wp:positionV>
            <wp:extent cx="173037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44">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-43815</wp:posOffset>
            </wp:positionV>
            <wp:extent cx="1730375" cy="508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45">
                      <a:extLst>
                        <a:ext uri="{28A0092B-C50C-407E-A947-70E740481C1C}"/>
                      </a:extLst>
                    </a:blip>
                    <a:srcRect/>
                    <a:stretch>
                      <a:fillRect/>
                    </a:stretch>
                  </pic:blipFill>
                  <pic:spPr bwMode="auto">
                    <a:xfrm>
                      <a:off x="0" y="0"/>
                      <a:ext cx="1730375" cy="50800"/>
                    </a:xfrm>
                    <a:prstGeom prst="rect">
                      <a:avLst/>
                    </a:prstGeom>
                    <a:noFill/>
                  </pic:spPr>
                </pic:pic>
              </a:graphicData>
            </a:graphic>
          </wp:anchor>
        </w:drawing>
      </w:r>
    </w:p>
    <w:p>
      <w:pPr>
        <w:spacing w:after="0" w:line="10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Other identifiable assets include cash and cash equivalents, short-term and long-term investments, corporate assets, and other items.</w:t>
      </w:r>
    </w:p>
    <w:p>
      <w:pPr>
        <w:sectPr>
          <w:pgSz w:w="11880" w:h="15480" w:orient="portrait"/>
          <w:cols w:equalWidth="0" w:num="1">
            <w:col w:w="9360"/>
          </w:cols>
          <w:pgMar w:left="1260" w:top="1278"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9360"/>
          </w:cols>
          <w:pgMar w:left="1260" w:top="1278" w:right="1260" w:bottom="225" w:gutter="0" w:footer="0" w:header="0"/>
          <w:type w:val="continuous"/>
        </w:sectPr>
      </w:pPr>
    </w:p>
    <w:bookmarkStart w:id="96" w:name="page97"/>
    <w:bookmarkEnd w:id="96"/>
    <w:p>
      <w:pPr>
        <w:spacing w:after="0" w:line="283" w:lineRule="auto"/>
        <w:rPr>
          <w:sz w:val="20"/>
          <w:szCs w:val="20"/>
          <w:color w:val="auto"/>
        </w:rPr>
      </w:pPr>
      <w:r>
        <w:rPr>
          <w:rFonts w:ascii="Arial" w:cs="Arial" w:eastAsia="Arial" w:hAnsi="Arial"/>
          <w:sz w:val="20"/>
          <w:szCs w:val="20"/>
          <w:color w:val="auto"/>
        </w:rPr>
        <w:t>Changes in goodwill by segment for the years ended December 31, 2025 and 2024, are provided in the following table (dollar amounts in millions):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300" w:type="dxa"/>
            <w:vAlign w:val="bottom"/>
            <w:tcBorders>
              <w:bottom w:val="single" w:sz="8" w:color="E6E6E6"/>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Siding</w:t>
            </w:r>
          </w:p>
        </w:tc>
        <w:tc>
          <w:tcPr>
            <w:tcW w:w="340" w:type="dxa"/>
            <w:vAlign w:val="bottom"/>
            <w:tcBorders>
              <w:bottom w:val="single" w:sz="8" w:color="auto"/>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OSB</w:t>
            </w: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90"/>
        </w:trPr>
        <w:tc>
          <w:tcPr>
            <w:tcW w:w="5300" w:type="dxa"/>
            <w:vAlign w:val="bottom"/>
            <w:shd w:val="clear" w:color="auto" w:fill="E6E6E6"/>
          </w:tcPr>
          <w:p>
            <w:pPr>
              <w:ind w:left="40"/>
              <w:spacing w:after="0"/>
              <w:rPr>
                <w:sz w:val="20"/>
                <w:szCs w:val="20"/>
                <w:color w:val="auto"/>
              </w:rPr>
            </w:pPr>
            <w:r>
              <w:rPr>
                <w:rFonts w:ascii="Arial" w:cs="Arial" w:eastAsia="Arial" w:hAnsi="Arial"/>
                <w:sz w:val="18"/>
                <w:szCs w:val="18"/>
                <w:color w:val="auto"/>
              </w:rPr>
              <w:t>Balance at December 31, 2023</w:t>
            </w:r>
          </w:p>
        </w:tc>
        <w:tc>
          <w:tcPr>
            <w:tcW w:w="960" w:type="dxa"/>
            <w:vAlign w:val="bottom"/>
            <w:shd w:val="clear" w:color="auto" w:fill="E6E6E6"/>
          </w:tcPr>
          <w:p>
            <w:pPr>
              <w:jc w:val="right"/>
              <w:ind w:right="730"/>
              <w:spacing w:after="0"/>
              <w:rPr>
                <w:sz w:val="20"/>
                <w:szCs w:val="20"/>
                <w:color w:val="auto"/>
              </w:rPr>
            </w:pPr>
            <w:r>
              <w:rPr>
                <w:rFonts w:ascii="Arial" w:cs="Arial" w:eastAsia="Arial" w:hAnsi="Arial"/>
                <w:sz w:val="18"/>
                <w:szCs w:val="18"/>
                <w:color w:val="auto"/>
              </w:rPr>
              <w:t>$</w:t>
            </w:r>
          </w:p>
        </w:tc>
        <w:tc>
          <w:tcPr>
            <w:tcW w:w="3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1000" w:type="dxa"/>
            <w:vAlign w:val="bottom"/>
            <w:gridSpan w:val="2"/>
            <w:shd w:val="clear" w:color="auto" w:fill="E6E6E6"/>
          </w:tcPr>
          <w:p>
            <w:pPr>
              <w:jc w:val="right"/>
              <w:ind w:right="710"/>
              <w:spacing w:after="0"/>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w:t>
            </w:r>
          </w:p>
        </w:tc>
        <w:tc>
          <w:tcPr>
            <w:tcW w:w="36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w:t>
            </w:r>
          </w:p>
        </w:tc>
      </w:tr>
      <w:tr>
        <w:trPr>
          <w:trHeight w:val="290"/>
        </w:trPr>
        <w:tc>
          <w:tcPr>
            <w:tcW w:w="5300" w:type="dxa"/>
            <w:vAlign w:val="bottom"/>
            <w:tcBorders>
              <w:bottom w:val="single" w:sz="8" w:color="E6E6E6"/>
            </w:tcBorders>
          </w:tcPr>
          <w:p>
            <w:pPr>
              <w:ind w:left="40"/>
              <w:spacing w:after="0"/>
              <w:rPr>
                <w:sz w:val="20"/>
                <w:szCs w:val="20"/>
                <w:color w:val="auto"/>
              </w:rPr>
            </w:pPr>
            <w:r>
              <w:rPr>
                <w:rFonts w:ascii="Arial" w:cs="Arial" w:eastAsia="Arial" w:hAnsi="Arial"/>
                <w:sz w:val="18"/>
                <w:szCs w:val="18"/>
                <w:color w:val="auto"/>
              </w:rPr>
              <w:t>Impairment charges</w:t>
            </w: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90"/>
        </w:trPr>
        <w:tc>
          <w:tcPr>
            <w:tcW w:w="5300" w:type="dxa"/>
            <w:vAlign w:val="bottom"/>
            <w:shd w:val="clear" w:color="auto" w:fill="E6E6E6"/>
          </w:tcPr>
          <w:p>
            <w:pPr>
              <w:ind w:left="40"/>
              <w:spacing w:after="0"/>
              <w:rPr>
                <w:sz w:val="20"/>
                <w:szCs w:val="20"/>
                <w:color w:val="auto"/>
              </w:rPr>
            </w:pPr>
            <w:r>
              <w:rPr>
                <w:rFonts w:ascii="Arial" w:cs="Arial" w:eastAsia="Arial" w:hAnsi="Arial"/>
                <w:sz w:val="18"/>
                <w:szCs w:val="18"/>
                <w:color w:val="auto"/>
              </w:rPr>
              <w:t>Balance at December 31, 2024</w:t>
            </w:r>
          </w:p>
        </w:tc>
        <w:tc>
          <w:tcPr>
            <w:tcW w:w="960" w:type="dxa"/>
            <w:vAlign w:val="bottom"/>
            <w:shd w:val="clear" w:color="auto" w:fill="E6E6E6"/>
          </w:tcPr>
          <w:p>
            <w:pPr>
              <w:spacing w:after="0"/>
              <w:rPr>
                <w:sz w:val="24"/>
                <w:szCs w:val="24"/>
                <w:color w:val="auto"/>
              </w:rPr>
            </w:pPr>
          </w:p>
        </w:tc>
        <w:tc>
          <w:tcPr>
            <w:tcW w:w="3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3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19</w:t>
            </w:r>
          </w:p>
        </w:tc>
      </w:tr>
      <w:tr>
        <w:trPr>
          <w:trHeight w:val="290"/>
        </w:trPr>
        <w:tc>
          <w:tcPr>
            <w:tcW w:w="5300" w:type="dxa"/>
            <w:vAlign w:val="bottom"/>
            <w:tcBorders>
              <w:bottom w:val="single" w:sz="8" w:color="E6E6E6"/>
            </w:tcBorders>
          </w:tcPr>
          <w:p>
            <w:pPr>
              <w:ind w:left="40"/>
              <w:spacing w:after="0"/>
              <w:rPr>
                <w:sz w:val="20"/>
                <w:szCs w:val="20"/>
                <w:color w:val="auto"/>
              </w:rPr>
            </w:pPr>
            <w:r>
              <w:rPr>
                <w:rFonts w:ascii="Arial" w:cs="Arial" w:eastAsia="Arial" w:hAnsi="Arial"/>
                <w:sz w:val="18"/>
                <w:szCs w:val="18"/>
                <w:color w:val="auto"/>
              </w:rPr>
              <w:t>Impairment charges</w:t>
            </w: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80"/>
        </w:trPr>
        <w:tc>
          <w:tcPr>
            <w:tcW w:w="5300" w:type="dxa"/>
            <w:vAlign w:val="bottom"/>
            <w:shd w:val="clear" w:color="auto" w:fill="E6E6E6"/>
          </w:tcPr>
          <w:p>
            <w:pPr>
              <w:ind w:left="40"/>
              <w:spacing w:after="0"/>
              <w:rPr>
                <w:sz w:val="20"/>
                <w:szCs w:val="20"/>
                <w:color w:val="auto"/>
              </w:rPr>
            </w:pPr>
            <w:r>
              <w:rPr>
                <w:rFonts w:ascii="Arial" w:cs="Arial" w:eastAsia="Arial" w:hAnsi="Arial"/>
                <w:sz w:val="18"/>
                <w:szCs w:val="18"/>
                <w:color w:val="auto"/>
              </w:rPr>
              <w:t>Balance at December 31, 2025</w:t>
            </w:r>
          </w:p>
        </w:tc>
        <w:tc>
          <w:tcPr>
            <w:tcW w:w="960" w:type="dxa"/>
            <w:vAlign w:val="bottom"/>
            <w:shd w:val="clear" w:color="auto" w:fill="E6E6E6"/>
          </w:tcPr>
          <w:p>
            <w:pPr>
              <w:jc w:val="right"/>
              <w:ind w:right="73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4</w:t>
            </w:r>
          </w:p>
        </w:tc>
        <w:tc>
          <w:tcPr>
            <w:tcW w:w="1000" w:type="dxa"/>
            <w:vAlign w:val="bottom"/>
            <w:gridSpan w:val="2"/>
            <w:shd w:val="clear" w:color="auto" w:fill="E6E6E6"/>
          </w:tcPr>
          <w:p>
            <w:pPr>
              <w:jc w:val="right"/>
              <w:ind w:right="71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16</w:t>
            </w:r>
          </w:p>
        </w:tc>
        <w:tc>
          <w:tcPr>
            <w:tcW w:w="360" w:type="dxa"/>
            <w:vAlign w:val="bottom"/>
            <w:gridSpan w:val="2"/>
            <w:shd w:val="clear" w:color="auto" w:fill="E6E6E6"/>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19</w:t>
            </w:r>
          </w:p>
        </w:tc>
      </w:tr>
      <w:tr>
        <w:trPr>
          <w:trHeight w:val="20"/>
        </w:trPr>
        <w:tc>
          <w:tcPr>
            <w:tcW w:w="5300" w:type="dxa"/>
            <w:vAlign w:val="bottom"/>
            <w:tcBorders>
              <w:top w:val="single" w:sz="8" w:color="E6E6E6"/>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6E6E6"/>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3359150</wp:posOffset>
            </wp:positionH>
            <wp:positionV relativeFrom="paragraph">
              <wp:posOffset>-983615</wp:posOffset>
            </wp:positionV>
            <wp:extent cx="258762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46">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-602615</wp:posOffset>
            </wp:positionV>
            <wp:extent cx="258762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47">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-221615</wp:posOffset>
            </wp:positionV>
            <wp:extent cx="258762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48">
                      <a:extLst>
                        <a:ext uri="{28A0092B-C50C-407E-A947-70E740481C1C}"/>
                      </a:extLst>
                    </a:blip>
                    <a:srcRect/>
                    <a:stretch>
                      <a:fillRect/>
                    </a:stretch>
                  </pic:blipFill>
                  <pic:spPr bwMode="auto">
                    <a:xfrm>
                      <a:off x="0" y="0"/>
                      <a:ext cx="2587625" cy="25400"/>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-43815</wp:posOffset>
            </wp:positionV>
            <wp:extent cx="258762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49">
                      <a:extLst>
                        <a:ext uri="{28A0092B-C50C-407E-A947-70E740481C1C}"/>
                      </a:extLst>
                    </a:blip>
                    <a:srcRect/>
                    <a:stretch>
                      <a:fillRect/>
                    </a:stretch>
                  </pic:blipFill>
                  <pic:spPr bwMode="auto">
                    <a:xfrm>
                      <a:off x="0" y="0"/>
                      <a:ext cx="2587625" cy="2540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Information concerning our geographic areas is as follows (dollar amounts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bottom w:val="single" w:sz="8" w:color="auto"/>
            </w:tcBorders>
          </w:tcPr>
          <w:p>
            <w:pPr>
              <w:spacing w:after="0"/>
              <w:rPr>
                <w:sz w:val="21"/>
                <w:szCs w:val="21"/>
                <w:color w:val="auto"/>
              </w:rPr>
            </w:pPr>
          </w:p>
        </w:tc>
      </w:tr>
      <w:tr>
        <w:trPr>
          <w:trHeight w:val="247"/>
        </w:trPr>
        <w:tc>
          <w:tcPr>
            <w:tcW w:w="5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33"/>
        </w:trPr>
        <w:tc>
          <w:tcPr>
            <w:tcW w:w="5300" w:type="dxa"/>
            <w:vAlign w:val="bottom"/>
            <w:tcBorders>
              <w:bottom w:val="single" w:sz="8" w:color="E6E6E6"/>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Total sales - Point of origin</w:t>
            </w:r>
          </w:p>
        </w:tc>
        <w:tc>
          <w:tcPr>
            <w:tcW w:w="30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E6E6E6"/>
            </w:tcBorders>
            <w:shd w:val="clear" w:color="auto" w:fill="E6E6E6"/>
          </w:tcPr>
          <w:p>
            <w:pPr>
              <w:spacing w:after="0"/>
              <w:rPr>
                <w:sz w:val="23"/>
                <w:szCs w:val="23"/>
                <w:color w:val="auto"/>
              </w:rPr>
            </w:pPr>
          </w:p>
        </w:tc>
        <w:tc>
          <w:tcPr>
            <w:tcW w:w="106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E6E6E6"/>
            </w:tcBorders>
            <w:shd w:val="clear" w:color="auto" w:fill="E6E6E6"/>
          </w:tcPr>
          <w:p>
            <w:pPr>
              <w:spacing w:after="0"/>
              <w:rPr>
                <w:sz w:val="23"/>
                <w:szCs w:val="23"/>
                <w:color w:val="auto"/>
              </w:rPr>
            </w:pP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2,430</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2,611</w:t>
            </w:r>
          </w:p>
        </w:tc>
        <w:tc>
          <w:tcPr>
            <w:tcW w:w="4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2,265</w:t>
            </w:r>
          </w:p>
        </w:tc>
      </w:tr>
      <w:tr>
        <w:trPr>
          <w:trHeight w:val="42"/>
        </w:trPr>
        <w:tc>
          <w:tcPr>
            <w:tcW w:w="5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Canada</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669</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675</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610</w:t>
            </w: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South America</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42"/>
        </w:trPr>
        <w:tc>
          <w:tcPr>
            <w:tcW w:w="5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5"/>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Inter-geographic sales</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(593)</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(559)</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(535)</w:t>
            </w:r>
          </w:p>
        </w:tc>
      </w:tr>
      <w:tr>
        <w:trPr>
          <w:trHeight w:val="260"/>
        </w:trPr>
        <w:tc>
          <w:tcPr>
            <w:tcW w:w="5300" w:type="dxa"/>
            <w:vAlign w:val="bottom"/>
            <w:tcBorders>
              <w:top w:val="single" w:sz="8" w:color="E6E6E6"/>
            </w:tcBorders>
          </w:tcPr>
          <w:p>
            <w:pPr>
              <w:ind w:left="180"/>
              <w:spacing w:after="0"/>
              <w:rPr>
                <w:sz w:val="20"/>
                <w:szCs w:val="20"/>
                <w:color w:val="auto"/>
              </w:rPr>
            </w:pPr>
            <w:r>
              <w:rPr>
                <w:rFonts w:ascii="Arial" w:cs="Arial" w:eastAsia="Arial" w:hAnsi="Arial"/>
                <w:sz w:val="18"/>
                <w:szCs w:val="18"/>
                <w:b w:val="1"/>
                <w:bCs w:val="1"/>
                <w:color w:val="auto"/>
              </w:rPr>
              <w:t>Total sales</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2,708</w:t>
            </w:r>
          </w:p>
        </w:tc>
        <w:tc>
          <w:tcPr>
            <w:tcW w:w="100" w:type="dxa"/>
            <w:vAlign w:val="bottom"/>
            <w:tcBorders>
              <w:top w:val="single" w:sz="8" w:color="E6E6E6"/>
            </w:tcBorders>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2,941</w:t>
            </w:r>
          </w:p>
        </w:tc>
        <w:tc>
          <w:tcPr>
            <w:tcW w:w="100" w:type="dxa"/>
            <w:vAlign w:val="bottom"/>
            <w:tcBorders>
              <w:top w:val="single" w:sz="8" w:color="E6E6E6"/>
            </w:tcBorders>
            <w:gridSpan w:val="2"/>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2,581</w:t>
            </w:r>
          </w:p>
        </w:tc>
      </w:tr>
      <w:tr>
        <w:trPr>
          <w:trHeight w:val="20"/>
        </w:trPr>
        <w:tc>
          <w:tcPr>
            <w:tcW w:w="5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r>
      <w:tr>
        <w:trPr>
          <w:trHeight w:val="435"/>
        </w:trPr>
        <w:tc>
          <w:tcPr>
            <w:tcW w:w="5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w w:val="94"/>
              </w:rPr>
              <w:t>Year Ended December 31,</w:t>
            </w:r>
          </w:p>
        </w:tc>
      </w:tr>
      <w:tr>
        <w:trPr>
          <w:trHeight w:val="247"/>
        </w:trPr>
        <w:tc>
          <w:tcPr>
            <w:tcW w:w="5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r>
      <w:tr>
        <w:trPr>
          <w:trHeight w:val="33"/>
        </w:trPr>
        <w:tc>
          <w:tcPr>
            <w:tcW w:w="5300" w:type="dxa"/>
            <w:vAlign w:val="bottom"/>
            <w:tcBorders>
              <w:bottom w:val="single" w:sz="8" w:color="E6E6E6"/>
            </w:tcBorders>
          </w:tcPr>
          <w:p>
            <w:pPr>
              <w:spacing w:after="0"/>
              <w:rPr>
                <w:sz w:val="2"/>
                <w:szCs w:val="2"/>
                <w:color w:val="auto"/>
              </w:rPr>
            </w:pPr>
          </w:p>
        </w:tc>
        <w:tc>
          <w:tcPr>
            <w:tcW w:w="300" w:type="dxa"/>
            <w:vAlign w:val="bottom"/>
            <w:tcBorders>
              <w:bottom w:val="single" w:sz="8" w:color="E6E6E6"/>
            </w:tcBorders>
          </w:tcPr>
          <w:p>
            <w:pPr>
              <w:spacing w:after="0"/>
              <w:rPr>
                <w:sz w:val="2"/>
                <w:szCs w:val="2"/>
                <w:color w:val="auto"/>
              </w:rPr>
            </w:pPr>
          </w:p>
        </w:tc>
        <w:tc>
          <w:tcPr>
            <w:tcW w:w="1000" w:type="dxa"/>
            <w:vAlign w:val="bottom"/>
            <w:tcBorders>
              <w:bottom w:val="single" w:sz="8" w:color="E6E6E6"/>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E6E6E6"/>
            </w:tcBorders>
          </w:tcPr>
          <w:p>
            <w:pPr>
              <w:spacing w:after="0"/>
              <w:rPr>
                <w:sz w:val="2"/>
                <w:szCs w:val="2"/>
                <w:color w:val="auto"/>
              </w:rPr>
            </w:pPr>
          </w:p>
        </w:tc>
        <w:tc>
          <w:tcPr>
            <w:tcW w:w="20" w:type="dxa"/>
            <w:vAlign w:val="bottom"/>
            <w:tcBorders>
              <w:bottom w:val="single" w:sz="8" w:color="E6E6E6"/>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b w:val="1"/>
                <w:bCs w:val="1"/>
                <w:color w:val="auto"/>
              </w:rPr>
              <w:t>Long lived assets</w:t>
            </w:r>
          </w:p>
        </w:tc>
        <w:tc>
          <w:tcPr>
            <w:tcW w:w="300" w:type="dxa"/>
            <w:vAlign w:val="bottom"/>
            <w:tcBorders>
              <w:bottom w:val="single" w:sz="8" w:color="E6E6E6"/>
            </w:tcBorders>
            <w:shd w:val="clear" w:color="auto" w:fill="E6E6E6"/>
          </w:tcPr>
          <w:p>
            <w:pPr>
              <w:spacing w:after="0"/>
              <w:rPr>
                <w:sz w:val="23"/>
                <w:szCs w:val="23"/>
                <w:color w:val="auto"/>
              </w:rPr>
            </w:pPr>
          </w:p>
        </w:tc>
        <w:tc>
          <w:tcPr>
            <w:tcW w:w="100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E6E6E6"/>
            </w:tcBorders>
            <w:shd w:val="clear" w:color="auto" w:fill="E6E6E6"/>
          </w:tcPr>
          <w:p>
            <w:pPr>
              <w:spacing w:after="0"/>
              <w:rPr>
                <w:sz w:val="23"/>
                <w:szCs w:val="23"/>
                <w:color w:val="auto"/>
              </w:rPr>
            </w:pPr>
          </w:p>
        </w:tc>
        <w:tc>
          <w:tcPr>
            <w:tcW w:w="1060" w:type="dxa"/>
            <w:vAlign w:val="bottom"/>
            <w:tcBorders>
              <w:bottom w:val="single" w:sz="8" w:color="E6E6E6"/>
            </w:tcBorders>
            <w:shd w:val="clear" w:color="auto" w:fill="E6E6E6"/>
          </w:tcPr>
          <w:p>
            <w:pPr>
              <w:spacing w:after="0"/>
              <w:rPr>
                <w:sz w:val="23"/>
                <w:szCs w:val="23"/>
                <w:color w:val="auto"/>
              </w:rPr>
            </w:pP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360" w:type="dxa"/>
            <w:vAlign w:val="bottom"/>
            <w:tcBorders>
              <w:bottom w:val="single" w:sz="8" w:color="E6E6E6"/>
            </w:tcBorders>
            <w:shd w:val="clear" w:color="auto" w:fill="E6E6E6"/>
          </w:tcPr>
          <w:p>
            <w:pPr>
              <w:spacing w:after="0"/>
              <w:rPr>
                <w:sz w:val="23"/>
                <w:szCs w:val="23"/>
                <w:color w:val="auto"/>
              </w:rPr>
            </w:pPr>
          </w:p>
        </w:tc>
        <w:tc>
          <w:tcPr>
            <w:tcW w:w="920" w:type="dxa"/>
            <w:vAlign w:val="bottom"/>
            <w:tcBorders>
              <w:bottom w:val="single" w:sz="8" w:color="E6E6E6"/>
            </w:tcBorders>
            <w:shd w:val="clear" w:color="auto" w:fill="E6E6E6"/>
          </w:tcPr>
          <w:p>
            <w:pPr>
              <w:spacing w:after="0"/>
              <w:rPr>
                <w:sz w:val="23"/>
                <w:szCs w:val="23"/>
                <w:color w:val="auto"/>
              </w:rPr>
            </w:pP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1,191</w:t>
            </w:r>
          </w:p>
        </w:tc>
        <w:tc>
          <w:tcPr>
            <w:tcW w:w="4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1,063</w:t>
            </w:r>
          </w:p>
        </w:tc>
      </w:tr>
      <w:tr>
        <w:trPr>
          <w:trHeight w:val="42"/>
        </w:trPr>
        <w:tc>
          <w:tcPr>
            <w:tcW w:w="5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0"/>
        </w:trPr>
        <w:tc>
          <w:tcPr>
            <w:tcW w:w="53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8"/>
                <w:szCs w:val="18"/>
                <w:color w:val="auto"/>
              </w:rPr>
              <w:t>Canada</w:t>
            </w:r>
          </w:p>
        </w:tc>
        <w:tc>
          <w:tcPr>
            <w:tcW w:w="300" w:type="dxa"/>
            <w:vAlign w:val="bottom"/>
            <w:tcBorders>
              <w:bottom w:val="single" w:sz="8" w:color="E6E6E6"/>
            </w:tcBorders>
            <w:shd w:val="clear" w:color="auto" w:fill="E6E6E6"/>
          </w:tcPr>
          <w:p>
            <w:pPr>
              <w:spacing w:after="0"/>
              <w:rPr>
                <w:sz w:val="24"/>
                <w:szCs w:val="24"/>
                <w:color w:val="auto"/>
              </w:rPr>
            </w:pPr>
          </w:p>
        </w:tc>
        <w:tc>
          <w:tcPr>
            <w:tcW w:w="100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439</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360" w:type="dxa"/>
            <w:vAlign w:val="bottom"/>
            <w:tcBorders>
              <w:bottom w:val="single" w:sz="8" w:color="E6E6E6"/>
            </w:tcBorders>
            <w:shd w:val="clear" w:color="auto" w:fill="E6E6E6"/>
          </w:tcPr>
          <w:p>
            <w:pPr>
              <w:spacing w:after="0"/>
              <w:rPr>
                <w:sz w:val="24"/>
                <w:szCs w:val="24"/>
                <w:color w:val="auto"/>
              </w:rPr>
            </w:pP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468</w:t>
            </w:r>
          </w:p>
        </w:tc>
      </w:tr>
      <w:tr>
        <w:trPr>
          <w:trHeight w:val="258"/>
        </w:trPr>
        <w:tc>
          <w:tcPr>
            <w:tcW w:w="5300" w:type="dxa"/>
            <w:vAlign w:val="bottom"/>
          </w:tcPr>
          <w:p>
            <w:pPr>
              <w:ind w:left="60"/>
              <w:spacing w:after="0"/>
              <w:rPr>
                <w:sz w:val="20"/>
                <w:szCs w:val="20"/>
                <w:color w:val="auto"/>
              </w:rPr>
            </w:pPr>
            <w:r>
              <w:rPr>
                <w:rFonts w:ascii="Arial" w:cs="Arial" w:eastAsia="Arial" w:hAnsi="Arial"/>
                <w:sz w:val="18"/>
                <w:szCs w:val="18"/>
                <w:color w:val="auto"/>
              </w:rPr>
              <w:t>South America</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
        </w:trPr>
        <w:tc>
          <w:tcPr>
            <w:tcW w:w="5300" w:type="dxa"/>
            <w:vAlign w:val="bottom"/>
            <w:tcBorders>
              <w:bottom w:val="single" w:sz="8" w:color="E6E6E6"/>
            </w:tcBorders>
          </w:tcPr>
          <w:p>
            <w:pPr>
              <w:spacing w:after="0"/>
              <w:rPr>
                <w:sz w:val="2"/>
                <w:szCs w:val="2"/>
                <w:color w:val="auto"/>
              </w:rPr>
            </w:pPr>
          </w:p>
        </w:tc>
        <w:tc>
          <w:tcPr>
            <w:tcW w:w="300" w:type="dxa"/>
            <w:vAlign w:val="bottom"/>
            <w:tcBorders>
              <w:bottom w:val="single" w:sz="8" w:color="E6E6E6"/>
            </w:tcBorders>
          </w:tcPr>
          <w:p>
            <w:pPr>
              <w:spacing w:after="0"/>
              <w:rPr>
                <w:sz w:val="2"/>
                <w:szCs w:val="2"/>
                <w:color w:val="auto"/>
              </w:rPr>
            </w:pPr>
          </w:p>
        </w:tc>
        <w:tc>
          <w:tcPr>
            <w:tcW w:w="1000" w:type="dxa"/>
            <w:vAlign w:val="bottom"/>
            <w:tcBorders>
              <w:bottom w:val="single" w:sz="8" w:color="E6E6E6"/>
            </w:tcBorders>
          </w:tcPr>
          <w:p>
            <w:pPr>
              <w:spacing w:after="0"/>
              <w:rPr>
                <w:sz w:val="2"/>
                <w:szCs w:val="2"/>
                <w:color w:val="auto"/>
              </w:rPr>
            </w:pPr>
          </w:p>
        </w:tc>
        <w:tc>
          <w:tcPr>
            <w:tcW w:w="100" w:type="dxa"/>
            <w:vAlign w:val="bottom"/>
            <w:tcBorders>
              <w:bottom w:val="single" w:sz="8" w:color="E6E6E6"/>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6E6E6"/>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0"/>
        </w:trPr>
        <w:tc>
          <w:tcPr>
            <w:tcW w:w="5300" w:type="dxa"/>
            <w:vAlign w:val="bottom"/>
            <w:shd w:val="clear" w:color="auto" w:fill="E6E6E6"/>
          </w:tcPr>
          <w:p>
            <w:pPr>
              <w:ind w:left="180"/>
              <w:spacing w:after="0"/>
              <w:rPr>
                <w:sz w:val="20"/>
                <w:szCs w:val="20"/>
                <w:color w:val="auto"/>
              </w:rPr>
            </w:pPr>
            <w:r>
              <w:rPr>
                <w:rFonts w:ascii="Arial" w:cs="Arial" w:eastAsia="Arial" w:hAnsi="Arial"/>
                <w:sz w:val="18"/>
                <w:szCs w:val="18"/>
                <w:b w:val="1"/>
                <w:bCs w:val="1"/>
                <w:color w:val="auto"/>
              </w:rPr>
              <w:t>Total long lived assets</w:t>
            </w:r>
          </w:p>
        </w:tc>
        <w:tc>
          <w:tcPr>
            <w:tcW w:w="30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320" w:type="dxa"/>
            <w:vAlign w:val="bottom"/>
            <w:gridSpan w:val="3"/>
            <w:shd w:val="clear" w:color="auto" w:fill="E6E6E6"/>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1,737</w:t>
            </w:r>
          </w:p>
        </w:tc>
        <w:tc>
          <w:tcPr>
            <w:tcW w:w="460" w:type="dxa"/>
            <w:vAlign w:val="bottom"/>
            <w:gridSpan w:val="3"/>
            <w:shd w:val="clear" w:color="auto" w:fill="E6E6E6"/>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1,624</w:t>
            </w:r>
          </w:p>
        </w:tc>
      </w:tr>
      <w:tr>
        <w:trPr>
          <w:trHeight w:val="20"/>
        </w:trPr>
        <w:tc>
          <w:tcPr>
            <w:tcW w:w="5300" w:type="dxa"/>
            <w:vAlign w:val="bottom"/>
            <w:tcBorders>
              <w:top w:val="single" w:sz="8" w:color="E6E6E6"/>
            </w:tcBorders>
          </w:tcPr>
          <w:p>
            <w:pPr>
              <w:spacing w:after="0" w:line="20" w:lineRule="exact"/>
              <w:rPr>
                <w:sz w:val="1"/>
                <w:szCs w:val="1"/>
                <w:color w:val="auto"/>
              </w:rPr>
            </w:pPr>
          </w:p>
        </w:tc>
        <w:tc>
          <w:tcPr>
            <w:tcW w:w="300" w:type="dxa"/>
            <w:vAlign w:val="bottom"/>
            <w:tcBorders>
              <w:top w:val="single" w:sz="8" w:color="E6E6E6"/>
            </w:tcBorders>
          </w:tcPr>
          <w:p>
            <w:pPr>
              <w:spacing w:after="0" w:line="20" w:lineRule="exact"/>
              <w:rPr>
                <w:sz w:val="1"/>
                <w:szCs w:val="1"/>
                <w:color w:val="auto"/>
              </w:rPr>
            </w:pPr>
          </w:p>
        </w:tc>
        <w:tc>
          <w:tcPr>
            <w:tcW w:w="1000" w:type="dxa"/>
            <w:vAlign w:val="bottom"/>
            <w:tcBorders>
              <w:top w:val="single" w:sz="8" w:color="E6E6E6"/>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-2618740</wp:posOffset>
            </wp:positionV>
            <wp:extent cx="260667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50">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-1666240</wp:posOffset>
            </wp:positionV>
            <wp:extent cx="260667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51">
                      <a:extLst>
                        <a:ext uri="{28A0092B-C50C-407E-A947-70E740481C1C}"/>
                      </a:extLst>
                    </a:blip>
                    <a:srcRect/>
                    <a:stretch>
                      <a:fillRect/>
                    </a:stretch>
                  </pic:blipFill>
                  <pic:spPr bwMode="auto">
                    <a:xfrm>
                      <a:off x="0" y="0"/>
                      <a:ext cx="26066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-983615</wp:posOffset>
            </wp:positionV>
            <wp:extent cx="173037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52">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-221615</wp:posOffset>
            </wp:positionV>
            <wp:extent cx="173037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53">
                      <a:extLst>
                        <a:ext uri="{28A0092B-C50C-407E-A947-70E740481C1C}"/>
                      </a:extLst>
                    </a:blip>
                    <a:srcRect/>
                    <a:stretch>
                      <a:fillRect/>
                    </a:stretch>
                  </pic:blipFill>
                  <pic:spPr bwMode="auto">
                    <a:xfrm>
                      <a:off x="0" y="0"/>
                      <a:ext cx="1730375" cy="2540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-43815</wp:posOffset>
            </wp:positionV>
            <wp:extent cx="1730375" cy="508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54">
                      <a:extLst>
                        <a:ext uri="{28A0092B-C50C-407E-A947-70E740481C1C}"/>
                      </a:extLst>
                    </a:blip>
                    <a:srcRect/>
                    <a:stretch>
                      <a:fillRect/>
                    </a:stretch>
                  </pic:blipFill>
                  <pic:spPr bwMode="auto">
                    <a:xfrm>
                      <a:off x="0" y="0"/>
                      <a:ext cx="1730375" cy="5080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Long lived assets include property, plant and equipment, timber and timberlands, and right of use assets.</w:t>
      </w:r>
    </w:p>
    <w:p>
      <w:pPr>
        <w:sectPr>
          <w:pgSz w:w="11880" w:h="15480" w:orient="portrait"/>
          <w:cols w:equalWidth="0" w:num="1">
            <w:col w:w="9360"/>
          </w:cols>
          <w:pgMar w:left="1260" w:top="1197" w:right="1260" w:bottom="2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9360"/>
          </w:cols>
          <w:pgMar w:left="1260" w:top="1197" w:right="1260" w:bottom="227" w:gutter="0" w:footer="0" w:header="0"/>
          <w:type w:val="continuous"/>
        </w:sectPr>
      </w:pPr>
    </w:p>
    <w:bookmarkStart w:id="97" w:name="page98"/>
    <w:bookmarkEnd w:id="97"/>
    <w:p>
      <w:pPr>
        <w:spacing w:after="0"/>
        <w:tabs>
          <w:tab w:leader="none" w:pos="142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42"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As of December 31, 2025,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December 31, 2025, our disclosure controls and procedures were effective.</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1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 13a-15(f) promulgated under the Exchange Act. Our management conducted an assessment of the effectiveness of our internal control over financial reporting as of the end of the period covered by this report, based on the framework established by the Committee of Sponsoring Organizations of the Treadway Commission in </w:t>
      </w:r>
      <w:r>
        <w:rPr>
          <w:rFonts w:ascii="Arial" w:cs="Arial" w:eastAsia="Arial" w:hAnsi="Arial"/>
          <w:sz w:val="18"/>
          <w:szCs w:val="18"/>
          <w:b w:val="1"/>
          <w:bCs w:val="1"/>
          <w:i w:val="1"/>
          <w:iCs w:val="1"/>
          <w:color w:val="auto"/>
        </w:rPr>
        <w:t xml:space="preserve">Internal Control-Integrated Framework (2013). </w:t>
      </w:r>
      <w:r>
        <w:rPr>
          <w:rFonts w:ascii="Arial" w:cs="Arial" w:eastAsia="Arial" w:hAnsi="Arial"/>
          <w:sz w:val="18"/>
          <w:szCs w:val="18"/>
          <w:color w:val="auto"/>
        </w:rPr>
        <w:t>Based on this assessment, our management has concluded that,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2025, the Company’s internal control over financial reporting was effective. Our independent registered public accounting firm, Deloitte &amp; Touche LLP, has audited our internal control over financial reporting as of the end of the period covered by this report, as stated in their report included herein.</w:t>
      </w:r>
    </w:p>
    <w:p>
      <w:pPr>
        <w:sectPr>
          <w:pgSz w:w="11880" w:h="15480" w:orient="portrait"/>
          <w:cols w:equalWidth="0" w:num="1">
            <w:col w:w="9360"/>
          </w:cols>
          <w:pgMar w:left="1260" w:top="1189"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9360"/>
          </w:cols>
          <w:pgMar w:left="1260" w:top="1189" w:right="1260" w:bottom="225" w:gutter="0" w:footer="0" w:header="0"/>
          <w:type w:val="continuous"/>
        </w:sectPr>
      </w:pPr>
    </w:p>
    <w:bookmarkStart w:id="98" w:name="page99"/>
    <w:bookmarkEnd w:id="98"/>
    <w:p>
      <w:pPr>
        <w:ind w:right="2840"/>
        <w:spacing w:after="0" w:line="516"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 xml:space="preserve">To the stockholders and the Board of Directors of Louisiana-Pacific Corporation </w:t>
      </w:r>
      <w:r>
        <w:rPr>
          <w:rFonts w:ascii="Arial" w:cs="Arial" w:eastAsia="Arial" w:hAnsi="Arial"/>
          <w:sz w:val="19"/>
          <w:szCs w:val="19"/>
          <w:b w:val="1"/>
          <w:bCs w:val="1"/>
          <w:color w:val="auto"/>
        </w:rPr>
        <w:t>Opinion on Internal Control over Financial Reporting</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We have audited the internal control over financial reporting of Louisiana-Pacific Corporation and subsidiaries (the “Company”) as of December 31, 2025, based on criteria established in </w:t>
      </w:r>
      <w:r>
        <w:rPr>
          <w:rFonts w:ascii="Arial" w:cs="Arial" w:eastAsia="Arial" w:hAnsi="Arial"/>
          <w:sz w:val="18"/>
          <w:szCs w:val="18"/>
          <w:b w:val="1"/>
          <w:bCs w:val="1"/>
          <w:i w:val="1"/>
          <w:iCs w:val="1"/>
          <w:color w:val="auto"/>
        </w:rPr>
        <w:t>Internal Control—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Arial" w:cs="Arial" w:eastAsia="Arial" w:hAnsi="Arial"/>
          <w:sz w:val="18"/>
          <w:szCs w:val="18"/>
          <w:b w:val="1"/>
          <w:bCs w:val="1"/>
          <w:i w:val="1"/>
          <w:iCs w:val="1"/>
          <w:color w:val="auto"/>
        </w:rPr>
        <w:t>Internal Control— Integrated Framework (2013)</w:t>
      </w:r>
      <w:r>
        <w:rPr>
          <w:rFonts w:ascii="Arial" w:cs="Arial" w:eastAsia="Arial" w:hAnsi="Arial"/>
          <w:sz w:val="18"/>
          <w:szCs w:val="18"/>
          <w:color w:val="auto"/>
        </w:rPr>
        <w:t xml:space="preserve"> issued by COSO.</w:t>
      </w:r>
    </w:p>
    <w:p>
      <w:pPr>
        <w:spacing w:after="0" w:line="190"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17, 2026,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b w:val="1"/>
          <w:bCs w:val="1"/>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Report on Internal Control over Financial Reporting</w:t>
      </w:r>
      <w:r>
        <w:rPr>
          <w:rFonts w:ascii="Arial" w:cs="Arial" w:eastAsia="Arial" w:hAnsi="Arial"/>
          <w:sz w:val="17"/>
          <w:szCs w:val="17"/>
          <w:color w:val="auto"/>
        </w:rPr>
        <w:t>. Our responsibility is to express an opinion on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Definition and Limitations of Internal Control over Financial Reporting</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Nashville, Tennessee</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February 17, 2026</w:t>
      </w:r>
    </w:p>
    <w:p>
      <w:pPr>
        <w:sectPr>
          <w:pgSz w:w="11880" w:h="15480" w:orient="portrait"/>
          <w:cols w:equalWidth="0" w:num="1">
            <w:col w:w="9360"/>
          </w:cols>
          <w:pgMar w:left="1260" w:top="1193"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9360"/>
          </w:cols>
          <w:pgMar w:left="1260" w:top="1193" w:right="1260" w:bottom="225" w:gutter="0" w:footer="0" w:header="0"/>
          <w:type w:val="continuous"/>
        </w:sectPr>
      </w:pPr>
    </w:p>
    <w:bookmarkStart w:id="99" w:name="page100"/>
    <w:bookmarkEnd w:id="99"/>
    <w:p>
      <w:pPr>
        <w:spacing w:after="0"/>
        <w:tabs>
          <w:tab w:leader="none" w:pos="142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25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None of our directors or officers (as defined in Section 16 of the Exchange Act) adopted, modified or terminated a "Rule 10b5-1 trading arrangement" or a "non-Rule 10b5-1 trading arrangement" (each as defined in Item 408 of Regulation S-K) during the quarter ended December 31, 2025.</w:t>
      </w:r>
    </w:p>
    <w:p>
      <w:pPr>
        <w:spacing w:after="0" w:line="187"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9C.</w:t>
      </w:r>
      <w:r>
        <w:rPr>
          <w:sz w:val="20"/>
          <w:szCs w:val="20"/>
          <w:color w:val="auto"/>
        </w:rPr>
        <w:tab/>
      </w:r>
      <w:r>
        <w:rPr>
          <w:rFonts w:ascii="Arial" w:cs="Arial" w:eastAsia="Arial" w:hAnsi="Arial"/>
          <w:sz w:val="17"/>
          <w:szCs w:val="17"/>
          <w:b w:val="1"/>
          <w:bCs w:val="1"/>
          <w:i w:val="1"/>
          <w:iCs w:val="1"/>
          <w:color w:val="auto"/>
        </w:rPr>
        <w:t>Disclosure Regarding Foreign Jurisdictions that Prevent Inspections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360"/>
          </w:cols>
          <w:pgMar w:left="1260" w:top="1189"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9360"/>
          </w:cols>
          <w:pgMar w:left="1260" w:top="1189" w:right="1260" w:bottom="225"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20"/>
          <w:szCs w:val="20"/>
          <w:b w:val="1"/>
          <w:bCs w:val="1"/>
          <w:color w:val="auto"/>
        </w:rPr>
        <w:t>PART III</w:t>
      </w:r>
    </w:p>
    <w:p>
      <w:pPr>
        <w:spacing w:after="0" w:line="24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w:t>
      </w:r>
    </w:p>
    <w:p>
      <w:pPr>
        <w:spacing w:after="0" w:line="137"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Information regarding our directors is incorporated herein by reference to the material included under the caption “Proposal 1: Election of Directors” in our Definitive Proxy Statement for our 2026 Annual Meeting of Stockholders which we expect to file with the SEC within 120 days after the end of our 2025 fiscal year (2026 Proxy Statement).</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OFFICERS</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Information regarding our executive officers is incorporated herein by reference to the material included under the caption "Executive Officers" in our 2026 Proxy Statement.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DELINQUENT SECTION 16(a) REPORTS</w:t>
      </w:r>
    </w:p>
    <w:p>
      <w:pPr>
        <w:spacing w:after="0" w:line="137"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Information regarding compliance with Section 16(a) of the Exchange Act is incorporated herein by reference to the material included under the caption “Delinquent Section 16(a) Reports” in our 2026 Proxy Statement.</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Information regarding our Finance and Audit Committee is incorporated herein by reference to the material included under the captions “Corporate Governance—Committees of the Board” and “Corporate Governance—Committees of the Board—Finance and Audit Committee” in our 2026 Proxy Statement.</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ETHICS</w:t>
      </w:r>
    </w:p>
    <w:p>
      <w:pPr>
        <w:spacing w:after="0" w:line="13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We have adopted a Code of Business Conduct and Ethics and a Financial Leadership Code of Ethics applicable to our principal executive officer, principal financial officer, and principal accounting officer. Each of these documents, as well as the charters of the Governance and Corporate Responsibility Committee, the Finance and Audit Committee, the Compensation Committee and the Executive Committee are available on our website at http:// investor.lpcorp.com under the “Corporate Governance” tab under the section “Governance Documents”.</w:t>
      </w:r>
    </w:p>
    <w:p>
      <w:pPr>
        <w:spacing w:after="0" w:line="5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A description of any substantive amendment or waiver of our Financial Leadership Code of Ethics or our Code of Business Conduct applicable to our principal executive officer, our principal financial officer and our principal accounting officer will be disclosed on our website at http://investor.lpcorp.com under the “Corporate Governance” tab, in the “Governance Documents” section. Any such description will be located on our website for a period of 12 months following the amendment or waiver.</w:t>
      </w:r>
    </w:p>
    <w:p>
      <w:pPr>
        <w:spacing w:after="0" w:line="8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information provided on our website is not a part of this annual report on Form 10-K and therefore is not incorporated herein by reference.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INSIDER TRADING POLICY</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 Company has insider trading policies and procedures that govern the purchase, sale and other dispositions of its securities by directors, officers and employees. We believe these policies and procedures are reasonably designed to promote compliance with insider trading laws, rules and regulations and applicable listing standards. A copy of our Insider Trading Policy is filed as </w:t>
      </w:r>
      <w:r>
        <w:rPr>
          <w:rFonts w:ascii="Arial" w:cs="Arial" w:eastAsia="Arial" w:hAnsi="Arial"/>
          <w:sz w:val="19"/>
          <w:szCs w:val="19"/>
          <w:u w:val="single" w:color="auto"/>
          <w:color w:val="auto"/>
        </w:rPr>
        <w:t>Exhibit 19</w:t>
      </w:r>
      <w:r>
        <w:rPr>
          <w:rFonts w:ascii="Arial" w:cs="Arial" w:eastAsia="Arial" w:hAnsi="Arial"/>
          <w:sz w:val="19"/>
          <w:szCs w:val="19"/>
          <w:color w:val="auto"/>
        </w:rPr>
        <w:t xml:space="preserve"> to this annual report on Form 10-K.</w:t>
      </w:r>
    </w:p>
    <w:p>
      <w:pPr>
        <w:spacing w:after="0" w:line="176"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258"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Information regarding executive compensation is incorporated herein by reference to the material under the captions “Compensation of Executive Officers” and “Corporate Governance—Director Compensation” in our 2026 Proxy Statement. Information regarding our Compensation Committee is incorporated herein by reference to the material under the captions “Corporate Governance—Committees of the Board—Compensation Committee—Compensation Committee Interlocks and Insider Participation” and “Compensation of Executive Officers—Compensation Committee Report” in our 2026 Proxy Statement.</w:t>
      </w:r>
    </w:p>
    <w:p>
      <w:pPr>
        <w:sectPr>
          <w:pgSz w:w="11880" w:h="15480" w:orient="portrait"/>
          <w:cols w:equalWidth="0" w:num="1">
            <w:col w:w="9360"/>
          </w:cols>
          <w:pgMar w:left="1260" w:top="1190"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9360"/>
          </w:cols>
          <w:pgMar w:left="1260" w:top="1190" w:right="1260" w:bottom="225" w:gutter="0" w:footer="0" w:header="0"/>
          <w:type w:val="continuous"/>
        </w:sectPr>
      </w:pPr>
    </w:p>
    <w:bookmarkStart w:id="101" w:name="page102"/>
    <w:bookmarkEnd w:id="101"/>
    <w:p>
      <w:pPr>
        <w:ind w:right="260"/>
        <w:spacing w:after="0" w:line="288" w:lineRule="auto"/>
        <w:rPr>
          <w:sz w:val="20"/>
          <w:szCs w:val="20"/>
          <w:color w:val="auto"/>
        </w:rPr>
      </w:pPr>
      <w:r>
        <w:rPr>
          <w:rFonts w:ascii="Arial" w:cs="Arial" w:eastAsia="Arial" w:hAnsi="Arial"/>
          <w:sz w:val="20"/>
          <w:szCs w:val="20"/>
          <w:b w:val="1"/>
          <w:bCs w:val="1"/>
          <w:color w:val="auto"/>
        </w:rPr>
        <w:t xml:space="preserve">ITEM 12. </w:t>
      </w:r>
      <w:r>
        <w:rPr>
          <w:rFonts w:ascii="Arial" w:cs="Arial" w:eastAsia="Arial" w:hAnsi="Arial"/>
          <w:sz w:val="20"/>
          <w:szCs w:val="20"/>
          <w:b w:val="1"/>
          <w:bCs w:val="1"/>
          <w:i w:val="1"/>
          <w:iCs w:val="1"/>
          <w:color w:val="auto"/>
        </w:rPr>
        <w:t>Security Ownership of Certain Beneficial Owners and Management and Related Stockholder</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Matters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Information regarding security ownership of certain beneficial owners and management and securities authorized for issuance under our existing equity compensation plans and arrangements is incorporated herein by reference to the material under the captions “Holders of Common Stock” and “Equity Compensation Plan Information” in the 2026 Proxy Statement.</w:t>
      </w:r>
    </w:p>
    <w:p>
      <w:pPr>
        <w:spacing w:after="0" w:line="191"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25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There are no transactions of the type required to be disclosed by Item 404(a) of Regulation S-K. Information regarding transactions with related persons and director independence is incorporated herein by reference to the material under the captions “Proposal 1: Election of Directors—Nominees for Director,” “Proposal 1: Election of Directors—Continuing Directors,” “Corporate Governance—Principles of Corporate Governance,” and “Related Person Transactions” in the 2026 Proxy Statement.</w:t>
      </w:r>
    </w:p>
    <w:p>
      <w:pPr>
        <w:spacing w:after="0" w:line="197"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25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Information regarding fees and services provided by our principal accountant and the LP Finance and Audit Committee’s pre-approval policies and procedures relating thereto is incorporated herein by reference to the material under the caption “Audit Matters—Pre-Approval of Audit and Permissible Non-Audit Services of Independent Registered Public Accounting Firm” in the 2026 Proxy Statement.</w:t>
      </w:r>
    </w:p>
    <w:p>
      <w:pPr>
        <w:sectPr>
          <w:pgSz w:w="11880" w:h="15480" w:orient="portrait"/>
          <w:cols w:equalWidth="0" w:num="1">
            <w:col w:w="9360"/>
          </w:cols>
          <w:pgMar w:left="1260" w:top="1189" w:right="126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9360"/>
          </w:cols>
          <w:pgMar w:left="1260" w:top="1189" w:right="1260" w:bottom="225" w:gutter="0" w:footer="0" w:header="0"/>
          <w:type w:val="continuous"/>
        </w:sectPr>
      </w:pPr>
    </w:p>
    <w:bookmarkStart w:id="102" w:name="page103"/>
    <w:bookmarkEnd w:id="102"/>
    <w:p>
      <w:pPr>
        <w:ind w:left="4280"/>
        <w:spacing w:after="0"/>
        <w:rPr>
          <w:sz w:val="20"/>
          <w:szCs w:val="20"/>
          <w:color w:val="auto"/>
        </w:rPr>
      </w:pPr>
      <w:r>
        <w:rPr>
          <w:rFonts w:ascii="Arial" w:cs="Arial" w:eastAsia="Arial" w:hAnsi="Arial"/>
          <w:sz w:val="20"/>
          <w:szCs w:val="20"/>
          <w:b w:val="1"/>
          <w:bCs w:val="1"/>
          <w:color w:val="auto"/>
        </w:rPr>
        <w:t>PART IV</w:t>
      </w:r>
    </w:p>
    <w:p>
      <w:pPr>
        <w:spacing w:after="0" w:line="24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17"/>
          <w:szCs w:val="17"/>
          <w:b w:val="1"/>
          <w:bCs w:val="1"/>
          <w:i w:val="1"/>
          <w:iCs w:val="1"/>
          <w:color w:val="auto"/>
        </w:rPr>
        <w:t>Exhibits, Financial Statement Schedules</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Financial Statements and Financial Statement Schedules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The following financial statements of LP are included in this annual report on Form 10-K:</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20"/>
          <w:szCs w:val="20"/>
          <w:color w:val="auto"/>
        </w:rPr>
        <w:t>Consolidated Balance Sheets—December 31, 2025 and 2024.</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Consolidated Statements of Income—years ended December 31, 2025, 2024, and 2023.</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9"/>
          <w:szCs w:val="19"/>
          <w:color w:val="auto"/>
        </w:rPr>
        <w:t>Consolidated Statements of Comprehensive Income—years ended December 31, 2025, 2024 and 2023.</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Consolidated Statements of Cash Flows—years ended December 31, 2025, 2024, 2023.</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9"/>
          <w:szCs w:val="19"/>
          <w:color w:val="auto"/>
        </w:rPr>
        <w:t>Consolidated Statements of Stockholders’ Equity—years ended December 31, 2025, 2024 and 2023.</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Notes to the Consolidated Financial Statements.</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Report of Independent Registered Public Accounting Firm. (PCAOB ID No. 34)</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No other financial statement schedules are required to be filed.</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 Exhibits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exhibits filed or furnished, as applicable, as part of this annual report on Form 10-K or incorporated by reference herein are listed below. Each management contract or compensatory plan or arrangement is identified by an asterisk (*). Each prior LP filing, which contains an exhibit incorporated by reference herein, is filed under SEC File No. 001-07107.</w:t>
      </w:r>
    </w:p>
    <w:p>
      <w:pPr>
        <w:sectPr>
          <w:pgSz w:w="11880" w:h="15480" w:orient="portrait"/>
          <w:cols w:equalWidth="0" w:num="1">
            <w:col w:w="9360"/>
          </w:cols>
          <w:pgMar w:left="1260" w:top="1190" w:right="1260" w:bottom="225" w:gutter="0" w:footer="0" w:header="0"/>
        </w:sectPr>
      </w:pPr>
    </w:p>
    <w:p>
      <w:pPr>
        <w:spacing w:after="0" w:line="124"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auto"/>
        </w:rPr>
        <w:t>Exhibit</w:t>
      </w:r>
    </w:p>
    <w:p>
      <w:pPr>
        <w:ind w:left="18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55880</wp:posOffset>
                </wp:positionV>
                <wp:extent cx="676275"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4pt" to="53.25pt,4.4pt" o:allowincell="f" strokecolor="#000000" strokeweight="1pt"/>
            </w:pict>
          </mc:Fallback>
        </mc:AlternateConten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3.1</w:t>
      </w:r>
    </w:p>
    <w:p>
      <w:pPr>
        <w:spacing w:after="0" w:line="200" w:lineRule="exact"/>
        <w:rPr>
          <w:sz w:val="20"/>
          <w:szCs w:val="20"/>
          <w:color w:val="auto"/>
        </w:rPr>
      </w:pPr>
    </w:p>
    <w:p>
      <w:pPr>
        <w:spacing w:after="0" w:line="23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3.2</w:t>
      </w:r>
    </w:p>
    <w:p>
      <w:pPr>
        <w:spacing w:after="0" w:line="200" w:lineRule="exact"/>
        <w:rPr>
          <w:sz w:val="20"/>
          <w:szCs w:val="20"/>
          <w:color w:val="auto"/>
        </w:rPr>
      </w:pPr>
    </w:p>
    <w:p>
      <w:pPr>
        <w:spacing w:after="0" w:line="23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3.3</w:t>
      </w:r>
    </w:p>
    <w:p>
      <w:pPr>
        <w:spacing w:after="0" w:line="200" w:lineRule="exact"/>
        <w:rPr>
          <w:sz w:val="20"/>
          <w:szCs w:val="20"/>
          <w:color w:val="auto"/>
        </w:rPr>
      </w:pPr>
    </w:p>
    <w:p>
      <w:pPr>
        <w:spacing w:after="0" w:line="23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4.1</w:t>
      </w:r>
    </w:p>
    <w:p>
      <w:pPr>
        <w:spacing w:after="0" w:line="200" w:lineRule="exact"/>
        <w:rPr>
          <w:sz w:val="20"/>
          <w:szCs w:val="20"/>
          <w:color w:val="auto"/>
        </w:rPr>
      </w:pPr>
    </w:p>
    <w:p>
      <w:pPr>
        <w:spacing w:after="0" w:line="22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4.2</w:t>
      </w:r>
    </w:p>
    <w:p>
      <w:pPr>
        <w:spacing w:after="0" w:line="200" w:lineRule="exact"/>
        <w:rPr>
          <w:sz w:val="20"/>
          <w:szCs w:val="20"/>
          <w:color w:val="auto"/>
        </w:rPr>
      </w:pPr>
    </w:p>
    <w:p>
      <w:pPr>
        <w:spacing w:after="0" w:line="30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10.3</w:t>
      </w:r>
    </w:p>
    <w:p>
      <w:pPr>
        <w:spacing w:after="0" w:line="200" w:lineRule="exact"/>
        <w:rPr>
          <w:sz w:val="20"/>
          <w:szCs w:val="20"/>
          <w:color w:val="auto"/>
        </w:rPr>
      </w:pPr>
    </w:p>
    <w:p>
      <w:pPr>
        <w:spacing w:after="0" w:line="30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Exhibit</w:t>
      </w:r>
    </w:p>
    <w:p>
      <w:pPr>
        <w:spacing w:after="0" w:line="38" w:lineRule="exact"/>
        <w:rPr>
          <w:sz w:val="20"/>
          <w:szCs w:val="20"/>
          <w:color w:val="auto"/>
        </w:rPr>
      </w:pPr>
    </w:p>
    <w:p>
      <w:pPr>
        <w:jc w:val="both"/>
        <w:ind w:right="60"/>
        <w:spacing w:after="0" w:line="241" w:lineRule="auto"/>
        <w:rPr>
          <w:sz w:val="20"/>
          <w:szCs w:val="20"/>
          <w:color w:val="auto"/>
        </w:rPr>
      </w:pPr>
      <w:r>
        <w:rPr>
          <w:rFonts w:ascii="Arial" w:cs="Arial" w:eastAsia="Arial" w:hAnsi="Arial"/>
          <w:sz w:val="20"/>
          <w:szCs w:val="20"/>
          <w:u w:val="single" w:color="auto"/>
          <w:color w:val="auto"/>
        </w:rPr>
        <w:t>Restated Certificate of Incorporation of LP. Incorporated herein by reference to Exhibit 3.2 to LP’s Annual Report on Form 10-K for the year ended December 31, 2007.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-286385</wp:posOffset>
                </wp:positionV>
                <wp:extent cx="5219700"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9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99pt,-22.5499pt" to="408.25pt,-22.5499pt" o:allowincell="f" strokecolor="#000000" strokeweight="1pt"/>
            </w:pict>
          </mc:Fallback>
        </mc:AlternateContent>
      </w:r>
    </w:p>
    <w:p>
      <w:pPr>
        <w:spacing w:after="0" w:line="73" w:lineRule="exact"/>
        <w:rPr>
          <w:sz w:val="20"/>
          <w:szCs w:val="20"/>
          <w:color w:val="auto"/>
        </w:rPr>
      </w:pPr>
    </w:p>
    <w:p>
      <w:pPr>
        <w:jc w:val="both"/>
        <w:ind w:right="60"/>
        <w:spacing w:after="0" w:line="230" w:lineRule="auto"/>
        <w:rPr>
          <w:sz w:val="20"/>
          <w:szCs w:val="20"/>
          <w:color w:val="auto"/>
        </w:rPr>
      </w:pPr>
      <w:r>
        <w:rPr>
          <w:rFonts w:ascii="Arial" w:cs="Arial" w:eastAsia="Arial" w:hAnsi="Arial"/>
          <w:sz w:val="20"/>
          <w:szCs w:val="20"/>
          <w:u w:val="single" w:color="auto"/>
          <w:color w:val="auto"/>
        </w:rPr>
        <w:t>Amended Certificate of Designation of Series A Junior Participating Cumulative Preferred Stock. Incorporated herein by reference to Exhibit 3.3 to LP’s Quarterly Report on Form 10-Q for the quarter ended June 30, 2009.</w:t>
      </w:r>
    </w:p>
    <w:p>
      <w:pPr>
        <w:spacing w:after="0" w:line="119" w:lineRule="exact"/>
        <w:rPr>
          <w:sz w:val="20"/>
          <w:szCs w:val="20"/>
          <w:color w:val="auto"/>
        </w:rPr>
      </w:pPr>
    </w:p>
    <w:p>
      <w:pPr>
        <w:jc w:val="both"/>
        <w:ind w:right="60"/>
        <w:spacing w:after="0" w:line="241" w:lineRule="auto"/>
        <w:rPr>
          <w:sz w:val="20"/>
          <w:szCs w:val="20"/>
          <w:color w:val="auto"/>
        </w:rPr>
      </w:pPr>
      <w:r>
        <w:rPr>
          <w:rFonts w:ascii="Arial" w:cs="Arial" w:eastAsia="Arial" w:hAnsi="Arial"/>
          <w:sz w:val="20"/>
          <w:szCs w:val="20"/>
          <w:u w:val="single" w:color="auto"/>
          <w:color w:val="auto"/>
        </w:rPr>
        <w:t>Second Amended and Restated Bylaws of LP. Incorporated herein by reference to Exhibit 3.1 to LP’s Current Report on Form 8-K, filed on February 14, 2025.</w:t>
      </w:r>
    </w:p>
    <w:p>
      <w:pPr>
        <w:spacing w:after="0" w:line="149" w:lineRule="exact"/>
        <w:rPr>
          <w:sz w:val="20"/>
          <w:szCs w:val="20"/>
          <w:color w:val="auto"/>
        </w:rPr>
      </w:pPr>
    </w:p>
    <w:p>
      <w:pPr>
        <w:jc w:val="both"/>
        <w:ind w:right="60"/>
        <w:spacing w:after="0" w:line="230" w:lineRule="auto"/>
        <w:rPr>
          <w:sz w:val="20"/>
          <w:szCs w:val="20"/>
          <w:color w:val="auto"/>
        </w:rPr>
      </w:pPr>
      <w:r>
        <w:rPr>
          <w:rFonts w:ascii="Arial" w:cs="Arial" w:eastAsia="Arial" w:hAnsi="Arial"/>
          <w:sz w:val="20"/>
          <w:szCs w:val="20"/>
          <w:u w:val="single" w:color="auto"/>
          <w:color w:val="auto"/>
        </w:rPr>
        <w:t>Indenture, dated as of March 11, 2021, between LP and The Bank of New York Mellon Trust Company, N.A., as trustee. Incorporated herein by reference to Exhibit 4.1 to LP</w:t>
      </w:r>
      <w:r>
        <w:rPr>
          <w:rFonts w:ascii="Arial" w:cs="Arial" w:eastAsia="Arial" w:hAnsi="Arial"/>
          <w:sz w:val="20"/>
          <w:szCs w:val="20"/>
          <w:color w:val="auto"/>
        </w:rPr>
        <w:t xml:space="preserve"> ’</w:t>
      </w:r>
      <w:r>
        <w:rPr>
          <w:rFonts w:ascii="Arial" w:cs="Arial" w:eastAsia="Arial" w:hAnsi="Arial"/>
          <w:sz w:val="20"/>
          <w:szCs w:val="20"/>
          <w:u w:val="single" w:color="auto"/>
          <w:color w:val="auto"/>
        </w:rPr>
        <w:t>s Current Report on</w:t>
      </w:r>
      <w:r>
        <w:rPr>
          <w:rFonts w:ascii="Arial" w:cs="Arial" w:eastAsia="Arial" w:hAnsi="Arial"/>
          <w:sz w:val="20"/>
          <w:szCs w:val="20"/>
          <w:color w:val="auto"/>
        </w:rPr>
        <w:t xml:space="preserve"> </w:t>
      </w:r>
      <w:r>
        <w:rPr>
          <w:rFonts w:ascii="Arial" w:cs="Arial" w:eastAsia="Arial" w:hAnsi="Arial"/>
          <w:sz w:val="20"/>
          <w:szCs w:val="20"/>
          <w:u w:val="single" w:color="auto"/>
          <w:color w:val="auto"/>
        </w:rPr>
        <w:t>Form 8-K, filed on March 11, 2021.</w:t>
      </w:r>
    </w:p>
    <w:p>
      <w:pPr>
        <w:spacing w:after="0" w:line="63" w:lineRule="exact"/>
        <w:rPr>
          <w:sz w:val="20"/>
          <w:szCs w:val="20"/>
          <w:color w:val="auto"/>
        </w:rPr>
      </w:pPr>
    </w:p>
    <w:p>
      <w:pPr>
        <w:jc w:val="both"/>
        <w:ind w:right="80"/>
        <w:spacing w:after="0" w:line="241" w:lineRule="auto"/>
        <w:rPr>
          <w:sz w:val="20"/>
          <w:szCs w:val="20"/>
          <w:color w:val="auto"/>
        </w:rPr>
      </w:pPr>
      <w:r>
        <w:rPr>
          <w:rFonts w:ascii="Arial" w:cs="Arial" w:eastAsia="Arial" w:hAnsi="Arial"/>
          <w:sz w:val="20"/>
          <w:szCs w:val="20"/>
          <w:u w:val="single" w:color="auto"/>
          <w:color w:val="auto"/>
        </w:rPr>
        <w:t>Description of Securities. Incorporated herein by reference to Exhibit 4.2 to LP</w:t>
      </w:r>
      <w:r>
        <w:rPr>
          <w:rFonts w:ascii="Arial" w:cs="Arial" w:eastAsia="Arial" w:hAnsi="Arial"/>
          <w:sz w:val="20"/>
          <w:szCs w:val="20"/>
          <w:color w:val="auto"/>
        </w:rPr>
        <w:t>’</w:t>
      </w:r>
      <w:r>
        <w:rPr>
          <w:rFonts w:ascii="Arial" w:cs="Arial" w:eastAsia="Arial" w:hAnsi="Arial"/>
          <w:sz w:val="20"/>
          <w:szCs w:val="20"/>
          <w:u w:val="single" w:color="auto"/>
          <w:color w:val="auto"/>
        </w:rPr>
        <w:t>s Annual Report on</w:t>
      </w:r>
      <w:r>
        <w:rPr>
          <w:rFonts w:ascii="Arial" w:cs="Arial" w:eastAsia="Arial" w:hAnsi="Arial"/>
          <w:sz w:val="20"/>
          <w:szCs w:val="20"/>
          <w:color w:val="auto"/>
        </w:rPr>
        <w:t xml:space="preserve"> </w:t>
      </w:r>
      <w:r>
        <w:rPr>
          <w:rFonts w:ascii="Arial" w:cs="Arial" w:eastAsia="Arial" w:hAnsi="Arial"/>
          <w:sz w:val="20"/>
          <w:szCs w:val="20"/>
          <w:u w:val="single" w:color="auto"/>
          <w:color w:val="auto"/>
        </w:rPr>
        <w:t>Form 10-K for the year ended December 31, 2020.</w:t>
      </w:r>
    </w:p>
    <w:p>
      <w:pPr>
        <w:spacing w:after="0" w:line="63" w:lineRule="exact"/>
        <w:rPr>
          <w:sz w:val="20"/>
          <w:szCs w:val="20"/>
          <w:color w:val="auto"/>
        </w:rPr>
      </w:pPr>
    </w:p>
    <w:p>
      <w:pPr>
        <w:jc w:val="both"/>
        <w:ind w:right="60"/>
        <w:spacing w:after="0" w:line="224" w:lineRule="auto"/>
        <w:rPr>
          <w:sz w:val="20"/>
          <w:szCs w:val="20"/>
          <w:color w:val="auto"/>
        </w:rPr>
      </w:pPr>
      <w:r>
        <w:rPr>
          <w:rFonts w:ascii="Arial" w:cs="Arial" w:eastAsia="Arial" w:hAnsi="Arial"/>
          <w:sz w:val="20"/>
          <w:szCs w:val="20"/>
          <w:u w:val="single" w:color="auto"/>
          <w:color w:val="auto"/>
        </w:rPr>
        <w:t>Second Amended and Restated Credit Agreement, dated November 29, 2022, among the Company, as borrower, American AgCredit PCA, as administrative agent, CoBank, ACB, as letter of credit issuer and lenders and voting participants party thereto. Incorporated herein by reference to Exhibit 10.1 to LP’s Current Report on Form 8-K, filed November 29, 2022.</w:t>
      </w:r>
    </w:p>
    <w:p>
      <w:pPr>
        <w:spacing w:after="0" w:line="107" w:lineRule="exact"/>
        <w:rPr>
          <w:sz w:val="20"/>
          <w:szCs w:val="20"/>
          <w:color w:val="auto"/>
        </w:rPr>
      </w:pPr>
    </w:p>
    <w:p>
      <w:pPr>
        <w:jc w:val="both"/>
        <w:ind w:right="60"/>
        <w:spacing w:after="0" w:line="236" w:lineRule="auto"/>
        <w:rPr>
          <w:sz w:val="20"/>
          <w:szCs w:val="20"/>
          <w:color w:val="auto"/>
        </w:rPr>
      </w:pPr>
      <w:r>
        <w:rPr>
          <w:rFonts w:ascii="Arial" w:cs="Arial" w:eastAsia="Arial" w:hAnsi="Arial"/>
          <w:sz w:val="19"/>
          <w:szCs w:val="19"/>
          <w:u w:val="single" w:color="auto"/>
          <w:color w:val="auto"/>
        </w:rPr>
        <w:t>First Amendment to Second Amended and Restated Credit Agreement, dated March 26, 2025, among the Company, as borrower, American AgCredit PCA, as administrative agent, CoBank, ACB, as letter of credit issuer and lenders and voting participants party thereto. Incorporated herein by reference to Exhibit 10.1 to LP’s Current Report on Form 8-K, filed March 28, 2025.</w:t>
      </w:r>
    </w:p>
    <w:p>
      <w:pPr>
        <w:spacing w:after="0" w:line="65" w:lineRule="exact"/>
        <w:rPr>
          <w:sz w:val="20"/>
          <w:szCs w:val="20"/>
          <w:color w:val="auto"/>
        </w:rPr>
      </w:pPr>
    </w:p>
    <w:p>
      <w:pPr>
        <w:jc w:val="both"/>
        <w:ind w:right="60"/>
        <w:spacing w:after="0" w:line="230" w:lineRule="auto"/>
        <w:rPr>
          <w:sz w:val="20"/>
          <w:szCs w:val="20"/>
          <w:color w:val="auto"/>
        </w:rPr>
      </w:pPr>
      <w:r>
        <w:rPr>
          <w:rFonts w:ascii="Arial" w:cs="Arial" w:eastAsia="Arial" w:hAnsi="Arial"/>
          <w:sz w:val="20"/>
          <w:szCs w:val="20"/>
          <w:u w:val="single" w:color="auto"/>
          <w:color w:val="auto"/>
        </w:rPr>
        <w:t>Annual Cash Incentive Award Plan, Amended and Restated as of February 12, 2009. Incorporated herein by reference to Appendix B to LP’s Definitive Proxy Statement on Schedule 14A, filed on March 23, 2009.*</w:t>
      </w:r>
    </w:p>
    <w:p>
      <w:pPr>
        <w:spacing w:after="0" w:line="85" w:lineRule="exact"/>
        <w:rPr>
          <w:sz w:val="20"/>
          <w:szCs w:val="20"/>
          <w:color w:val="auto"/>
        </w:rPr>
      </w:pPr>
    </w:p>
    <w:p>
      <w:pPr>
        <w:jc w:val="both"/>
        <w:ind w:right="60"/>
        <w:spacing w:after="0" w:line="230" w:lineRule="auto"/>
        <w:rPr>
          <w:sz w:val="20"/>
          <w:szCs w:val="20"/>
          <w:color w:val="auto"/>
        </w:rPr>
      </w:pPr>
      <w:r>
        <w:rPr>
          <w:rFonts w:ascii="Arial" w:cs="Arial" w:eastAsia="Arial" w:hAnsi="Arial"/>
          <w:sz w:val="20"/>
          <w:szCs w:val="20"/>
          <w:u w:val="single" w:color="auto"/>
          <w:color w:val="auto"/>
        </w:rPr>
        <w:t>2004 Executive Deferred Compensation Plan, Amended and Restated, Effective January 1, 2024. Incorporated herein by reference to Exhibit 10.3 to LP</w:t>
      </w:r>
      <w:r>
        <w:rPr>
          <w:rFonts w:ascii="Arial" w:cs="Arial" w:eastAsia="Arial" w:hAnsi="Arial"/>
          <w:sz w:val="20"/>
          <w:szCs w:val="20"/>
          <w:color w:val="auto"/>
        </w:rPr>
        <w:t>’</w:t>
      </w:r>
      <w:r>
        <w:rPr>
          <w:rFonts w:ascii="Arial" w:cs="Arial" w:eastAsia="Arial" w:hAnsi="Arial"/>
          <w:sz w:val="20"/>
          <w:szCs w:val="20"/>
          <w:u w:val="single" w:color="auto"/>
          <w:color w:val="auto"/>
        </w:rPr>
        <w:t>s Annual Report on Form 10-K for the year</w:t>
      </w:r>
      <w:r>
        <w:rPr>
          <w:rFonts w:ascii="Arial" w:cs="Arial" w:eastAsia="Arial" w:hAnsi="Arial"/>
          <w:sz w:val="20"/>
          <w:szCs w:val="20"/>
          <w:color w:val="auto"/>
        </w:rPr>
        <w:t xml:space="preserve"> </w:t>
      </w:r>
      <w:r>
        <w:rPr>
          <w:rFonts w:ascii="Arial" w:cs="Arial" w:eastAsia="Arial" w:hAnsi="Arial"/>
          <w:sz w:val="20"/>
          <w:szCs w:val="20"/>
          <w:u w:val="single" w:color="auto"/>
          <w:color w:val="auto"/>
        </w:rPr>
        <w:t>ended December 31,2023.*</w:t>
      </w:r>
    </w:p>
    <w:p>
      <w:pPr>
        <w:spacing w:after="0" w:line="200" w:lineRule="exact"/>
        <w:rPr>
          <w:sz w:val="20"/>
          <w:szCs w:val="20"/>
          <w:color w:val="auto"/>
        </w:rPr>
      </w:pPr>
    </w:p>
    <w:p>
      <w:pPr>
        <w:sectPr>
          <w:pgSz w:w="11880" w:h="15480" w:orient="portrait"/>
          <w:cols w:equalWidth="0" w:num="2">
            <w:col w:w="880" w:space="300"/>
            <w:col w:w="8180"/>
          </w:cols>
          <w:pgMar w:left="1260" w:top="1190" w:right="1260" w:bottom="225"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9360"/>
          </w:cols>
          <w:pgMar w:left="1260" w:top="1190" w:right="1260" w:bottom="225" w:gutter="0" w:footer="0" w:header="0"/>
          <w:type w:val="continuous"/>
        </w:sectPr>
      </w:pPr>
    </w:p>
    <w:bookmarkStart w:id="103" w:name="page104"/>
    <w:bookmarkEnd w:id="103"/>
    <w:tbl>
      <w:tblPr>
        <w:tblLayout w:type="fixed"/>
        <w:tblInd w:w="120" w:type="dxa"/>
        <w:tblCellMar>
          <w:top w:w="0" w:type="dxa"/>
          <w:left w:w="0" w:type="dxa"/>
          <w:bottom w:w="0" w:type="dxa"/>
          <w:right w:w="0" w:type="dxa"/>
        </w:tblCellMar>
      </w:tblPr>
      <w:tr>
        <w:trPr>
          <w:trHeight w:val="230"/>
        </w:trPr>
        <w:tc>
          <w:tcPr>
            <w:tcW w:w="880" w:type="dxa"/>
            <w:vAlign w:val="bottom"/>
            <w:vMerge w:val="restart"/>
          </w:tcPr>
          <w:p>
            <w:pPr>
              <w:jc w:val="center"/>
              <w:ind w:right="320"/>
              <w:spacing w:after="0"/>
              <w:rPr>
                <w:sz w:val="20"/>
                <w:szCs w:val="20"/>
                <w:color w:val="auto"/>
              </w:rPr>
            </w:pPr>
            <w:r>
              <w:rPr>
                <w:rFonts w:ascii="Arial" w:cs="Arial" w:eastAsia="Arial" w:hAnsi="Arial"/>
                <w:sz w:val="20"/>
                <w:szCs w:val="20"/>
                <w:color w:val="auto"/>
                <w:w w:val="87"/>
              </w:rPr>
              <w:t>10.5</w:t>
            </w:r>
          </w:p>
        </w:tc>
        <w:tc>
          <w:tcPr>
            <w:tcW w:w="8160" w:type="dxa"/>
            <w:vAlign w:val="bottom"/>
            <w:tcBorders>
              <w:bottom w:val="single" w:sz="8" w:color="auto"/>
            </w:tcBorders>
            <w:gridSpan w:val="24"/>
          </w:tcPr>
          <w:p>
            <w:pPr>
              <w:spacing w:after="0"/>
              <w:rPr>
                <w:sz w:val="20"/>
                <w:szCs w:val="20"/>
                <w:color w:val="auto"/>
              </w:rPr>
            </w:pPr>
            <w:r>
              <w:rPr>
                <w:rFonts w:ascii="Arial" w:cs="Arial" w:eastAsia="Arial" w:hAnsi="Arial"/>
                <w:sz w:val="20"/>
                <w:szCs w:val="20"/>
                <w:color w:val="auto"/>
                <w:w w:val="92"/>
              </w:rPr>
              <w:t>2008 Supplemental Executive Retirement Plan, Amended and Restated, Effective January 1, 2008.</w:t>
            </w:r>
          </w:p>
        </w:tc>
        <w:tc>
          <w:tcPr>
            <w:tcW w:w="0" w:type="dxa"/>
            <w:vAlign w:val="bottom"/>
          </w:tcPr>
          <w:p>
            <w:pPr>
              <w:spacing w:after="0"/>
              <w:rPr>
                <w:sz w:val="1"/>
                <w:szCs w:val="1"/>
                <w:color w:val="auto"/>
              </w:rPr>
            </w:pPr>
          </w:p>
        </w:tc>
      </w:tr>
      <w:tr>
        <w:trPr>
          <w:trHeight w:val="180"/>
        </w:trPr>
        <w:tc>
          <w:tcPr>
            <w:tcW w:w="880" w:type="dxa"/>
            <w:vAlign w:val="bottom"/>
            <w:vMerge w:val="continue"/>
          </w:tcPr>
          <w:p>
            <w:pPr>
              <w:spacing w:after="0"/>
              <w:rPr>
                <w:sz w:val="15"/>
                <w:szCs w:val="15"/>
                <w:color w:val="auto"/>
              </w:rPr>
            </w:pPr>
          </w:p>
        </w:tc>
        <w:tc>
          <w:tcPr>
            <w:tcW w:w="8160" w:type="dxa"/>
            <w:vAlign w:val="bottom"/>
            <w:gridSpan w:val="24"/>
          </w:tcPr>
          <w:p>
            <w:pPr>
              <w:spacing w:after="0" w:line="180" w:lineRule="exact"/>
              <w:rPr>
                <w:sz w:val="20"/>
                <w:szCs w:val="20"/>
                <w:color w:val="auto"/>
              </w:rPr>
            </w:pPr>
            <w:r>
              <w:rPr>
                <w:rFonts w:ascii="Arial" w:cs="Arial" w:eastAsia="Arial" w:hAnsi="Arial"/>
                <w:sz w:val="20"/>
                <w:szCs w:val="20"/>
                <w:color w:val="auto"/>
                <w:w w:val="96"/>
              </w:rPr>
              <w:t>Incorporated herein by reference to Exhibit 10.14 to LP’s Quarterly Report on Form 10-Q for the</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4620" w:type="dxa"/>
            <w:vAlign w:val="bottom"/>
            <w:tcBorders>
              <w:top w:val="single" w:sz="8" w:color="auto"/>
            </w:tcBorders>
            <w:gridSpan w:val="12"/>
          </w:tcPr>
          <w:p>
            <w:pPr>
              <w:spacing w:after="0" w:line="180" w:lineRule="exact"/>
              <w:rPr>
                <w:sz w:val="20"/>
                <w:szCs w:val="20"/>
                <w:color w:val="auto"/>
              </w:rPr>
            </w:pPr>
            <w:r>
              <w:rPr>
                <w:rFonts w:ascii="Arial" w:cs="Arial" w:eastAsia="Arial" w:hAnsi="Arial"/>
                <w:sz w:val="20"/>
                <w:szCs w:val="20"/>
                <w:color w:val="auto"/>
              </w:rPr>
              <w:t>quarter ended June 30, 2011.*</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3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vMerge w:val="restart"/>
          </w:tcPr>
          <w:p>
            <w:pPr>
              <w:jc w:val="center"/>
              <w:ind w:right="320"/>
              <w:spacing w:after="0"/>
              <w:rPr>
                <w:sz w:val="20"/>
                <w:szCs w:val="20"/>
                <w:color w:val="auto"/>
              </w:rPr>
            </w:pPr>
            <w:r>
              <w:rPr>
                <w:rFonts w:ascii="Arial" w:cs="Arial" w:eastAsia="Arial" w:hAnsi="Arial"/>
                <w:sz w:val="20"/>
                <w:szCs w:val="20"/>
                <w:color w:val="auto"/>
                <w:w w:val="87"/>
              </w:rPr>
              <w:t>10.6</w:t>
            </w:r>
          </w:p>
        </w:tc>
        <w:tc>
          <w:tcPr>
            <w:tcW w:w="8160" w:type="dxa"/>
            <w:vAlign w:val="bottom"/>
            <w:tcBorders>
              <w:bottom w:val="single" w:sz="8" w:color="auto"/>
            </w:tcBorders>
            <w:gridSpan w:val="20"/>
          </w:tcPr>
          <w:p>
            <w:pPr>
              <w:spacing w:after="0"/>
              <w:rPr>
                <w:sz w:val="20"/>
                <w:szCs w:val="20"/>
                <w:color w:val="auto"/>
              </w:rPr>
            </w:pPr>
            <w:r>
              <w:rPr>
                <w:rFonts w:ascii="Arial" w:cs="Arial" w:eastAsia="Arial" w:hAnsi="Arial"/>
                <w:sz w:val="20"/>
                <w:szCs w:val="20"/>
                <w:color w:val="auto"/>
                <w:w w:val="92"/>
              </w:rPr>
              <w:t>2013 Omnibus Stock Award Plan, Effective May 3, 2013. Incorporated herein by reference to Annex</w:t>
            </w:r>
          </w:p>
        </w:tc>
        <w:tc>
          <w:tcPr>
            <w:tcW w:w="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80" w:type="dxa"/>
            <w:vAlign w:val="bottom"/>
            <w:vMerge w:val="continue"/>
          </w:tcPr>
          <w:p>
            <w:pPr>
              <w:spacing w:after="0"/>
              <w:rPr>
                <w:sz w:val="12"/>
                <w:szCs w:val="12"/>
                <w:color w:val="auto"/>
              </w:rPr>
            </w:pPr>
          </w:p>
        </w:tc>
        <w:tc>
          <w:tcPr>
            <w:tcW w:w="8160" w:type="dxa"/>
            <w:vAlign w:val="bottom"/>
            <w:gridSpan w:val="24"/>
            <w:vMerge w:val="restart"/>
          </w:tcPr>
          <w:p>
            <w:pPr>
              <w:spacing w:after="0" w:line="180" w:lineRule="exact"/>
              <w:rPr>
                <w:sz w:val="20"/>
                <w:szCs w:val="20"/>
                <w:color w:val="auto"/>
              </w:rPr>
            </w:pPr>
            <w:r>
              <w:rPr>
                <w:rFonts w:ascii="Arial" w:cs="Arial" w:eastAsia="Arial" w:hAnsi="Arial"/>
                <w:sz w:val="20"/>
                <w:szCs w:val="20"/>
                <w:color w:val="auto"/>
              </w:rPr>
              <w:t>A to LP’s Definitive Proxy Statement on Schedule 14A, filed on March 20, 2013.*</w:t>
            </w:r>
          </w:p>
        </w:tc>
        <w:tc>
          <w:tcPr>
            <w:tcW w:w="0" w:type="dxa"/>
            <w:vAlign w:val="bottom"/>
          </w:tcPr>
          <w:p>
            <w:pPr>
              <w:spacing w:after="0"/>
              <w:rPr>
                <w:sz w:val="1"/>
                <w:szCs w:val="1"/>
                <w:color w:val="auto"/>
              </w:rPr>
            </w:pPr>
          </w:p>
        </w:tc>
      </w:tr>
      <w:tr>
        <w:trPr>
          <w:trHeight w:val="41"/>
        </w:trPr>
        <w:tc>
          <w:tcPr>
            <w:tcW w:w="880" w:type="dxa"/>
            <w:vAlign w:val="bottom"/>
          </w:tcPr>
          <w:p>
            <w:pPr>
              <w:spacing w:after="0"/>
              <w:rPr>
                <w:sz w:val="3"/>
                <w:szCs w:val="3"/>
                <w:color w:val="auto"/>
              </w:rPr>
            </w:pPr>
          </w:p>
        </w:tc>
        <w:tc>
          <w:tcPr>
            <w:tcW w:w="816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880" w:type="dxa"/>
            <w:vAlign w:val="bottom"/>
            <w:vMerge w:val="restart"/>
          </w:tcPr>
          <w:p>
            <w:pPr>
              <w:jc w:val="center"/>
              <w:ind w:right="320"/>
              <w:spacing w:after="0"/>
              <w:rPr>
                <w:sz w:val="20"/>
                <w:szCs w:val="20"/>
                <w:color w:val="auto"/>
              </w:rPr>
            </w:pPr>
            <w:r>
              <w:rPr>
                <w:rFonts w:ascii="Arial" w:cs="Arial" w:eastAsia="Arial" w:hAnsi="Arial"/>
                <w:sz w:val="20"/>
                <w:szCs w:val="20"/>
                <w:color w:val="auto"/>
                <w:w w:val="87"/>
              </w:rPr>
              <w:t>10.7</w:t>
            </w:r>
          </w:p>
        </w:tc>
        <w:tc>
          <w:tcPr>
            <w:tcW w:w="8160" w:type="dxa"/>
            <w:vAlign w:val="bottom"/>
            <w:gridSpan w:val="24"/>
          </w:tcPr>
          <w:p>
            <w:pPr>
              <w:spacing w:after="0"/>
              <w:rPr>
                <w:sz w:val="20"/>
                <w:szCs w:val="20"/>
                <w:color w:val="auto"/>
              </w:rPr>
            </w:pPr>
            <w:r>
              <w:rPr>
                <w:rFonts w:ascii="Arial" w:cs="Arial" w:eastAsia="Arial" w:hAnsi="Arial"/>
                <w:sz w:val="20"/>
                <w:szCs w:val="20"/>
                <w:color w:val="auto"/>
                <w:w w:val="93"/>
              </w:rPr>
              <w:t>Amendment No 1 to Louisiana-Pacific Corporation 2013 Omnibus Stock Award Plan. Incorporated</w:t>
            </w:r>
          </w:p>
        </w:tc>
        <w:tc>
          <w:tcPr>
            <w:tcW w:w="0" w:type="dxa"/>
            <w:vAlign w:val="bottom"/>
          </w:tcPr>
          <w:p>
            <w:pPr>
              <w:spacing w:after="0"/>
              <w:rPr>
                <w:sz w:val="1"/>
                <w:szCs w:val="1"/>
                <w:color w:val="auto"/>
              </w:rPr>
            </w:pPr>
          </w:p>
        </w:tc>
      </w:tr>
      <w:tr>
        <w:trPr>
          <w:trHeight w:val="180"/>
        </w:trPr>
        <w:tc>
          <w:tcPr>
            <w:tcW w:w="880" w:type="dxa"/>
            <w:vAlign w:val="bottom"/>
            <w:vMerge w:val="continue"/>
          </w:tcPr>
          <w:p>
            <w:pPr>
              <w:spacing w:after="0"/>
              <w:rPr>
                <w:sz w:val="15"/>
                <w:szCs w:val="15"/>
                <w:color w:val="auto"/>
              </w:rPr>
            </w:pPr>
          </w:p>
        </w:tc>
        <w:tc>
          <w:tcPr>
            <w:tcW w:w="8220" w:type="dxa"/>
            <w:vAlign w:val="bottom"/>
            <w:tcBorders>
              <w:top w:val="single" w:sz="8" w:color="auto"/>
            </w:tcBorders>
            <w:gridSpan w:val="23"/>
          </w:tcPr>
          <w:p>
            <w:pPr>
              <w:spacing w:after="0" w:line="180" w:lineRule="exact"/>
              <w:rPr>
                <w:sz w:val="20"/>
                <w:szCs w:val="20"/>
                <w:color w:val="auto"/>
              </w:rPr>
            </w:pPr>
            <w:r>
              <w:rPr>
                <w:rFonts w:ascii="Arial" w:cs="Arial" w:eastAsia="Arial" w:hAnsi="Arial"/>
                <w:sz w:val="20"/>
                <w:szCs w:val="20"/>
                <w:color w:val="auto"/>
                <w:w w:val="92"/>
              </w:rPr>
              <w:t>herein by reference to Exhibit 10.26 LP’s Annual Report on Form 10-K for the year ended December</w:t>
            </w:r>
          </w:p>
        </w:tc>
        <w:tc>
          <w:tcPr>
            <w:tcW w:w="429496723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840" w:type="dxa"/>
            <w:vAlign w:val="bottom"/>
            <w:tcBorders>
              <w:top w:val="single" w:sz="8" w:color="auto"/>
              <w:bottom w:val="single" w:sz="8" w:color="auto"/>
            </w:tcBorders>
            <w:gridSpan w:val="2"/>
          </w:tcPr>
          <w:p>
            <w:pPr>
              <w:spacing w:after="0" w:line="180" w:lineRule="exact"/>
              <w:rPr>
                <w:sz w:val="20"/>
                <w:szCs w:val="20"/>
                <w:color w:val="auto"/>
              </w:rPr>
            </w:pPr>
            <w:r>
              <w:rPr>
                <w:rFonts w:ascii="Arial" w:cs="Arial" w:eastAsia="Arial" w:hAnsi="Arial"/>
                <w:sz w:val="20"/>
                <w:szCs w:val="20"/>
                <w:color w:val="auto"/>
                <w:w w:val="89"/>
              </w:rPr>
              <w:t>31, 2017.*</w:t>
            </w:r>
          </w:p>
        </w:tc>
        <w:tc>
          <w:tcPr>
            <w:tcW w:w="15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3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880" w:type="dxa"/>
            <w:vAlign w:val="bottom"/>
            <w:vMerge w:val="restart"/>
          </w:tcPr>
          <w:p>
            <w:pPr>
              <w:jc w:val="center"/>
              <w:ind w:right="320"/>
              <w:spacing w:after="0"/>
              <w:rPr>
                <w:sz w:val="20"/>
                <w:szCs w:val="20"/>
                <w:color w:val="auto"/>
              </w:rPr>
            </w:pPr>
            <w:r>
              <w:rPr>
                <w:rFonts w:ascii="Arial" w:cs="Arial" w:eastAsia="Arial" w:hAnsi="Arial"/>
                <w:sz w:val="20"/>
                <w:szCs w:val="20"/>
                <w:color w:val="auto"/>
                <w:w w:val="87"/>
              </w:rPr>
              <w:t>10.8</w:t>
            </w:r>
          </w:p>
        </w:tc>
        <w:tc>
          <w:tcPr>
            <w:tcW w:w="8160" w:type="dxa"/>
            <w:vAlign w:val="bottom"/>
            <w:tcBorders>
              <w:bottom w:val="single" w:sz="8" w:color="auto"/>
            </w:tcBorders>
            <w:gridSpan w:val="24"/>
          </w:tcPr>
          <w:p>
            <w:pPr>
              <w:spacing w:after="0"/>
              <w:rPr>
                <w:sz w:val="20"/>
                <w:szCs w:val="20"/>
                <w:color w:val="auto"/>
              </w:rPr>
            </w:pPr>
            <w:r>
              <w:rPr>
                <w:rFonts w:ascii="Arial" w:cs="Arial" w:eastAsia="Arial" w:hAnsi="Arial"/>
                <w:sz w:val="20"/>
                <w:szCs w:val="20"/>
                <w:color w:val="auto"/>
                <w:w w:val="94"/>
              </w:rPr>
              <w:t>Louisiana-Pacific  Corporation  2019  Employee  Stock  Purchase  Plan.  Incorporated  herein  by</w:t>
            </w:r>
          </w:p>
        </w:tc>
        <w:tc>
          <w:tcPr>
            <w:tcW w:w="0" w:type="dxa"/>
            <w:vAlign w:val="bottom"/>
          </w:tcPr>
          <w:p>
            <w:pPr>
              <w:spacing w:after="0"/>
              <w:rPr>
                <w:sz w:val="1"/>
                <w:szCs w:val="1"/>
                <w:color w:val="auto"/>
              </w:rPr>
            </w:pPr>
          </w:p>
        </w:tc>
      </w:tr>
      <w:tr>
        <w:trPr>
          <w:trHeight w:val="180"/>
        </w:trPr>
        <w:tc>
          <w:tcPr>
            <w:tcW w:w="880" w:type="dxa"/>
            <w:vAlign w:val="bottom"/>
            <w:vMerge w:val="continue"/>
          </w:tcPr>
          <w:p>
            <w:pPr>
              <w:spacing w:after="0"/>
              <w:rPr>
                <w:sz w:val="15"/>
                <w:szCs w:val="15"/>
                <w:color w:val="auto"/>
              </w:rPr>
            </w:pPr>
          </w:p>
        </w:tc>
        <w:tc>
          <w:tcPr>
            <w:tcW w:w="8160" w:type="dxa"/>
            <w:vAlign w:val="bottom"/>
            <w:gridSpan w:val="24"/>
          </w:tcPr>
          <w:p>
            <w:pPr>
              <w:spacing w:after="0" w:line="180" w:lineRule="exact"/>
              <w:rPr>
                <w:sz w:val="20"/>
                <w:szCs w:val="20"/>
                <w:color w:val="auto"/>
              </w:rPr>
            </w:pPr>
            <w:r>
              <w:rPr>
                <w:rFonts w:ascii="Arial" w:cs="Arial" w:eastAsia="Arial" w:hAnsi="Arial"/>
                <w:sz w:val="20"/>
                <w:szCs w:val="20"/>
                <w:color w:val="auto"/>
                <w:w w:val="98"/>
              </w:rPr>
              <w:t>reference to Annex A to LP’s Definitive Proxy Statement on Schedule 14A, filed on March 26,</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540" w:type="dxa"/>
            <w:vAlign w:val="bottom"/>
            <w:tcBorders>
              <w:top w:val="single" w:sz="8" w:color="auto"/>
              <w:bottom w:val="single" w:sz="8" w:color="auto"/>
            </w:tcBorders>
          </w:tcPr>
          <w:p>
            <w:pPr>
              <w:spacing w:after="0" w:line="180" w:lineRule="exact"/>
              <w:rPr>
                <w:sz w:val="20"/>
                <w:szCs w:val="20"/>
                <w:color w:val="auto"/>
              </w:rPr>
            </w:pPr>
            <w:r>
              <w:rPr>
                <w:rFonts w:ascii="Arial" w:cs="Arial" w:eastAsia="Arial" w:hAnsi="Arial"/>
                <w:sz w:val="20"/>
                <w:szCs w:val="20"/>
                <w:color w:val="auto"/>
                <w:w w:val="89"/>
              </w:rPr>
              <w:t>2019.*</w:t>
            </w:r>
          </w:p>
        </w:tc>
        <w:tc>
          <w:tcPr>
            <w:tcW w:w="3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29496723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880" w:type="dxa"/>
            <w:vAlign w:val="bottom"/>
            <w:vMerge w:val="restart"/>
          </w:tcPr>
          <w:p>
            <w:pPr>
              <w:jc w:val="center"/>
              <w:ind w:right="320"/>
              <w:spacing w:after="0"/>
              <w:rPr>
                <w:sz w:val="20"/>
                <w:szCs w:val="20"/>
                <w:color w:val="auto"/>
              </w:rPr>
            </w:pPr>
            <w:r>
              <w:rPr>
                <w:rFonts w:ascii="Arial" w:cs="Arial" w:eastAsia="Arial" w:hAnsi="Arial"/>
                <w:sz w:val="20"/>
                <w:szCs w:val="20"/>
                <w:color w:val="auto"/>
                <w:w w:val="87"/>
              </w:rPr>
              <w:t>10.9</w:t>
            </w:r>
          </w:p>
        </w:tc>
        <w:tc>
          <w:tcPr>
            <w:tcW w:w="8160" w:type="dxa"/>
            <w:vAlign w:val="bottom"/>
            <w:tcBorders>
              <w:bottom w:val="single" w:sz="8" w:color="auto"/>
            </w:tcBorders>
            <w:gridSpan w:val="24"/>
          </w:tcPr>
          <w:p>
            <w:pPr>
              <w:spacing w:after="0"/>
              <w:rPr>
                <w:sz w:val="20"/>
                <w:szCs w:val="20"/>
                <w:color w:val="auto"/>
              </w:rPr>
            </w:pPr>
            <w:r>
              <w:rPr>
                <w:rFonts w:ascii="Arial" w:cs="Arial" w:eastAsia="Arial" w:hAnsi="Arial"/>
                <w:sz w:val="20"/>
                <w:szCs w:val="20"/>
                <w:color w:val="auto"/>
                <w:w w:val="92"/>
              </w:rPr>
              <w:t>First Amendment to Louisiana-Pacific 2019 Employee Stock Purchase Plan. Incorporated herein by</w:t>
            </w:r>
          </w:p>
        </w:tc>
        <w:tc>
          <w:tcPr>
            <w:tcW w:w="0" w:type="dxa"/>
            <w:vAlign w:val="bottom"/>
          </w:tcPr>
          <w:p>
            <w:pPr>
              <w:spacing w:after="0"/>
              <w:rPr>
                <w:sz w:val="1"/>
                <w:szCs w:val="1"/>
                <w:color w:val="auto"/>
              </w:rPr>
            </w:pPr>
          </w:p>
        </w:tc>
      </w:tr>
      <w:tr>
        <w:trPr>
          <w:trHeight w:val="180"/>
        </w:trPr>
        <w:tc>
          <w:tcPr>
            <w:tcW w:w="880" w:type="dxa"/>
            <w:vAlign w:val="bottom"/>
            <w:vMerge w:val="continue"/>
          </w:tcPr>
          <w:p>
            <w:pPr>
              <w:spacing w:after="0"/>
              <w:rPr>
                <w:sz w:val="15"/>
                <w:szCs w:val="15"/>
                <w:color w:val="auto"/>
              </w:rPr>
            </w:pPr>
          </w:p>
        </w:tc>
        <w:tc>
          <w:tcPr>
            <w:tcW w:w="8160" w:type="dxa"/>
            <w:vAlign w:val="bottom"/>
            <w:gridSpan w:val="24"/>
          </w:tcPr>
          <w:p>
            <w:pPr>
              <w:spacing w:after="0" w:line="180" w:lineRule="exact"/>
              <w:rPr>
                <w:sz w:val="20"/>
                <w:szCs w:val="20"/>
                <w:color w:val="auto"/>
              </w:rPr>
            </w:pPr>
            <w:r>
              <w:rPr>
                <w:rFonts w:ascii="Arial" w:cs="Arial" w:eastAsia="Arial" w:hAnsi="Arial"/>
                <w:sz w:val="20"/>
                <w:szCs w:val="20"/>
                <w:color w:val="auto"/>
                <w:w w:val="95"/>
              </w:rPr>
              <w:t>reference to Exhibit 10.7 to LP’s Quarterly Report on Form 10-Q for the quarter ended March 31,</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540" w:type="dxa"/>
            <w:vAlign w:val="bottom"/>
            <w:tcBorders>
              <w:top w:val="single" w:sz="8" w:color="auto"/>
              <w:bottom w:val="single" w:sz="8" w:color="auto"/>
            </w:tcBorders>
          </w:tcPr>
          <w:p>
            <w:pPr>
              <w:spacing w:after="0" w:line="180" w:lineRule="exact"/>
              <w:rPr>
                <w:sz w:val="20"/>
                <w:szCs w:val="20"/>
                <w:color w:val="auto"/>
              </w:rPr>
            </w:pPr>
            <w:r>
              <w:rPr>
                <w:rFonts w:ascii="Arial" w:cs="Arial" w:eastAsia="Arial" w:hAnsi="Arial"/>
                <w:sz w:val="20"/>
                <w:szCs w:val="20"/>
                <w:color w:val="auto"/>
                <w:w w:val="89"/>
              </w:rPr>
              <w:t>2022.*</w:t>
            </w:r>
          </w:p>
        </w:tc>
        <w:tc>
          <w:tcPr>
            <w:tcW w:w="3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37"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880" w:type="dxa"/>
            <w:vAlign w:val="bottom"/>
            <w:vMerge w:val="restart"/>
          </w:tcPr>
          <w:p>
            <w:pPr>
              <w:jc w:val="center"/>
              <w:ind w:right="320"/>
              <w:spacing w:after="0"/>
              <w:rPr>
                <w:sz w:val="20"/>
                <w:szCs w:val="20"/>
                <w:color w:val="auto"/>
              </w:rPr>
            </w:pPr>
            <w:r>
              <w:rPr>
                <w:rFonts w:ascii="Arial" w:cs="Arial" w:eastAsia="Arial" w:hAnsi="Arial"/>
                <w:sz w:val="20"/>
                <w:szCs w:val="20"/>
                <w:color w:val="auto"/>
                <w:w w:val="91"/>
              </w:rPr>
              <w:t>10.10</w:t>
            </w:r>
          </w:p>
        </w:tc>
        <w:tc>
          <w:tcPr>
            <w:tcW w:w="8160" w:type="dxa"/>
            <w:vAlign w:val="bottom"/>
            <w:tcBorders>
              <w:bottom w:val="single" w:sz="8" w:color="auto"/>
            </w:tcBorders>
            <w:gridSpan w:val="24"/>
          </w:tcPr>
          <w:p>
            <w:pPr>
              <w:spacing w:after="0"/>
              <w:rPr>
                <w:sz w:val="20"/>
                <w:szCs w:val="20"/>
                <w:color w:val="auto"/>
              </w:rPr>
            </w:pPr>
            <w:r>
              <w:rPr>
                <w:rFonts w:ascii="Arial" w:cs="Arial" w:eastAsia="Arial" w:hAnsi="Arial"/>
                <w:sz w:val="20"/>
                <w:szCs w:val="20"/>
                <w:color w:val="auto"/>
                <w:w w:val="93"/>
              </w:rPr>
              <w:t>Form of Severance Agreement between Louisiana-Pacific Corporation and Chief Executive Officer.</w:t>
            </w:r>
          </w:p>
        </w:tc>
        <w:tc>
          <w:tcPr>
            <w:tcW w:w="0" w:type="dxa"/>
            <w:vAlign w:val="bottom"/>
          </w:tcPr>
          <w:p>
            <w:pPr>
              <w:spacing w:after="0"/>
              <w:rPr>
                <w:sz w:val="1"/>
                <w:szCs w:val="1"/>
                <w:color w:val="auto"/>
              </w:rPr>
            </w:pPr>
          </w:p>
        </w:tc>
      </w:tr>
      <w:tr>
        <w:trPr>
          <w:trHeight w:val="180"/>
        </w:trPr>
        <w:tc>
          <w:tcPr>
            <w:tcW w:w="880" w:type="dxa"/>
            <w:vAlign w:val="bottom"/>
            <w:vMerge w:val="continue"/>
          </w:tcPr>
          <w:p>
            <w:pPr>
              <w:spacing w:after="0"/>
              <w:rPr>
                <w:sz w:val="15"/>
                <w:szCs w:val="15"/>
                <w:color w:val="auto"/>
              </w:rPr>
            </w:pPr>
          </w:p>
        </w:tc>
        <w:tc>
          <w:tcPr>
            <w:tcW w:w="8160" w:type="dxa"/>
            <w:vAlign w:val="bottom"/>
            <w:gridSpan w:val="24"/>
          </w:tcPr>
          <w:p>
            <w:pPr>
              <w:spacing w:after="0" w:line="180" w:lineRule="exact"/>
              <w:rPr>
                <w:sz w:val="20"/>
                <w:szCs w:val="20"/>
                <w:color w:val="auto"/>
              </w:rPr>
            </w:pPr>
            <w:r>
              <w:rPr>
                <w:rFonts w:ascii="Arial" w:cs="Arial" w:eastAsia="Arial" w:hAnsi="Arial"/>
                <w:sz w:val="20"/>
                <w:szCs w:val="20"/>
                <w:color w:val="auto"/>
                <w:w w:val="94"/>
              </w:rPr>
              <w:t>Incorporated herein by reference to Exhibit 10.1 to LP’s Current Report on Form 8-K, filed on May</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840" w:type="dxa"/>
            <w:vAlign w:val="bottom"/>
            <w:tcBorders>
              <w:top w:val="single" w:sz="8" w:color="auto"/>
              <w:bottom w:val="single" w:sz="8" w:color="auto"/>
            </w:tcBorders>
            <w:gridSpan w:val="2"/>
          </w:tcPr>
          <w:p>
            <w:pPr>
              <w:spacing w:after="0" w:line="180" w:lineRule="exact"/>
              <w:rPr>
                <w:sz w:val="20"/>
                <w:szCs w:val="20"/>
                <w:color w:val="auto"/>
              </w:rPr>
            </w:pPr>
            <w:r>
              <w:rPr>
                <w:rFonts w:ascii="Arial" w:cs="Arial" w:eastAsia="Arial" w:hAnsi="Arial"/>
                <w:sz w:val="20"/>
                <w:szCs w:val="20"/>
                <w:color w:val="auto"/>
                <w:w w:val="89"/>
              </w:rPr>
              <w:t>14, 2019.*</w:t>
            </w:r>
          </w:p>
        </w:tc>
        <w:tc>
          <w:tcPr>
            <w:tcW w:w="15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294967237"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880" w:type="dxa"/>
            <w:vAlign w:val="bottom"/>
            <w:vMerge w:val="restart"/>
          </w:tcPr>
          <w:p>
            <w:pPr>
              <w:jc w:val="center"/>
              <w:ind w:right="320"/>
              <w:spacing w:after="0"/>
              <w:rPr>
                <w:sz w:val="20"/>
                <w:szCs w:val="20"/>
                <w:color w:val="auto"/>
              </w:rPr>
            </w:pPr>
            <w:r>
              <w:rPr>
                <w:rFonts w:ascii="Arial" w:cs="Arial" w:eastAsia="Arial" w:hAnsi="Arial"/>
                <w:sz w:val="20"/>
                <w:szCs w:val="20"/>
                <w:color w:val="auto"/>
                <w:w w:val="91"/>
              </w:rPr>
              <w:t>10.11</w:t>
            </w:r>
          </w:p>
        </w:tc>
        <w:tc>
          <w:tcPr>
            <w:tcW w:w="8160" w:type="dxa"/>
            <w:vAlign w:val="bottom"/>
            <w:tcBorders>
              <w:bottom w:val="single" w:sz="8" w:color="auto"/>
            </w:tcBorders>
            <w:gridSpan w:val="24"/>
          </w:tcPr>
          <w:p>
            <w:pPr>
              <w:spacing w:after="0"/>
              <w:rPr>
                <w:sz w:val="20"/>
                <w:szCs w:val="20"/>
                <w:color w:val="auto"/>
              </w:rPr>
            </w:pPr>
            <w:r>
              <w:rPr>
                <w:rFonts w:ascii="Arial" w:cs="Arial" w:eastAsia="Arial" w:hAnsi="Arial"/>
                <w:sz w:val="20"/>
                <w:szCs w:val="20"/>
                <w:color w:val="auto"/>
                <w:w w:val="95"/>
              </w:rPr>
              <w:t>Form of Severance Agreement between Louisiana-Pacific Corporation and Certain Officers other</w:t>
            </w:r>
          </w:p>
        </w:tc>
        <w:tc>
          <w:tcPr>
            <w:tcW w:w="0" w:type="dxa"/>
            <w:vAlign w:val="bottom"/>
          </w:tcPr>
          <w:p>
            <w:pPr>
              <w:spacing w:after="0"/>
              <w:rPr>
                <w:sz w:val="1"/>
                <w:szCs w:val="1"/>
                <w:color w:val="auto"/>
              </w:rPr>
            </w:pPr>
          </w:p>
        </w:tc>
      </w:tr>
      <w:tr>
        <w:trPr>
          <w:trHeight w:val="180"/>
        </w:trPr>
        <w:tc>
          <w:tcPr>
            <w:tcW w:w="880" w:type="dxa"/>
            <w:vAlign w:val="bottom"/>
            <w:vMerge w:val="continue"/>
          </w:tcPr>
          <w:p>
            <w:pPr>
              <w:spacing w:after="0"/>
              <w:rPr>
                <w:sz w:val="15"/>
                <w:szCs w:val="15"/>
                <w:color w:val="auto"/>
              </w:rPr>
            </w:pPr>
          </w:p>
        </w:tc>
        <w:tc>
          <w:tcPr>
            <w:tcW w:w="8160" w:type="dxa"/>
            <w:vAlign w:val="bottom"/>
            <w:gridSpan w:val="24"/>
          </w:tcPr>
          <w:p>
            <w:pPr>
              <w:spacing w:after="0" w:line="180" w:lineRule="exact"/>
              <w:rPr>
                <w:sz w:val="20"/>
                <w:szCs w:val="20"/>
                <w:color w:val="auto"/>
              </w:rPr>
            </w:pPr>
            <w:r>
              <w:rPr>
                <w:rFonts w:ascii="Arial" w:cs="Arial" w:eastAsia="Arial" w:hAnsi="Arial"/>
                <w:sz w:val="20"/>
                <w:szCs w:val="20"/>
                <w:color w:val="auto"/>
                <w:w w:val="99"/>
              </w:rPr>
              <w:t>than Chief Executive Officer. Incorporated herein by reference to Exhibit 10.2 to LP’s Current</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7260" w:type="dxa"/>
            <w:vAlign w:val="bottom"/>
            <w:tcBorders>
              <w:top w:val="single" w:sz="8" w:color="auto"/>
            </w:tcBorders>
            <w:gridSpan w:val="18"/>
          </w:tcPr>
          <w:p>
            <w:pPr>
              <w:spacing w:after="0" w:line="180" w:lineRule="exact"/>
              <w:rPr>
                <w:sz w:val="20"/>
                <w:szCs w:val="20"/>
                <w:color w:val="auto"/>
              </w:rPr>
            </w:pPr>
            <w:r>
              <w:rPr>
                <w:rFonts w:ascii="Arial" w:cs="Arial" w:eastAsia="Arial" w:hAnsi="Arial"/>
                <w:sz w:val="20"/>
                <w:szCs w:val="20"/>
                <w:color w:val="auto"/>
              </w:rPr>
              <w:t>Report on Form 8-K, filed on May 14, 2019.*</w:t>
            </w:r>
          </w:p>
        </w:tc>
        <w:tc>
          <w:tcPr>
            <w:tcW w:w="80" w:type="dxa"/>
            <w:vAlign w:val="bottom"/>
          </w:tcPr>
          <w:p>
            <w:pPr>
              <w:spacing w:after="0"/>
              <w:rPr>
                <w:sz w:val="15"/>
                <w:szCs w:val="15"/>
                <w:color w:val="auto"/>
              </w:rPr>
            </w:pPr>
          </w:p>
        </w:tc>
        <w:tc>
          <w:tcPr>
            <w:tcW w:w="840" w:type="dxa"/>
            <w:vAlign w:val="bottom"/>
            <w:tcBorders>
              <w:top w:val="single" w:sz="8" w:color="auto"/>
            </w:tcBorders>
            <w:gridSpan w:val="2"/>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294967257" w:type="dxa"/>
            <w:vAlign w:val="bottom"/>
            <w:tcBorders>
              <w:top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60" w:type="dxa"/>
            <w:vAlign w:val="bottom"/>
            <w:gridSpan w:val="5"/>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80" w:type="dxa"/>
            <w:vAlign w:val="bottom"/>
            <w:vMerge w:val="restart"/>
          </w:tcPr>
          <w:p>
            <w:pPr>
              <w:jc w:val="center"/>
              <w:ind w:right="320"/>
              <w:spacing w:after="0"/>
              <w:rPr>
                <w:sz w:val="20"/>
                <w:szCs w:val="20"/>
                <w:color w:val="auto"/>
              </w:rPr>
            </w:pPr>
            <w:r>
              <w:rPr>
                <w:rFonts w:ascii="Arial" w:cs="Arial" w:eastAsia="Arial" w:hAnsi="Arial"/>
                <w:sz w:val="20"/>
                <w:szCs w:val="20"/>
                <w:color w:val="auto"/>
                <w:w w:val="91"/>
              </w:rPr>
              <w:t>10.12</w:t>
            </w:r>
          </w:p>
        </w:tc>
        <w:tc>
          <w:tcPr>
            <w:tcW w:w="8160" w:type="dxa"/>
            <w:vAlign w:val="bottom"/>
            <w:tcBorders>
              <w:bottom w:val="single" w:sz="8" w:color="auto"/>
            </w:tcBorders>
            <w:gridSpan w:val="24"/>
          </w:tcPr>
          <w:p>
            <w:pPr>
              <w:spacing w:after="0"/>
              <w:rPr>
                <w:sz w:val="20"/>
                <w:szCs w:val="20"/>
                <w:color w:val="auto"/>
              </w:rPr>
            </w:pPr>
            <w:r>
              <w:rPr>
                <w:rFonts w:ascii="Arial" w:cs="Arial" w:eastAsia="Arial" w:hAnsi="Arial"/>
                <w:sz w:val="20"/>
                <w:szCs w:val="20"/>
                <w:color w:val="auto"/>
                <w:w w:val="91"/>
              </w:rPr>
              <w:t>Amended and Restated Louisiana-Pacific Corporation Non-Employee Directors Compensation Plan.</w:t>
            </w:r>
          </w:p>
        </w:tc>
        <w:tc>
          <w:tcPr>
            <w:tcW w:w="0" w:type="dxa"/>
            <w:vAlign w:val="bottom"/>
          </w:tcPr>
          <w:p>
            <w:pPr>
              <w:spacing w:after="0"/>
              <w:rPr>
                <w:sz w:val="1"/>
                <w:szCs w:val="1"/>
                <w:color w:val="auto"/>
              </w:rPr>
            </w:pPr>
          </w:p>
        </w:tc>
      </w:tr>
      <w:tr>
        <w:trPr>
          <w:trHeight w:val="180"/>
        </w:trPr>
        <w:tc>
          <w:tcPr>
            <w:tcW w:w="880" w:type="dxa"/>
            <w:vAlign w:val="bottom"/>
            <w:vMerge w:val="continue"/>
          </w:tcPr>
          <w:p>
            <w:pPr>
              <w:spacing w:after="0"/>
              <w:rPr>
                <w:sz w:val="15"/>
                <w:szCs w:val="15"/>
                <w:color w:val="auto"/>
              </w:rPr>
            </w:pPr>
          </w:p>
        </w:tc>
        <w:tc>
          <w:tcPr>
            <w:tcW w:w="8160" w:type="dxa"/>
            <w:vAlign w:val="bottom"/>
            <w:tcBorders>
              <w:bottom w:val="single" w:sz="8" w:color="auto"/>
            </w:tcBorders>
            <w:gridSpan w:val="24"/>
          </w:tcPr>
          <w:p>
            <w:pPr>
              <w:spacing w:after="0" w:line="180" w:lineRule="exact"/>
              <w:rPr>
                <w:sz w:val="20"/>
                <w:szCs w:val="20"/>
                <w:color w:val="auto"/>
              </w:rPr>
            </w:pPr>
            <w:r>
              <w:rPr>
                <w:rFonts w:ascii="Arial" w:cs="Arial" w:eastAsia="Arial" w:hAnsi="Arial"/>
                <w:sz w:val="20"/>
                <w:szCs w:val="20"/>
                <w:color w:val="auto"/>
                <w:w w:val="97"/>
              </w:rPr>
              <w:t>Incorporated herein by reference to Exhibit 10.2 to LP’s Quarterly Report on Form 10-Q for the</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8160" w:type="dxa"/>
            <w:vAlign w:val="bottom"/>
            <w:gridSpan w:val="24"/>
          </w:tcPr>
          <w:p>
            <w:pPr>
              <w:spacing w:after="0" w:line="180" w:lineRule="exact"/>
              <w:rPr>
                <w:sz w:val="20"/>
                <w:szCs w:val="20"/>
                <w:color w:val="auto"/>
              </w:rPr>
            </w:pPr>
            <w:r>
              <w:rPr>
                <w:rFonts w:ascii="Arial" w:cs="Arial" w:eastAsia="Arial" w:hAnsi="Arial"/>
                <w:sz w:val="20"/>
                <w:szCs w:val="20"/>
                <w:color w:val="auto"/>
              </w:rPr>
              <w:t>quarter ended June 30, 2020.*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40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880" w:type="dxa"/>
            <w:vAlign w:val="bottom"/>
            <w:vMerge w:val="restart"/>
          </w:tcPr>
          <w:p>
            <w:pPr>
              <w:jc w:val="center"/>
              <w:ind w:right="320"/>
              <w:spacing w:after="0"/>
              <w:rPr>
                <w:sz w:val="20"/>
                <w:szCs w:val="20"/>
                <w:color w:val="auto"/>
              </w:rPr>
            </w:pPr>
            <w:r>
              <w:rPr>
                <w:rFonts w:ascii="Arial" w:cs="Arial" w:eastAsia="Arial" w:hAnsi="Arial"/>
                <w:sz w:val="20"/>
                <w:szCs w:val="20"/>
                <w:color w:val="auto"/>
                <w:w w:val="91"/>
              </w:rPr>
              <w:t>10.13</w:t>
            </w:r>
          </w:p>
        </w:tc>
        <w:tc>
          <w:tcPr>
            <w:tcW w:w="8160" w:type="dxa"/>
            <w:vAlign w:val="bottom"/>
            <w:tcBorders>
              <w:bottom w:val="single" w:sz="8" w:color="auto"/>
            </w:tcBorders>
            <w:gridSpan w:val="24"/>
          </w:tcPr>
          <w:p>
            <w:pPr>
              <w:spacing w:after="0"/>
              <w:rPr>
                <w:sz w:val="20"/>
                <w:szCs w:val="20"/>
                <w:color w:val="auto"/>
              </w:rPr>
            </w:pPr>
            <w:r>
              <w:rPr>
                <w:rFonts w:ascii="Arial" w:cs="Arial" w:eastAsia="Arial" w:hAnsi="Arial"/>
                <w:sz w:val="20"/>
                <w:szCs w:val="20"/>
                <w:color w:val="auto"/>
                <w:w w:val="91"/>
              </w:rPr>
              <w:t>Amended and Restated Louisiana-Pacific Corporation Non-Employee Directors Compensation Plan.</w:t>
            </w:r>
          </w:p>
        </w:tc>
        <w:tc>
          <w:tcPr>
            <w:tcW w:w="0" w:type="dxa"/>
            <w:vAlign w:val="bottom"/>
          </w:tcPr>
          <w:p>
            <w:pPr>
              <w:spacing w:after="0"/>
              <w:rPr>
                <w:sz w:val="1"/>
                <w:szCs w:val="1"/>
                <w:color w:val="auto"/>
              </w:rPr>
            </w:pPr>
          </w:p>
        </w:tc>
      </w:tr>
      <w:tr>
        <w:trPr>
          <w:trHeight w:val="180"/>
        </w:trPr>
        <w:tc>
          <w:tcPr>
            <w:tcW w:w="880" w:type="dxa"/>
            <w:vAlign w:val="bottom"/>
            <w:vMerge w:val="continue"/>
          </w:tcPr>
          <w:p>
            <w:pPr>
              <w:spacing w:after="0"/>
              <w:rPr>
                <w:sz w:val="15"/>
                <w:szCs w:val="15"/>
                <w:color w:val="auto"/>
              </w:rPr>
            </w:pPr>
          </w:p>
        </w:tc>
        <w:tc>
          <w:tcPr>
            <w:tcW w:w="8160" w:type="dxa"/>
            <w:vAlign w:val="bottom"/>
            <w:tcBorders>
              <w:bottom w:val="single" w:sz="8" w:color="auto"/>
            </w:tcBorders>
            <w:gridSpan w:val="24"/>
          </w:tcPr>
          <w:p>
            <w:pPr>
              <w:spacing w:after="0" w:line="180" w:lineRule="exact"/>
              <w:rPr>
                <w:sz w:val="20"/>
                <w:szCs w:val="20"/>
                <w:color w:val="auto"/>
              </w:rPr>
            </w:pPr>
            <w:r>
              <w:rPr>
                <w:rFonts w:ascii="Arial" w:cs="Arial" w:eastAsia="Arial" w:hAnsi="Arial"/>
                <w:sz w:val="20"/>
                <w:szCs w:val="20"/>
                <w:color w:val="auto"/>
                <w:w w:val="97"/>
              </w:rPr>
              <w:t>Incorporated herein by reference to Exhibit 10.8 to LP’s Quarterly Report on Form 10-Q for the</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8160" w:type="dxa"/>
            <w:vAlign w:val="bottom"/>
            <w:gridSpan w:val="24"/>
          </w:tcPr>
          <w:p>
            <w:pPr>
              <w:spacing w:after="0" w:line="180" w:lineRule="exact"/>
              <w:rPr>
                <w:sz w:val="20"/>
                <w:szCs w:val="20"/>
                <w:color w:val="auto"/>
              </w:rPr>
            </w:pPr>
            <w:r>
              <w:rPr>
                <w:rFonts w:ascii="Arial" w:cs="Arial" w:eastAsia="Arial" w:hAnsi="Arial"/>
                <w:sz w:val="20"/>
                <w:szCs w:val="20"/>
                <w:color w:val="auto"/>
              </w:rPr>
              <w:t>quarter ended March 31, 2022.*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60" w:type="dxa"/>
            <w:vAlign w:val="bottom"/>
            <w:gridSpan w:val="5"/>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880" w:type="dxa"/>
            <w:vAlign w:val="bottom"/>
            <w:vMerge w:val="restart"/>
          </w:tcPr>
          <w:p>
            <w:pPr>
              <w:jc w:val="center"/>
              <w:ind w:right="320"/>
              <w:spacing w:after="0"/>
              <w:rPr>
                <w:sz w:val="20"/>
                <w:szCs w:val="20"/>
                <w:color w:val="auto"/>
              </w:rPr>
            </w:pPr>
            <w:r>
              <w:rPr>
                <w:rFonts w:ascii="Arial" w:cs="Arial" w:eastAsia="Arial" w:hAnsi="Arial"/>
                <w:sz w:val="20"/>
                <w:szCs w:val="20"/>
                <w:color w:val="auto"/>
                <w:w w:val="91"/>
              </w:rPr>
              <w:t>10.14</w:t>
            </w:r>
          </w:p>
        </w:tc>
        <w:tc>
          <w:tcPr>
            <w:tcW w:w="8160" w:type="dxa"/>
            <w:vAlign w:val="bottom"/>
            <w:gridSpan w:val="24"/>
          </w:tcPr>
          <w:p>
            <w:pPr>
              <w:spacing w:after="0"/>
              <w:rPr>
                <w:sz w:val="20"/>
                <w:szCs w:val="20"/>
                <w:color w:val="auto"/>
              </w:rPr>
            </w:pPr>
            <w:r>
              <w:rPr>
                <w:rFonts w:ascii="Arial" w:cs="Arial" w:eastAsia="Arial" w:hAnsi="Arial"/>
                <w:sz w:val="20"/>
                <w:szCs w:val="20"/>
                <w:color w:val="auto"/>
                <w:w w:val="95"/>
              </w:rPr>
              <w:t>2022 Omnibus Stock Award Plan. Incorporated herein by reference to Annex A to LP’s Definitive</w:t>
            </w: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4940" w:type="dxa"/>
            <w:vAlign w:val="bottom"/>
            <w:tcBorders>
              <w:top w:val="single" w:sz="8" w:color="auto"/>
            </w:tcBorders>
            <w:gridSpan w:val="14"/>
            <w:vMerge w:val="restart"/>
          </w:tcPr>
          <w:p>
            <w:pPr>
              <w:spacing w:after="0" w:line="180" w:lineRule="exact"/>
              <w:rPr>
                <w:sz w:val="20"/>
                <w:szCs w:val="20"/>
                <w:color w:val="auto"/>
              </w:rPr>
            </w:pPr>
            <w:r>
              <w:rPr>
                <w:rFonts w:ascii="Arial" w:cs="Arial" w:eastAsia="Arial" w:hAnsi="Arial"/>
                <w:sz w:val="20"/>
                <w:szCs w:val="20"/>
                <w:color w:val="auto"/>
                <w:w w:val="91"/>
              </w:rPr>
              <w:t>Proxy Statement on Schedule 14A, filed on March 18, 2022.*</w:t>
            </w:r>
          </w:p>
        </w:tc>
        <w:tc>
          <w:tcPr>
            <w:tcW w:w="2160" w:type="dxa"/>
            <w:vAlign w:val="bottom"/>
            <w:tcBorders>
              <w:top w:val="single" w:sz="8" w:color="auto"/>
            </w:tcBorders>
            <w:gridSpan w:val="2"/>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1000" w:type="dxa"/>
            <w:vAlign w:val="bottom"/>
            <w:tcBorders>
              <w:top w:val="single" w:sz="8" w:color="auto"/>
            </w:tcBorders>
            <w:gridSpan w:val="7"/>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4"/>
                <w:szCs w:val="4"/>
                <w:color w:val="auto"/>
              </w:rPr>
            </w:pPr>
          </w:p>
        </w:tc>
        <w:tc>
          <w:tcPr>
            <w:tcW w:w="4940" w:type="dxa"/>
            <w:vAlign w:val="bottom"/>
            <w:tcBorders>
              <w:bottom w:val="single" w:sz="8" w:color="auto"/>
            </w:tcBorders>
            <w:gridSpan w:val="14"/>
            <w:vMerge w:val="continue"/>
          </w:tcPr>
          <w:p>
            <w:pPr>
              <w:spacing w:after="0"/>
              <w:rPr>
                <w:sz w:val="4"/>
                <w:szCs w:val="4"/>
                <w:color w:val="auto"/>
              </w:rPr>
            </w:pPr>
          </w:p>
        </w:tc>
        <w:tc>
          <w:tcPr>
            <w:tcW w:w="216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00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880" w:type="dxa"/>
            <w:vAlign w:val="bottom"/>
            <w:vMerge w:val="restart"/>
          </w:tcPr>
          <w:p>
            <w:pPr>
              <w:jc w:val="center"/>
              <w:ind w:right="320"/>
              <w:spacing w:after="0"/>
              <w:rPr>
                <w:sz w:val="20"/>
                <w:szCs w:val="20"/>
                <w:color w:val="auto"/>
              </w:rPr>
            </w:pPr>
            <w:r>
              <w:rPr>
                <w:rFonts w:ascii="Arial" w:cs="Arial" w:eastAsia="Arial" w:hAnsi="Arial"/>
                <w:sz w:val="20"/>
                <w:szCs w:val="20"/>
                <w:color w:val="auto"/>
                <w:w w:val="91"/>
              </w:rPr>
              <w:t>10.15</w:t>
            </w:r>
          </w:p>
        </w:tc>
        <w:tc>
          <w:tcPr>
            <w:tcW w:w="8160" w:type="dxa"/>
            <w:vAlign w:val="bottom"/>
            <w:gridSpan w:val="24"/>
          </w:tcPr>
          <w:p>
            <w:pPr>
              <w:spacing w:after="0"/>
              <w:rPr>
                <w:sz w:val="20"/>
                <w:szCs w:val="20"/>
                <w:color w:val="auto"/>
              </w:rPr>
            </w:pPr>
            <w:r>
              <w:rPr>
                <w:rFonts w:ascii="Arial" w:cs="Arial" w:eastAsia="Arial" w:hAnsi="Arial"/>
                <w:sz w:val="20"/>
                <w:szCs w:val="20"/>
                <w:color w:val="auto"/>
                <w:w w:val="99"/>
              </w:rPr>
              <w:t>Form of Restricted Stock Unit Award Agreement under the 2022 Omnibus Stock Award Plan.</w:t>
            </w:r>
          </w:p>
        </w:tc>
        <w:tc>
          <w:tcPr>
            <w:tcW w:w="0" w:type="dxa"/>
            <w:vAlign w:val="bottom"/>
          </w:tcPr>
          <w:p>
            <w:pPr>
              <w:spacing w:after="0"/>
              <w:rPr>
                <w:sz w:val="1"/>
                <w:szCs w:val="1"/>
                <w:color w:val="auto"/>
              </w:rPr>
            </w:pPr>
          </w:p>
        </w:tc>
      </w:tr>
      <w:tr>
        <w:trPr>
          <w:trHeight w:val="180"/>
        </w:trPr>
        <w:tc>
          <w:tcPr>
            <w:tcW w:w="880" w:type="dxa"/>
            <w:vAlign w:val="bottom"/>
            <w:vMerge w:val="continue"/>
          </w:tcPr>
          <w:p>
            <w:pPr>
              <w:spacing w:after="0"/>
              <w:rPr>
                <w:sz w:val="15"/>
                <w:szCs w:val="15"/>
                <w:color w:val="auto"/>
              </w:rPr>
            </w:pPr>
          </w:p>
        </w:tc>
        <w:tc>
          <w:tcPr>
            <w:tcW w:w="8180" w:type="dxa"/>
            <w:vAlign w:val="bottom"/>
            <w:tcBorders>
              <w:top w:val="single" w:sz="8" w:color="auto"/>
              <w:bottom w:val="single" w:sz="8" w:color="auto"/>
            </w:tcBorders>
            <w:gridSpan w:val="21"/>
          </w:tcPr>
          <w:p>
            <w:pPr>
              <w:spacing w:after="0" w:line="180" w:lineRule="exact"/>
              <w:rPr>
                <w:sz w:val="20"/>
                <w:szCs w:val="20"/>
                <w:color w:val="auto"/>
              </w:rPr>
            </w:pPr>
            <w:r>
              <w:rPr>
                <w:rFonts w:ascii="Arial" w:cs="Arial" w:eastAsia="Arial" w:hAnsi="Arial"/>
                <w:sz w:val="20"/>
                <w:szCs w:val="20"/>
                <w:color w:val="auto"/>
                <w:w w:val="97"/>
              </w:rPr>
              <w:t>Incorporated herein by reference to Exhibit 10.2 to LP’s Quarterly Report on Form 10-Q for the</w:t>
            </w:r>
          </w:p>
        </w:tc>
        <w:tc>
          <w:tcPr>
            <w:tcW w:w="20" w:type="dxa"/>
            <w:vAlign w:val="bottom"/>
            <w:tcBorders>
              <w:bottom w:val="single" w:sz="8" w:color="auto"/>
            </w:tcBorders>
          </w:tcPr>
          <w:p>
            <w:pPr>
              <w:spacing w:after="0"/>
              <w:rPr>
                <w:sz w:val="15"/>
                <w:szCs w:val="15"/>
                <w:color w:val="auto"/>
              </w:rPr>
            </w:pPr>
          </w:p>
        </w:tc>
        <w:tc>
          <w:tcPr>
            <w:tcW w:w="4294967257"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8160" w:type="dxa"/>
            <w:vAlign w:val="bottom"/>
            <w:gridSpan w:val="24"/>
          </w:tcPr>
          <w:p>
            <w:pPr>
              <w:spacing w:after="0" w:line="180" w:lineRule="exact"/>
              <w:rPr>
                <w:sz w:val="20"/>
                <w:szCs w:val="20"/>
                <w:color w:val="auto"/>
              </w:rPr>
            </w:pPr>
            <w:r>
              <w:rPr>
                <w:rFonts w:ascii="Arial" w:cs="Arial" w:eastAsia="Arial" w:hAnsi="Arial"/>
                <w:sz w:val="20"/>
                <w:szCs w:val="20"/>
                <w:color w:val="auto"/>
              </w:rPr>
              <w:t>quarter ended March 31, 2024.*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60" w:type="dxa"/>
            <w:vAlign w:val="bottom"/>
            <w:gridSpan w:val="5"/>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20" w:type="dxa"/>
            <w:vAlign w:val="bottom"/>
            <w:gridSpan w:val="16"/>
          </w:tcPr>
          <w:p>
            <w:pPr>
              <w:spacing w:after="0" w:line="20" w:lineRule="exact"/>
              <w:rPr>
                <w:sz w:val="1"/>
                <w:szCs w:val="1"/>
                <w:color w:val="auto"/>
              </w:rPr>
            </w:pPr>
          </w:p>
        </w:tc>
        <w:tc>
          <w:tcPr>
            <w:tcW w:w="4294967257"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880" w:type="dxa"/>
            <w:vAlign w:val="bottom"/>
            <w:vMerge w:val="restart"/>
          </w:tcPr>
          <w:p>
            <w:pPr>
              <w:jc w:val="center"/>
              <w:ind w:right="320"/>
              <w:spacing w:after="0"/>
              <w:rPr>
                <w:sz w:val="20"/>
                <w:szCs w:val="20"/>
                <w:color w:val="auto"/>
              </w:rPr>
            </w:pPr>
            <w:r>
              <w:rPr>
                <w:rFonts w:ascii="Arial" w:cs="Arial" w:eastAsia="Arial" w:hAnsi="Arial"/>
                <w:sz w:val="20"/>
                <w:szCs w:val="20"/>
                <w:color w:val="auto"/>
                <w:w w:val="91"/>
              </w:rPr>
              <w:t>10.16</w:t>
            </w:r>
          </w:p>
        </w:tc>
        <w:tc>
          <w:tcPr>
            <w:tcW w:w="8160" w:type="dxa"/>
            <w:vAlign w:val="bottom"/>
            <w:gridSpan w:val="24"/>
          </w:tcPr>
          <w:p>
            <w:pPr>
              <w:spacing w:after="0"/>
              <w:rPr>
                <w:sz w:val="20"/>
                <w:szCs w:val="20"/>
                <w:color w:val="auto"/>
              </w:rPr>
            </w:pPr>
            <w:r>
              <w:rPr>
                <w:rFonts w:ascii="Arial" w:cs="Arial" w:eastAsia="Arial" w:hAnsi="Arial"/>
                <w:sz w:val="20"/>
                <w:szCs w:val="20"/>
                <w:color w:val="auto"/>
                <w:w w:val="99"/>
              </w:rPr>
              <w:t>Form of Performance Shares Award Agreement under the 2022 Omnibus Stock Award Plan.</w:t>
            </w:r>
          </w:p>
        </w:tc>
        <w:tc>
          <w:tcPr>
            <w:tcW w:w="0" w:type="dxa"/>
            <w:vAlign w:val="bottom"/>
          </w:tcPr>
          <w:p>
            <w:pPr>
              <w:spacing w:after="0"/>
              <w:rPr>
                <w:sz w:val="1"/>
                <w:szCs w:val="1"/>
                <w:color w:val="auto"/>
              </w:rPr>
            </w:pPr>
          </w:p>
        </w:tc>
      </w:tr>
      <w:tr>
        <w:trPr>
          <w:trHeight w:val="180"/>
        </w:trPr>
        <w:tc>
          <w:tcPr>
            <w:tcW w:w="880" w:type="dxa"/>
            <w:vAlign w:val="bottom"/>
            <w:vMerge w:val="continue"/>
          </w:tcPr>
          <w:p>
            <w:pPr>
              <w:spacing w:after="0"/>
              <w:rPr>
                <w:sz w:val="15"/>
                <w:szCs w:val="15"/>
                <w:color w:val="auto"/>
              </w:rPr>
            </w:pPr>
          </w:p>
        </w:tc>
        <w:tc>
          <w:tcPr>
            <w:tcW w:w="8200" w:type="dxa"/>
            <w:vAlign w:val="bottom"/>
            <w:tcBorders>
              <w:top w:val="single" w:sz="8" w:color="auto"/>
              <w:bottom w:val="single" w:sz="8" w:color="auto"/>
            </w:tcBorders>
            <w:gridSpan w:val="22"/>
          </w:tcPr>
          <w:p>
            <w:pPr>
              <w:spacing w:after="0" w:line="180" w:lineRule="exact"/>
              <w:rPr>
                <w:sz w:val="20"/>
                <w:szCs w:val="20"/>
                <w:color w:val="auto"/>
              </w:rPr>
            </w:pPr>
            <w:r>
              <w:rPr>
                <w:rFonts w:ascii="Arial" w:cs="Arial" w:eastAsia="Arial" w:hAnsi="Arial"/>
                <w:sz w:val="20"/>
                <w:szCs w:val="20"/>
                <w:color w:val="auto"/>
                <w:w w:val="97"/>
              </w:rPr>
              <w:t>Incorporated herein by reference to Exhibit 10.3 to LP’s Quarterly Report on Form 10-Q for the</w:t>
            </w:r>
          </w:p>
        </w:tc>
        <w:tc>
          <w:tcPr>
            <w:tcW w:w="4294967257"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8160" w:type="dxa"/>
            <w:vAlign w:val="bottom"/>
            <w:gridSpan w:val="24"/>
          </w:tcPr>
          <w:p>
            <w:pPr>
              <w:spacing w:after="0" w:line="180" w:lineRule="exact"/>
              <w:rPr>
                <w:sz w:val="20"/>
                <w:szCs w:val="20"/>
                <w:color w:val="auto"/>
              </w:rPr>
            </w:pPr>
            <w:r>
              <w:rPr>
                <w:rFonts w:ascii="Arial" w:cs="Arial" w:eastAsia="Arial" w:hAnsi="Arial"/>
                <w:sz w:val="20"/>
                <w:szCs w:val="20"/>
                <w:color w:val="auto"/>
              </w:rPr>
              <w:t>quarter ended March 31, 2024.*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60" w:type="dxa"/>
            <w:vAlign w:val="bottom"/>
            <w:gridSpan w:val="5"/>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880" w:type="dxa"/>
            <w:vAlign w:val="bottom"/>
            <w:vMerge w:val="restart"/>
          </w:tcPr>
          <w:p>
            <w:pPr>
              <w:jc w:val="center"/>
              <w:ind w:right="320"/>
              <w:spacing w:after="0"/>
              <w:rPr>
                <w:sz w:val="20"/>
                <w:szCs w:val="20"/>
                <w:color w:val="auto"/>
              </w:rPr>
            </w:pPr>
            <w:r>
              <w:rPr>
                <w:rFonts w:ascii="Arial" w:cs="Arial" w:eastAsia="Arial" w:hAnsi="Arial"/>
                <w:sz w:val="20"/>
                <w:szCs w:val="20"/>
                <w:color w:val="auto"/>
                <w:w w:val="91"/>
              </w:rPr>
              <w:t>10.17</w:t>
            </w:r>
          </w:p>
        </w:tc>
        <w:tc>
          <w:tcPr>
            <w:tcW w:w="8160" w:type="dxa"/>
            <w:vAlign w:val="bottom"/>
            <w:tcBorders>
              <w:bottom w:val="single" w:sz="8" w:color="auto"/>
            </w:tcBorders>
            <w:gridSpan w:val="24"/>
          </w:tcPr>
          <w:p>
            <w:pPr>
              <w:spacing w:after="0"/>
              <w:rPr>
                <w:sz w:val="20"/>
                <w:szCs w:val="20"/>
                <w:color w:val="auto"/>
              </w:rPr>
            </w:pPr>
            <w:r>
              <w:rPr>
                <w:rFonts w:ascii="Arial" w:cs="Arial" w:eastAsia="Arial" w:hAnsi="Arial"/>
                <w:sz w:val="20"/>
                <w:szCs w:val="20"/>
                <w:color w:val="auto"/>
                <w:w w:val="99"/>
              </w:rPr>
              <w:t>Form of Restricted Stock Unit Award Agreement for directors under the 2022 Omnibus Stock</w:t>
            </w:r>
          </w:p>
        </w:tc>
        <w:tc>
          <w:tcPr>
            <w:tcW w:w="0" w:type="dxa"/>
            <w:vAlign w:val="bottom"/>
          </w:tcPr>
          <w:p>
            <w:pPr>
              <w:spacing w:after="0"/>
              <w:rPr>
                <w:sz w:val="1"/>
                <w:szCs w:val="1"/>
                <w:color w:val="auto"/>
              </w:rPr>
            </w:pPr>
          </w:p>
        </w:tc>
      </w:tr>
      <w:tr>
        <w:trPr>
          <w:trHeight w:val="180"/>
        </w:trPr>
        <w:tc>
          <w:tcPr>
            <w:tcW w:w="880" w:type="dxa"/>
            <w:vAlign w:val="bottom"/>
            <w:vMerge w:val="continue"/>
          </w:tcPr>
          <w:p>
            <w:pPr>
              <w:spacing w:after="0"/>
              <w:rPr>
                <w:sz w:val="15"/>
                <w:szCs w:val="15"/>
                <w:color w:val="auto"/>
              </w:rPr>
            </w:pPr>
          </w:p>
        </w:tc>
        <w:tc>
          <w:tcPr>
            <w:tcW w:w="8160" w:type="dxa"/>
            <w:vAlign w:val="bottom"/>
            <w:tcBorders>
              <w:bottom w:val="single" w:sz="8" w:color="auto"/>
            </w:tcBorders>
            <w:gridSpan w:val="24"/>
          </w:tcPr>
          <w:p>
            <w:pPr>
              <w:spacing w:after="0" w:line="180" w:lineRule="exact"/>
              <w:rPr>
                <w:sz w:val="20"/>
                <w:szCs w:val="20"/>
                <w:color w:val="auto"/>
              </w:rPr>
            </w:pPr>
            <w:r>
              <w:rPr>
                <w:rFonts w:ascii="Arial" w:cs="Arial" w:eastAsia="Arial" w:hAnsi="Arial"/>
                <w:sz w:val="20"/>
                <w:szCs w:val="20"/>
                <w:color w:val="auto"/>
                <w:w w:val="91"/>
              </w:rPr>
              <w:t>Award Plan. Incorporated herein by reference to Exhibit 10.2 to LP's Quarterly Report on Form 10-Q</w:t>
            </w:r>
          </w:p>
        </w:tc>
        <w:tc>
          <w:tcPr>
            <w:tcW w:w="0" w:type="dxa"/>
            <w:vAlign w:val="bottom"/>
          </w:tcPr>
          <w:p>
            <w:pPr>
              <w:spacing w:after="0"/>
              <w:rPr>
                <w:sz w:val="1"/>
                <w:szCs w:val="1"/>
                <w:color w:val="auto"/>
              </w:rPr>
            </w:pPr>
          </w:p>
        </w:tc>
      </w:tr>
      <w:tr>
        <w:trPr>
          <w:trHeight w:val="180"/>
        </w:trPr>
        <w:tc>
          <w:tcPr>
            <w:tcW w:w="880" w:type="dxa"/>
            <w:vAlign w:val="bottom"/>
          </w:tcPr>
          <w:p>
            <w:pPr>
              <w:spacing w:after="0"/>
              <w:rPr>
                <w:sz w:val="15"/>
                <w:szCs w:val="15"/>
                <w:color w:val="auto"/>
              </w:rPr>
            </w:pPr>
          </w:p>
        </w:tc>
        <w:tc>
          <w:tcPr>
            <w:tcW w:w="8160" w:type="dxa"/>
            <w:vAlign w:val="bottom"/>
            <w:gridSpan w:val="24"/>
          </w:tcPr>
          <w:p>
            <w:pPr>
              <w:spacing w:after="0" w:line="180" w:lineRule="exact"/>
              <w:rPr>
                <w:sz w:val="20"/>
                <w:szCs w:val="20"/>
                <w:color w:val="auto"/>
              </w:rPr>
            </w:pPr>
            <w:r>
              <w:rPr>
                <w:rFonts w:ascii="Arial" w:cs="Arial" w:eastAsia="Arial" w:hAnsi="Arial"/>
                <w:sz w:val="20"/>
                <w:szCs w:val="20"/>
                <w:color w:val="auto"/>
              </w:rPr>
              <w:t>for the quarter ended June 30, 2025.*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80" w:type="dxa"/>
            <w:vAlign w:val="bottom"/>
            <w:vMerge w:val="restart"/>
          </w:tcPr>
          <w:p>
            <w:pPr>
              <w:jc w:val="right"/>
              <w:ind w:right="320"/>
              <w:spacing w:after="0"/>
              <w:rPr>
                <w:sz w:val="20"/>
                <w:szCs w:val="20"/>
                <w:color w:val="auto"/>
              </w:rPr>
            </w:pPr>
            <w:r>
              <w:rPr>
                <w:rFonts w:ascii="Arial" w:cs="Arial" w:eastAsia="Arial" w:hAnsi="Arial"/>
                <w:sz w:val="20"/>
                <w:szCs w:val="20"/>
                <w:color w:val="auto"/>
                <w:w w:val="87"/>
              </w:rPr>
              <w:t>10.18</w:t>
            </w:r>
          </w:p>
        </w:tc>
        <w:tc>
          <w:tcPr>
            <w:tcW w:w="81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6"/>
              </w:rPr>
              <w:t>Form of Change of Control Employment Agreement. Incorporated herein by reference to Exhibit</w:t>
            </w: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6780" w:type="dxa"/>
            <w:vAlign w:val="bottom"/>
            <w:vMerge w:val="restart"/>
          </w:tcPr>
          <w:p>
            <w:pPr>
              <w:spacing w:after="0" w:line="180" w:lineRule="exact"/>
              <w:rPr>
                <w:sz w:val="20"/>
                <w:szCs w:val="20"/>
                <w:color w:val="auto"/>
              </w:rPr>
            </w:pPr>
            <w:r>
              <w:rPr>
                <w:rFonts w:ascii="Arial" w:cs="Arial" w:eastAsia="Arial" w:hAnsi="Arial"/>
                <w:sz w:val="20"/>
                <w:szCs w:val="20"/>
                <w:color w:val="auto"/>
                <w:w w:val="91"/>
              </w:rPr>
              <w:t>10.</w:t>
            </w:r>
            <w:r>
              <w:rPr>
                <w:rFonts w:ascii="Arial" w:cs="Arial" w:eastAsia="Arial" w:hAnsi="Arial"/>
                <w:sz w:val="20"/>
                <w:szCs w:val="20"/>
                <w:u w:val="single" w:color="auto"/>
                <w:color w:val="auto"/>
                <w:w w:val="91"/>
              </w:rPr>
              <w:t>25</w:t>
            </w:r>
            <w:r>
              <w:rPr>
                <w:rFonts w:ascii="Arial" w:cs="Arial" w:eastAsia="Arial" w:hAnsi="Arial"/>
                <w:sz w:val="20"/>
                <w:szCs w:val="20"/>
                <w:color w:val="auto"/>
                <w:w w:val="91"/>
              </w:rPr>
              <w:t xml:space="preserve"> to LP’s Annual Report on Form 10-K for the year ended December 31, 2022.*</w:t>
            </w:r>
          </w:p>
        </w:tc>
        <w:tc>
          <w:tcPr>
            <w:tcW w:w="13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4"/>
                <w:szCs w:val="4"/>
                <w:color w:val="auto"/>
              </w:rPr>
            </w:pPr>
          </w:p>
        </w:tc>
        <w:tc>
          <w:tcPr>
            <w:tcW w:w="6780" w:type="dxa"/>
            <w:vAlign w:val="bottom"/>
            <w:tcBorders>
              <w:bottom w:val="single" w:sz="8" w:color="auto"/>
            </w:tcBorders>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000" w:right="40" w:hanging="748"/>
        <w:spacing w:after="0" w:line="181" w:lineRule="auto"/>
        <w:tabs>
          <w:tab w:leader="none" w:pos="1000" w:val="left"/>
        </w:tabs>
        <w:numPr>
          <w:ilvl w:val="0"/>
          <w:numId w:val="29"/>
        </w:numPr>
        <w:rPr>
          <w:rFonts w:ascii="Arial" w:cs="Arial" w:eastAsia="Arial" w:hAnsi="Arial"/>
          <w:sz w:val="35"/>
          <w:szCs w:val="35"/>
          <w:color w:val="auto"/>
          <w:vertAlign w:val="subscript"/>
        </w:rPr>
      </w:pPr>
      <w:r>
        <w:rPr>
          <w:rFonts w:ascii="Arial" w:cs="Arial" w:eastAsia="Arial" w:hAnsi="Arial"/>
          <w:sz w:val="18"/>
          <w:szCs w:val="18"/>
          <w:u w:val="single" w:color="auto"/>
          <w:color w:val="auto"/>
        </w:rPr>
        <w:t>LP Insider Trading Policy. Incorporated herein by reference to Exhibit 19 to LP's annual Report on Form 10-K for the year ended December 31, 2024.</w:t>
      </w:r>
    </w:p>
    <w:p>
      <w:pPr>
        <w:spacing w:after="0" w:line="65" w:lineRule="exact"/>
        <w:rPr>
          <w:sz w:val="20"/>
          <w:szCs w:val="20"/>
          <w:color w:val="auto"/>
        </w:rPr>
      </w:pPr>
    </w:p>
    <w:p>
      <w:pPr>
        <w:ind w:left="1000" w:hanging="748"/>
        <w:spacing w:after="0"/>
        <w:tabs>
          <w:tab w:leader="none" w:pos="100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List of LP’s subsidiaries. +</w:t>
      </w:r>
    </w:p>
    <w:p>
      <w:pPr>
        <w:spacing w:after="0" w:line="70" w:lineRule="exact"/>
        <w:rPr>
          <w:sz w:val="20"/>
          <w:szCs w:val="20"/>
          <w:color w:val="auto"/>
        </w:rPr>
      </w:pPr>
    </w:p>
    <w:p>
      <w:pPr>
        <w:ind w:left="1000" w:hanging="748"/>
        <w:spacing w:after="0"/>
        <w:tabs>
          <w:tab w:leader="none" w:pos="100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Consent of Deloitte &amp; Touche LLP. +</w:t>
      </w:r>
    </w:p>
    <w:p>
      <w:pPr>
        <w:spacing w:after="0" w:line="58"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820" w:type="dxa"/>
            <w:vAlign w:val="bottom"/>
            <w:vMerge w:val="restart"/>
          </w:tcPr>
          <w:p>
            <w:pPr>
              <w:jc w:val="right"/>
              <w:ind w:right="380"/>
              <w:spacing w:after="0"/>
              <w:rPr>
                <w:sz w:val="20"/>
                <w:szCs w:val="20"/>
                <w:color w:val="auto"/>
              </w:rPr>
            </w:pPr>
            <w:r>
              <w:rPr>
                <w:rFonts w:ascii="Arial" w:cs="Arial" w:eastAsia="Arial" w:hAnsi="Arial"/>
                <w:sz w:val="20"/>
                <w:szCs w:val="20"/>
                <w:color w:val="auto"/>
                <w:w w:val="82"/>
              </w:rPr>
              <w:t>31.1</w:t>
            </w:r>
          </w:p>
        </w:tc>
        <w:tc>
          <w:tcPr>
            <w:tcW w:w="81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4"/>
              </w:rPr>
              <w:t>Certification of Chief Executive Officer pursuant to Rule 13a-14(a) under the Securities Exchange</w:t>
            </w:r>
          </w:p>
        </w:tc>
        <w:tc>
          <w:tcPr>
            <w:tcW w:w="0" w:type="dxa"/>
            <w:vAlign w:val="bottom"/>
          </w:tcPr>
          <w:p>
            <w:pPr>
              <w:spacing w:after="0"/>
              <w:rPr>
                <w:sz w:val="1"/>
                <w:szCs w:val="1"/>
                <w:color w:val="auto"/>
              </w:rPr>
            </w:pPr>
          </w:p>
        </w:tc>
      </w:tr>
      <w:tr>
        <w:trPr>
          <w:trHeight w:val="139"/>
        </w:trPr>
        <w:tc>
          <w:tcPr>
            <w:tcW w:w="820" w:type="dxa"/>
            <w:vAlign w:val="bottom"/>
            <w:vMerge w:val="continue"/>
          </w:tcPr>
          <w:p>
            <w:pPr>
              <w:spacing w:after="0"/>
              <w:rPr>
                <w:sz w:val="12"/>
                <w:szCs w:val="12"/>
                <w:color w:val="auto"/>
              </w:rPr>
            </w:pPr>
          </w:p>
        </w:tc>
        <w:tc>
          <w:tcPr>
            <w:tcW w:w="8160" w:type="dxa"/>
            <w:vAlign w:val="bottom"/>
            <w:gridSpan w:val="2"/>
            <w:vMerge w:val="restart"/>
          </w:tcPr>
          <w:p>
            <w:pPr>
              <w:spacing w:after="0" w:line="180" w:lineRule="exact"/>
              <w:rPr>
                <w:sz w:val="20"/>
                <w:szCs w:val="20"/>
                <w:color w:val="auto"/>
              </w:rPr>
            </w:pPr>
            <w:r>
              <w:rPr>
                <w:rFonts w:ascii="Arial" w:cs="Arial" w:eastAsia="Arial" w:hAnsi="Arial"/>
                <w:sz w:val="20"/>
                <w:szCs w:val="20"/>
                <w:color w:val="auto"/>
              </w:rPr>
              <w:t>Act of 1934. +</w:t>
            </w:r>
          </w:p>
        </w:tc>
        <w:tc>
          <w:tcPr>
            <w:tcW w:w="0" w:type="dxa"/>
            <w:vAlign w:val="bottom"/>
          </w:tcPr>
          <w:p>
            <w:pPr>
              <w:spacing w:after="0"/>
              <w:rPr>
                <w:sz w:val="1"/>
                <w:szCs w:val="1"/>
                <w:color w:val="auto"/>
              </w:rPr>
            </w:pPr>
          </w:p>
        </w:tc>
      </w:tr>
      <w:tr>
        <w:trPr>
          <w:trHeight w:val="41"/>
        </w:trPr>
        <w:tc>
          <w:tcPr>
            <w:tcW w:w="820" w:type="dxa"/>
            <w:vAlign w:val="bottom"/>
          </w:tcPr>
          <w:p>
            <w:pPr>
              <w:spacing w:after="0"/>
              <w:rPr>
                <w:sz w:val="3"/>
                <w:szCs w:val="3"/>
                <w:color w:val="auto"/>
              </w:rPr>
            </w:pPr>
          </w:p>
        </w:tc>
        <w:tc>
          <w:tcPr>
            <w:tcW w:w="81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820" w:type="dxa"/>
            <w:vAlign w:val="bottom"/>
            <w:vMerge w:val="restart"/>
          </w:tcPr>
          <w:p>
            <w:pPr>
              <w:jc w:val="right"/>
              <w:ind w:right="380"/>
              <w:spacing w:after="0"/>
              <w:rPr>
                <w:sz w:val="20"/>
                <w:szCs w:val="20"/>
                <w:color w:val="auto"/>
              </w:rPr>
            </w:pPr>
            <w:r>
              <w:rPr>
                <w:rFonts w:ascii="Arial" w:cs="Arial" w:eastAsia="Arial" w:hAnsi="Arial"/>
                <w:sz w:val="20"/>
                <w:szCs w:val="20"/>
                <w:color w:val="auto"/>
                <w:w w:val="82"/>
              </w:rPr>
              <w:t>31.2</w:t>
            </w:r>
          </w:p>
        </w:tc>
        <w:tc>
          <w:tcPr>
            <w:tcW w:w="81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5"/>
              </w:rPr>
              <w:t>Certification of Chief Financial Officer pursuant to Rule 13a-14(a) under the Securities Exchange</w:t>
            </w:r>
          </w:p>
        </w:tc>
        <w:tc>
          <w:tcPr>
            <w:tcW w:w="0" w:type="dxa"/>
            <w:vAlign w:val="bottom"/>
          </w:tcPr>
          <w:p>
            <w:pPr>
              <w:spacing w:after="0"/>
              <w:rPr>
                <w:sz w:val="1"/>
                <w:szCs w:val="1"/>
                <w:color w:val="auto"/>
              </w:rPr>
            </w:pPr>
          </w:p>
        </w:tc>
      </w:tr>
      <w:tr>
        <w:trPr>
          <w:trHeight w:val="139"/>
        </w:trPr>
        <w:tc>
          <w:tcPr>
            <w:tcW w:w="820" w:type="dxa"/>
            <w:vAlign w:val="bottom"/>
            <w:vMerge w:val="continue"/>
          </w:tcPr>
          <w:p>
            <w:pPr>
              <w:spacing w:after="0"/>
              <w:rPr>
                <w:sz w:val="12"/>
                <w:szCs w:val="12"/>
                <w:color w:val="auto"/>
              </w:rPr>
            </w:pPr>
          </w:p>
        </w:tc>
        <w:tc>
          <w:tcPr>
            <w:tcW w:w="8160" w:type="dxa"/>
            <w:vAlign w:val="bottom"/>
            <w:gridSpan w:val="2"/>
            <w:vMerge w:val="restart"/>
          </w:tcPr>
          <w:p>
            <w:pPr>
              <w:spacing w:after="0" w:line="180" w:lineRule="exact"/>
              <w:rPr>
                <w:sz w:val="20"/>
                <w:szCs w:val="20"/>
                <w:color w:val="auto"/>
              </w:rPr>
            </w:pPr>
            <w:r>
              <w:rPr>
                <w:rFonts w:ascii="Arial" w:cs="Arial" w:eastAsia="Arial" w:hAnsi="Arial"/>
                <w:sz w:val="20"/>
                <w:szCs w:val="20"/>
                <w:color w:val="auto"/>
              </w:rPr>
              <w:t>Act of 1934. +</w:t>
            </w:r>
          </w:p>
        </w:tc>
        <w:tc>
          <w:tcPr>
            <w:tcW w:w="0" w:type="dxa"/>
            <w:vAlign w:val="bottom"/>
          </w:tcPr>
          <w:p>
            <w:pPr>
              <w:spacing w:after="0"/>
              <w:rPr>
                <w:sz w:val="1"/>
                <w:szCs w:val="1"/>
                <w:color w:val="auto"/>
              </w:rPr>
            </w:pPr>
          </w:p>
        </w:tc>
      </w:tr>
      <w:tr>
        <w:trPr>
          <w:trHeight w:val="41"/>
        </w:trPr>
        <w:tc>
          <w:tcPr>
            <w:tcW w:w="820" w:type="dxa"/>
            <w:vAlign w:val="bottom"/>
          </w:tcPr>
          <w:p>
            <w:pPr>
              <w:spacing w:after="0"/>
              <w:rPr>
                <w:sz w:val="3"/>
                <w:szCs w:val="3"/>
                <w:color w:val="auto"/>
              </w:rPr>
            </w:pPr>
          </w:p>
        </w:tc>
        <w:tc>
          <w:tcPr>
            <w:tcW w:w="81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1000" w:hanging="748"/>
        <w:spacing w:after="0"/>
        <w:tabs>
          <w:tab w:leader="none" w:pos="100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Certifications pursuant to §906 of the Sarbanes-Oxley Act of 2002. ++</w:t>
      </w:r>
    </w:p>
    <w:p>
      <w:pPr>
        <w:spacing w:after="0" w:line="70" w:lineRule="exact"/>
        <w:rPr>
          <w:sz w:val="20"/>
          <w:szCs w:val="20"/>
          <w:color w:val="auto"/>
        </w:rPr>
      </w:pPr>
    </w:p>
    <w:p>
      <w:pPr>
        <w:ind w:left="1000" w:right="40" w:hanging="748"/>
        <w:spacing w:after="0" w:line="181" w:lineRule="auto"/>
        <w:tabs>
          <w:tab w:leader="none" w:pos="1000" w:val="left"/>
        </w:tabs>
        <w:numPr>
          <w:ilvl w:val="0"/>
          <w:numId w:val="33"/>
        </w:numPr>
        <w:rPr>
          <w:rFonts w:ascii="Arial" w:cs="Arial" w:eastAsia="Arial" w:hAnsi="Arial"/>
          <w:sz w:val="35"/>
          <w:szCs w:val="35"/>
          <w:color w:val="auto"/>
          <w:vertAlign w:val="subscript"/>
        </w:rPr>
      </w:pPr>
      <w:r>
        <w:rPr>
          <w:rFonts w:ascii="Arial" w:cs="Arial" w:eastAsia="Arial" w:hAnsi="Arial"/>
          <w:sz w:val="18"/>
          <w:szCs w:val="18"/>
          <w:u w:val="single" w:color="auto"/>
          <w:color w:val="auto"/>
        </w:rPr>
        <w:t>Louisiana-Pacific Corporation NYSE Clawback Policy. Incorporated herein by reference to Exhibit 10.25 to LP’s Annual Report on Form 10-K for the year ended December 31, 2023.*</w:t>
      </w:r>
    </w:p>
    <w:p>
      <w:pPr>
        <w:sectPr>
          <w:pgSz w:w="11880" w:h="15480" w:orient="portrait"/>
          <w:cols w:equalWidth="0" w:num="1">
            <w:col w:w="9160"/>
          </w:cols>
          <w:pgMar w:left="1440" w:top="1293" w:right="1280" w:bottom="225" w:gutter="0" w:footer="0" w:header="0"/>
        </w:sectPr>
      </w:pPr>
    </w:p>
    <w:p>
      <w:pPr>
        <w:spacing w:after="0" w:line="2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9160"/>
          </w:cols>
          <w:pgMar w:left="1440" w:top="1293" w:right="1280" w:bottom="225" w:gutter="0" w:footer="0" w:header="0"/>
          <w:type w:val="continuous"/>
        </w:sectPr>
      </w:pPr>
    </w:p>
    <w:bookmarkStart w:id="104" w:name="page105"/>
    <w:bookmarkEnd w:id="104"/>
    <w:p>
      <w:pPr>
        <w:ind w:left="200"/>
        <w:spacing w:after="0"/>
        <w:rPr>
          <w:sz w:val="20"/>
          <w:szCs w:val="20"/>
          <w:color w:val="auto"/>
        </w:rPr>
      </w:pPr>
      <w:r>
        <w:rPr>
          <w:rFonts w:ascii="Arial" w:cs="Arial" w:eastAsia="Arial" w:hAnsi="Arial"/>
          <w:sz w:val="19"/>
          <w:szCs w:val="19"/>
          <w:color w:val="auto"/>
        </w:rPr>
        <w:t>101.INS</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101.SCH</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9"/>
          <w:szCs w:val="19"/>
          <w:color w:val="auto"/>
        </w:rPr>
        <w:t>101.CAL</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9"/>
          <w:szCs w:val="19"/>
          <w:color w:val="auto"/>
        </w:rPr>
        <w:t>101.LAB</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101.PRE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101.DEF</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 xml:space="preserve">Inline XBRL Instance Document. </w:t>
      </w:r>
      <w:r>
        <w:rPr>
          <w:rFonts w:ascii="Arial" w:cs="Arial" w:eastAsia="Arial" w:hAnsi="Arial"/>
          <w:sz w:val="18"/>
          <w:szCs w:val="18"/>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Inline XBRL Taxonomy Extension Schema Document. </w:t>
      </w:r>
      <w:r>
        <w:rPr>
          <w:rFonts w:ascii="Arial" w:cs="Arial" w:eastAsia="Arial" w:hAnsi="Arial"/>
          <w:sz w:val="18"/>
          <w:szCs w:val="18"/>
          <w:color w:val="auto"/>
        </w:rPr>
        <w:t>+</w:t>
      </w:r>
    </w:p>
    <w:p>
      <w:pPr>
        <w:spacing w:after="0" w:line="115" w:lineRule="exact"/>
        <w:rPr>
          <w:sz w:val="20"/>
          <w:szCs w:val="20"/>
          <w:color w:val="auto"/>
        </w:rPr>
      </w:pPr>
    </w:p>
    <w:p>
      <w:pPr>
        <w:ind w:right="2280"/>
        <w:spacing w:after="0" w:line="400" w:lineRule="auto"/>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16"/>
          <w:szCs w:val="16"/>
          <w:color w:val="auto"/>
        </w:rPr>
        <w:t>+</w:t>
      </w:r>
      <w:r>
        <w:rPr>
          <w:rFonts w:ascii="Arial" w:cs="Arial" w:eastAsia="Arial" w:hAnsi="Arial"/>
          <w:sz w:val="18"/>
          <w:szCs w:val="18"/>
          <w:color w:val="auto"/>
        </w:rPr>
        <w:t xml:space="preserve"> Inline XBRL Taxonomy Extension Label Linkbase Document. </w:t>
      </w:r>
      <w:r>
        <w:rPr>
          <w:rFonts w:ascii="Arial" w:cs="Arial" w:eastAsia="Arial" w:hAnsi="Arial"/>
          <w:sz w:val="16"/>
          <w:szCs w:val="16"/>
          <w:color w:val="auto"/>
        </w:rPr>
        <w:t>+</w:t>
      </w:r>
      <w:r>
        <w:rPr>
          <w:rFonts w:ascii="Arial" w:cs="Arial" w:eastAsia="Arial" w:hAnsi="Arial"/>
          <w:sz w:val="18"/>
          <w:szCs w:val="18"/>
          <w:color w:val="auto"/>
        </w:rPr>
        <w:t xml:space="preserve"> Inline XBRL Taxonomy Extension Presentation Linkbase Document. </w:t>
      </w:r>
      <w:r>
        <w:rPr>
          <w:rFonts w:ascii="Arial" w:cs="Arial" w:eastAsia="Arial" w:hAnsi="Arial"/>
          <w:sz w:val="16"/>
          <w:szCs w:val="16"/>
          <w:color w:val="auto"/>
        </w:rPr>
        <w:t>+</w:t>
      </w:r>
      <w:r>
        <w:rPr>
          <w:rFonts w:ascii="Arial" w:cs="Arial" w:eastAsia="Arial" w:hAnsi="Arial"/>
          <w:sz w:val="18"/>
          <w:szCs w:val="18"/>
          <w:color w:val="auto"/>
        </w:rPr>
        <w:t xml:space="preserve"> Inline XBRL Taxonomy Extension Definition Linkbase Document. </w:t>
      </w:r>
      <w:r>
        <w:rPr>
          <w:rFonts w:ascii="Arial" w:cs="Arial" w:eastAsia="Arial" w:hAnsi="Arial"/>
          <w:sz w:val="16"/>
          <w:szCs w:val="16"/>
          <w:color w:val="auto"/>
        </w:rPr>
        <w:t>+</w:t>
      </w:r>
    </w:p>
    <w:p>
      <w:pPr>
        <w:ind w:right="100"/>
        <w:spacing w:after="0" w:line="241" w:lineRule="auto"/>
        <w:rPr>
          <w:sz w:val="20"/>
          <w:szCs w:val="20"/>
          <w:color w:val="auto"/>
        </w:rPr>
      </w:pPr>
      <w:r>
        <w:rPr>
          <w:rFonts w:ascii="Arial" w:cs="Arial" w:eastAsia="Arial" w:hAnsi="Arial"/>
          <w:sz w:val="20"/>
          <w:szCs w:val="20"/>
          <w:color w:val="auto"/>
        </w:rPr>
        <w:t xml:space="preserve">Cover Page Interactive Data File (embedded with Inline XBRL document and contained in Exhibit 101). </w:t>
      </w:r>
      <w:r>
        <w:rPr>
          <w:rFonts w:ascii="Arial" w:cs="Arial" w:eastAsia="Arial" w:hAnsi="Arial"/>
          <w:sz w:val="18"/>
          <w:szCs w:val="18"/>
          <w:color w:val="auto"/>
        </w:rPr>
        <w:t>+</w:t>
      </w:r>
      <w:r>
        <w:rPr>
          <w:rFonts w:ascii="Arial" w:cs="Arial" w:eastAsia="Arial" w:hAnsi="Arial"/>
          <w:sz w:val="20"/>
          <w:szCs w:val="20"/>
          <w:color w:val="auto"/>
        </w:rPr>
        <w:t>*</w:t>
      </w:r>
    </w:p>
    <w:p>
      <w:pPr>
        <w:spacing w:after="0" w:line="132" w:lineRule="exact"/>
        <w:rPr>
          <w:sz w:val="20"/>
          <w:szCs w:val="20"/>
          <w:color w:val="auto"/>
        </w:rPr>
      </w:pPr>
    </w:p>
    <w:p>
      <w:pPr>
        <w:sectPr>
          <w:pgSz w:w="11880" w:h="15480" w:orient="portrait"/>
          <w:cols w:equalWidth="0" w:num="2">
            <w:col w:w="900" w:space="280"/>
            <w:col w:w="8000"/>
          </w:cols>
          <w:pgMar w:left="1260" w:top="1297" w:right="1440" w:bottom="225" w:gutter="0" w:footer="0" w:header="0"/>
        </w:sectPr>
      </w:pPr>
    </w:p>
    <w:p>
      <w:pPr>
        <w:ind w:right="3900"/>
        <w:spacing w:after="0" w:line="250" w:lineRule="auto"/>
        <w:tabs>
          <w:tab w:leader="none" w:pos="1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 + Filed herewith.</w:t>
      </w: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16. </w:t>
      </w:r>
      <w:r>
        <w:rPr>
          <w:rFonts w:ascii="Arial" w:cs="Arial" w:eastAsia="Arial" w:hAnsi="Arial"/>
          <w:sz w:val="20"/>
          <w:szCs w:val="20"/>
          <w:b w:val="1"/>
          <w:bCs w:val="1"/>
          <w:i w:val="1"/>
          <w:iCs w:val="1"/>
          <w:color w:val="auto"/>
        </w:rPr>
        <w:t>Form 10-K Summary</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180"/>
          </w:cols>
          <w:pgMar w:left="1260" w:top="1297" w:right="1440" w:bottom="22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9180"/>
          </w:cols>
          <w:pgMar w:left="1260" w:top="1297" w:right="1440" w:bottom="225" w:gutter="0" w:footer="0" w:header="0"/>
          <w:type w:val="continuous"/>
        </w:sectPr>
      </w:pPr>
    </w:p>
    <w:bookmarkStart w:id="105" w:name="page106"/>
    <w:bookmarkEnd w:id="105"/>
    <w:p>
      <w:pPr>
        <w:jc w:val="center"/>
        <w:ind w:right="780"/>
        <w:spacing w:after="0"/>
        <w:rPr>
          <w:sz w:val="20"/>
          <w:szCs w:val="20"/>
          <w:color w:val="auto"/>
        </w:rPr>
      </w:pPr>
      <w:r>
        <w:rPr>
          <w:rFonts w:ascii="Arial" w:cs="Arial" w:eastAsia="Arial" w:hAnsi="Arial"/>
          <w:sz w:val="20"/>
          <w:szCs w:val="20"/>
          <w:b w:val="1"/>
          <w:bCs w:val="1"/>
          <w:color w:val="auto"/>
        </w:rPr>
        <w:t>SIGNATURES</w:t>
      </w:r>
    </w:p>
    <w:p>
      <w:pPr>
        <w:spacing w:after="0" w:line="257" w:lineRule="exact"/>
        <w:rPr>
          <w:sz w:val="20"/>
          <w:szCs w:val="20"/>
          <w:color w:val="auto"/>
        </w:rPr>
      </w:pPr>
    </w:p>
    <w:p>
      <w:pPr>
        <w:ind w:right="780"/>
        <w:spacing w:after="0" w:line="283"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4240" w:type="dxa"/>
            <w:vAlign w:val="bottom"/>
          </w:tcPr>
          <w:p>
            <w:pPr>
              <w:spacing w:after="0"/>
              <w:rPr>
                <w:sz w:val="20"/>
                <w:szCs w:val="20"/>
                <w:color w:val="auto"/>
              </w:rPr>
            </w:pPr>
            <w:r>
              <w:rPr>
                <w:rFonts w:ascii="Arial" w:cs="Arial" w:eastAsia="Arial" w:hAnsi="Arial"/>
                <w:sz w:val="20"/>
                <w:szCs w:val="20"/>
                <w:color w:val="auto"/>
              </w:rPr>
              <w:t>Date:  February 17, 2026</w:t>
            </w:r>
          </w:p>
        </w:tc>
        <w:tc>
          <w:tcPr>
            <w:tcW w:w="5940" w:type="dxa"/>
            <w:vAlign w:val="bottom"/>
          </w:tcPr>
          <w:p>
            <w:pPr>
              <w:jc w:val="center"/>
              <w:spacing w:after="0"/>
              <w:rPr>
                <w:sz w:val="20"/>
                <w:szCs w:val="20"/>
                <w:color w:val="auto"/>
              </w:rPr>
            </w:pPr>
            <w:r>
              <w:rPr>
                <w:rFonts w:ascii="Arial" w:cs="Arial" w:eastAsia="Arial" w:hAnsi="Arial"/>
                <w:sz w:val="20"/>
                <w:szCs w:val="20"/>
                <w:b w:val="1"/>
                <w:bCs w:val="1"/>
                <w:color w:val="auto"/>
              </w:rPr>
              <w:t>LOUISIANA-PACIFIC CORPORATION</w:t>
            </w:r>
          </w:p>
        </w:tc>
      </w:tr>
      <w:tr>
        <w:trPr>
          <w:trHeight w:val="261"/>
        </w:trPr>
        <w:tc>
          <w:tcPr>
            <w:tcW w:w="4240" w:type="dxa"/>
            <w:vAlign w:val="bottom"/>
          </w:tcPr>
          <w:p>
            <w:pPr>
              <w:spacing w:after="0"/>
              <w:rPr>
                <w:sz w:val="22"/>
                <w:szCs w:val="22"/>
                <w:color w:val="auto"/>
              </w:rPr>
            </w:pPr>
          </w:p>
        </w:tc>
        <w:tc>
          <w:tcPr>
            <w:tcW w:w="5940" w:type="dxa"/>
            <w:vAlign w:val="bottom"/>
          </w:tcPr>
          <w:p>
            <w:pPr>
              <w:jc w:val="center"/>
              <w:spacing w:after="0"/>
              <w:rPr>
                <w:sz w:val="20"/>
                <w:szCs w:val="20"/>
                <w:color w:val="auto"/>
              </w:rPr>
            </w:pPr>
            <w:r>
              <w:rPr>
                <w:rFonts w:ascii="Arial" w:cs="Arial" w:eastAsia="Arial" w:hAnsi="Arial"/>
                <w:sz w:val="20"/>
                <w:szCs w:val="20"/>
                <w:color w:val="auto"/>
                <w:w w:val="91"/>
              </w:rPr>
              <w:t>(Registrant)</w:t>
            </w:r>
          </w:p>
        </w:tc>
      </w:tr>
      <w:tr>
        <w:trPr>
          <w:trHeight w:val="498"/>
        </w:trPr>
        <w:tc>
          <w:tcPr>
            <w:tcW w:w="4240" w:type="dxa"/>
            <w:vAlign w:val="bottom"/>
          </w:tcPr>
          <w:p>
            <w:pPr>
              <w:spacing w:after="0"/>
              <w:rPr>
                <w:sz w:val="24"/>
                <w:szCs w:val="24"/>
                <w:color w:val="auto"/>
              </w:rPr>
            </w:pPr>
          </w:p>
        </w:tc>
        <w:tc>
          <w:tcPr>
            <w:tcW w:w="59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Alan J.M. Haughie</w:t>
            </w:r>
          </w:p>
        </w:tc>
      </w:tr>
      <w:tr>
        <w:trPr>
          <w:trHeight w:val="266"/>
        </w:trPr>
        <w:tc>
          <w:tcPr>
            <w:tcW w:w="4240" w:type="dxa"/>
            <w:vAlign w:val="bottom"/>
          </w:tcPr>
          <w:p>
            <w:pPr>
              <w:spacing w:after="0"/>
              <w:rPr>
                <w:sz w:val="23"/>
                <w:szCs w:val="23"/>
                <w:color w:val="auto"/>
              </w:rPr>
            </w:pPr>
          </w:p>
        </w:tc>
        <w:tc>
          <w:tcPr>
            <w:tcW w:w="5940" w:type="dxa"/>
            <w:vAlign w:val="bottom"/>
          </w:tcPr>
          <w:p>
            <w:pPr>
              <w:jc w:val="center"/>
              <w:spacing w:after="0"/>
              <w:rPr>
                <w:sz w:val="20"/>
                <w:szCs w:val="20"/>
                <w:color w:val="auto"/>
              </w:rPr>
            </w:pPr>
            <w:r>
              <w:rPr>
                <w:rFonts w:ascii="Arial" w:cs="Arial" w:eastAsia="Arial" w:hAnsi="Arial"/>
                <w:sz w:val="16"/>
                <w:szCs w:val="16"/>
                <w:b w:val="1"/>
                <w:bCs w:val="1"/>
                <w:color w:val="auto"/>
                <w:w w:val="94"/>
              </w:rPr>
              <w:t>Alan J.M. Haughie</w:t>
            </w:r>
          </w:p>
        </w:tc>
      </w:tr>
      <w:tr>
        <w:trPr>
          <w:trHeight w:val="160"/>
        </w:trPr>
        <w:tc>
          <w:tcPr>
            <w:tcW w:w="4240" w:type="dxa"/>
            <w:vAlign w:val="bottom"/>
          </w:tcPr>
          <w:p>
            <w:pPr>
              <w:spacing w:after="0"/>
              <w:rPr>
                <w:sz w:val="13"/>
                <w:szCs w:val="13"/>
                <w:color w:val="auto"/>
              </w:rPr>
            </w:pPr>
          </w:p>
        </w:tc>
        <w:tc>
          <w:tcPr>
            <w:tcW w:w="5940" w:type="dxa"/>
            <w:vAlign w:val="bottom"/>
          </w:tcPr>
          <w:p>
            <w:pPr>
              <w:jc w:val="center"/>
              <w:spacing w:after="0" w:line="160" w:lineRule="exact"/>
              <w:rPr>
                <w:sz w:val="20"/>
                <w:szCs w:val="20"/>
                <w:color w:val="auto"/>
              </w:rPr>
            </w:pPr>
            <w:r>
              <w:rPr>
                <w:rFonts w:ascii="Arial" w:cs="Arial" w:eastAsia="Arial" w:hAnsi="Arial"/>
                <w:sz w:val="16"/>
                <w:szCs w:val="16"/>
                <w:b w:val="1"/>
                <w:bCs w:val="1"/>
                <w:i w:val="1"/>
                <w:iCs w:val="1"/>
                <w:color w:val="auto"/>
                <w:w w:val="87"/>
              </w:rPr>
              <w:t>Executive Vice President and</w:t>
            </w:r>
          </w:p>
        </w:tc>
      </w:tr>
      <w:tr>
        <w:trPr>
          <w:trHeight w:val="213"/>
        </w:trPr>
        <w:tc>
          <w:tcPr>
            <w:tcW w:w="4240" w:type="dxa"/>
            <w:vAlign w:val="bottom"/>
          </w:tcPr>
          <w:p>
            <w:pPr>
              <w:spacing w:after="0"/>
              <w:rPr>
                <w:sz w:val="18"/>
                <w:szCs w:val="18"/>
                <w:color w:val="auto"/>
              </w:rPr>
            </w:pPr>
          </w:p>
        </w:tc>
        <w:tc>
          <w:tcPr>
            <w:tcW w:w="594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1"/>
              </w:rPr>
              <w:t>Chief Financial Officer</w:t>
            </w:r>
          </w:p>
        </w:tc>
      </w:tr>
    </w:tbl>
    <w:p>
      <w:pPr>
        <w:spacing w:after="0" w:line="200" w:lineRule="exact"/>
        <w:rPr>
          <w:sz w:val="20"/>
          <w:szCs w:val="20"/>
          <w:color w:val="auto"/>
        </w:rPr>
      </w:pPr>
    </w:p>
    <w:p>
      <w:pPr>
        <w:sectPr>
          <w:pgSz w:w="11880" w:h="15480" w:orient="portrait"/>
          <w:cols w:equalWidth="0" w:num="1">
            <w:col w:w="10220"/>
          </w:cols>
          <w:pgMar w:left="1220" w:top="1145" w:right="440" w:bottom="2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220"/>
          </w:cols>
          <w:pgMar w:left="1220" w:top="1145" w:right="440" w:bottom="225" w:gutter="0" w:footer="0" w:header="0"/>
          <w:type w:val="continuous"/>
        </w:sectPr>
      </w:pPr>
    </w:p>
    <w:bookmarkStart w:id="106" w:name="page107"/>
    <w:bookmarkEnd w:id="106"/>
    <w:p>
      <w:pPr>
        <w:spacing w:after="0" w:line="283"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1880" w:h="15480" w:orient="portrait"/>
          <w:cols w:equalWidth="0" w:num="1">
            <w:col w:w="9440"/>
          </w:cols>
          <w:pgMar w:left="1220" w:top="1152" w:right="1220" w:bottom="227" w:gutter="0" w:footer="0" w:header="0"/>
        </w:sectPr>
      </w:pPr>
    </w:p>
    <w:p>
      <w:pPr>
        <w:spacing w:after="0" w:line="252" w:lineRule="exact"/>
        <w:rPr>
          <w:sz w:val="20"/>
          <w:szCs w:val="20"/>
          <w:color w:val="auto"/>
        </w:rPr>
      </w:pPr>
    </w:p>
    <w:p>
      <w:pPr>
        <w:ind w:left="680"/>
        <w:spacing w:after="0"/>
        <w:rPr>
          <w:sz w:val="20"/>
          <w:szCs w:val="20"/>
          <w:color w:val="auto"/>
        </w:rPr>
      </w:pPr>
      <w:r>
        <w:rPr>
          <w:rFonts w:ascii="Arial" w:cs="Arial" w:eastAsia="Arial" w:hAnsi="Arial"/>
          <w:sz w:val="16"/>
          <w:szCs w:val="16"/>
          <w:b w:val="1"/>
          <w:bCs w:val="1"/>
          <w:u w:val="single" w:color="auto"/>
          <w:color w:val="auto"/>
        </w:rPr>
        <w:t>Date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17, 2026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17, 2026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17, 2026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17, 2026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17, 2026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17, 2026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17, 2026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17, 2026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17, 2026</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u w:val="single" w:color="auto"/>
          <w:color w:val="auto"/>
        </w:rPr>
        <w:t>Signature and Title</w:t>
      </w:r>
    </w:p>
    <w:p>
      <w:pPr>
        <w:spacing w:after="0" w:line="250"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/s/ W. Bradley Southern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27940</wp:posOffset>
                </wp:positionV>
                <wp:extent cx="3590925"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0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4999pt,2.2pt" to="234.25pt,2.2pt" o:allowincell="f" strokecolor="#000000" strokeweight="1pt"/>
            </w:pict>
          </mc:Fallback>
        </mc:AlternateContent>
      </w:r>
    </w:p>
    <w:p>
      <w:pPr>
        <w:ind w:left="1140"/>
        <w:spacing w:after="0"/>
        <w:rPr>
          <w:sz w:val="20"/>
          <w:szCs w:val="20"/>
          <w:color w:val="auto"/>
        </w:rPr>
      </w:pPr>
      <w:r>
        <w:rPr>
          <w:rFonts w:ascii="Arial" w:cs="Arial" w:eastAsia="Arial" w:hAnsi="Arial"/>
          <w:sz w:val="16"/>
          <w:szCs w:val="16"/>
          <w:b w:val="1"/>
          <w:bCs w:val="1"/>
          <w:color w:val="auto"/>
        </w:rPr>
        <w:t>W. Bradley Southern</w:t>
      </w:r>
    </w:p>
    <w:p>
      <w:pPr>
        <w:ind w:left="1040"/>
        <w:spacing w:after="0" w:line="208" w:lineRule="auto"/>
        <w:rPr>
          <w:sz w:val="20"/>
          <w:szCs w:val="20"/>
          <w:color w:val="auto"/>
        </w:rPr>
      </w:pPr>
      <w:r>
        <w:rPr>
          <w:rFonts w:ascii="Arial" w:cs="Arial" w:eastAsia="Arial" w:hAnsi="Arial"/>
          <w:sz w:val="16"/>
          <w:szCs w:val="16"/>
          <w:b w:val="1"/>
          <w:bCs w:val="1"/>
          <w:i w:val="1"/>
          <w:iCs w:val="1"/>
          <w:color w:val="auto"/>
        </w:rPr>
        <w:t>Chairperson of the Board</w:t>
      </w:r>
    </w:p>
    <w:p>
      <w:pPr>
        <w:ind w:left="1080"/>
        <w:spacing w:after="0" w:line="209" w:lineRule="auto"/>
        <w:rPr>
          <w:sz w:val="20"/>
          <w:szCs w:val="20"/>
          <w:color w:val="auto"/>
        </w:rPr>
      </w:pPr>
      <w:r>
        <w:rPr>
          <w:rFonts w:ascii="Arial" w:cs="Arial" w:eastAsia="Arial" w:hAnsi="Arial"/>
          <w:sz w:val="16"/>
          <w:szCs w:val="16"/>
          <w:b w:val="1"/>
          <w:bCs w:val="1"/>
          <w:i w:val="1"/>
          <w:iCs w:val="1"/>
          <w:color w:val="auto"/>
        </w:rPr>
        <w:t>Chief Executive Officer</w:t>
      </w:r>
    </w:p>
    <w:p>
      <w:pPr>
        <w:ind w:left="90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51"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/s/ Alan J.M. Haughie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27940</wp:posOffset>
                </wp:positionV>
                <wp:extent cx="3590925"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0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4999pt,2.2pt" to="234.25pt,2.2pt" o:allowincell="f" strokecolor="#000000" strokeweight="1pt"/>
            </w:pict>
          </mc:Fallback>
        </mc:AlternateContent>
      </w:r>
    </w:p>
    <w:p>
      <w:pPr>
        <w:jc w:val="center"/>
        <w:ind w:right="660"/>
        <w:spacing w:after="0"/>
        <w:rPr>
          <w:sz w:val="20"/>
          <w:szCs w:val="20"/>
          <w:color w:val="auto"/>
        </w:rPr>
      </w:pPr>
      <w:r>
        <w:rPr>
          <w:rFonts w:ascii="Arial" w:cs="Arial" w:eastAsia="Arial" w:hAnsi="Arial"/>
          <w:sz w:val="16"/>
          <w:szCs w:val="16"/>
          <w:b w:val="1"/>
          <w:bCs w:val="1"/>
          <w:color w:val="auto"/>
        </w:rPr>
        <w:t>Alan J.M. Haughie</w:t>
      </w:r>
    </w:p>
    <w:p>
      <w:pPr>
        <w:jc w:val="center"/>
        <w:ind w:right="660"/>
        <w:spacing w:after="0" w:line="222" w:lineRule="auto"/>
        <w:rPr>
          <w:sz w:val="20"/>
          <w:szCs w:val="20"/>
          <w:color w:val="auto"/>
        </w:rPr>
      </w:pPr>
      <w:r>
        <w:rPr>
          <w:rFonts w:ascii="Arial" w:cs="Arial" w:eastAsia="Arial" w:hAnsi="Arial"/>
          <w:sz w:val="15"/>
          <w:szCs w:val="15"/>
          <w:b w:val="1"/>
          <w:bCs w:val="1"/>
          <w:i w:val="1"/>
          <w:iCs w:val="1"/>
          <w:color w:val="auto"/>
        </w:rPr>
        <w:t>Executive Vice President and Chief Financial Officer</w:t>
      </w:r>
    </w:p>
    <w:p>
      <w:pPr>
        <w:jc w:val="center"/>
        <w:ind w:right="66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46"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/s/ Leslie E. Davis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27940</wp:posOffset>
                </wp:positionV>
                <wp:extent cx="3590925"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0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4999pt,2.2pt" to="234.25pt,2.2pt" o:allowincell="f" strokecolor="#000000" strokeweight="1pt"/>
            </w:pict>
          </mc:Fallback>
        </mc:AlternateContent>
      </w:r>
    </w:p>
    <w:p>
      <w:pPr>
        <w:spacing w:after="0" w:line="36"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Leslie E. Davis</w:t>
      </w:r>
    </w:p>
    <w:p>
      <w:pPr>
        <w:jc w:val="center"/>
        <w:ind w:right="660"/>
        <w:spacing w:after="0"/>
        <w:rPr>
          <w:sz w:val="20"/>
          <w:szCs w:val="20"/>
          <w:color w:val="auto"/>
        </w:rPr>
      </w:pPr>
      <w:r>
        <w:rPr>
          <w:rFonts w:ascii="Arial" w:cs="Arial" w:eastAsia="Arial" w:hAnsi="Arial"/>
          <w:sz w:val="14"/>
          <w:szCs w:val="14"/>
          <w:b w:val="1"/>
          <w:bCs w:val="1"/>
          <w:i w:val="1"/>
          <w:iCs w:val="1"/>
          <w:color w:val="auto"/>
        </w:rPr>
        <w:t>Vice President, Controller and Chief Accounting Officer</w:t>
      </w:r>
    </w:p>
    <w:p>
      <w:pPr>
        <w:jc w:val="center"/>
        <w:ind w:right="660"/>
        <w:spacing w:after="0"/>
        <w:rPr>
          <w:sz w:val="20"/>
          <w:szCs w:val="20"/>
          <w:color w:val="auto"/>
        </w:rPr>
      </w:pPr>
      <w:r>
        <w:rPr>
          <w:rFonts w:ascii="Arial" w:cs="Arial" w:eastAsia="Arial" w:hAnsi="Arial"/>
          <w:sz w:val="16"/>
          <w:szCs w:val="16"/>
          <w:b w:val="1"/>
          <w:bCs w:val="1"/>
          <w:i w:val="1"/>
          <w:iCs w:val="1"/>
          <w:color w:val="auto"/>
        </w:rPr>
        <w:t>(Principal Accounting Officer)</w:t>
      </w:r>
    </w:p>
    <w:p>
      <w:pPr>
        <w:spacing w:after="0" w:line="251"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/s/ Kelly H. Barrett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27940</wp:posOffset>
                </wp:positionV>
                <wp:extent cx="3590925"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0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4999pt,2.2pt" to="234.25pt,2.2pt" o:allowincell="f" strokecolor="#000000" strokeweight="1pt"/>
            </w:pict>
          </mc:Fallback>
        </mc:AlternateContent>
      </w:r>
    </w:p>
    <w:p>
      <w:pPr>
        <w:spacing w:after="0" w:line="16"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Kelly H. Barrett</w:t>
      </w:r>
    </w:p>
    <w:p>
      <w:pPr>
        <w:jc w:val="center"/>
        <w:ind w:right="660"/>
        <w:spacing w:after="0"/>
        <w:rPr>
          <w:sz w:val="20"/>
          <w:szCs w:val="20"/>
          <w:color w:val="auto"/>
        </w:rPr>
      </w:pPr>
      <w:r>
        <w:rPr>
          <w:rFonts w:ascii="Arial" w:cs="Arial" w:eastAsia="Arial" w:hAnsi="Arial"/>
          <w:sz w:val="16"/>
          <w:szCs w:val="16"/>
          <w:b w:val="1"/>
          <w:bCs w:val="1"/>
          <w:i w:val="1"/>
          <w:iCs w:val="1"/>
          <w:color w:val="auto"/>
        </w:rPr>
        <w:t>Director</w:t>
      </w:r>
    </w:p>
    <w:p>
      <w:pPr>
        <w:spacing w:after="0" w:line="251"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/s/ Jose A. Bayardo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27940</wp:posOffset>
                </wp:positionV>
                <wp:extent cx="3590925"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0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4999pt,2.2pt" to="234.25pt,2.2pt" o:allowincell="f" strokecolor="#000000" strokeweight="1pt"/>
            </w:pict>
          </mc:Fallback>
        </mc:AlternateContent>
      </w:r>
    </w:p>
    <w:p>
      <w:pPr>
        <w:spacing w:after="0" w:line="16"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Jose A. Bayardo</w:t>
      </w:r>
    </w:p>
    <w:p>
      <w:pPr>
        <w:jc w:val="center"/>
        <w:ind w:right="660"/>
        <w:spacing w:after="0"/>
        <w:rPr>
          <w:sz w:val="20"/>
          <w:szCs w:val="20"/>
          <w:color w:val="auto"/>
        </w:rPr>
      </w:pPr>
      <w:r>
        <w:rPr>
          <w:rFonts w:ascii="Arial" w:cs="Arial" w:eastAsia="Arial" w:hAnsi="Arial"/>
          <w:sz w:val="16"/>
          <w:szCs w:val="16"/>
          <w:b w:val="1"/>
          <w:bCs w:val="1"/>
          <w:i w:val="1"/>
          <w:iCs w:val="1"/>
          <w:color w:val="auto"/>
        </w:rPr>
        <w:t>Director</w:t>
      </w:r>
    </w:p>
    <w:p>
      <w:pPr>
        <w:spacing w:after="0" w:line="236"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/s/ Lizanne M. Bruce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27940</wp:posOffset>
                </wp:positionV>
                <wp:extent cx="3590925"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0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4999pt,2.2pt" to="234.25pt,2.2pt" o:allowincell="f" strokecolor="#000000" strokeweight="1pt"/>
            </w:pict>
          </mc:Fallback>
        </mc:AlternateContent>
      </w:r>
    </w:p>
    <w:p>
      <w:pPr>
        <w:spacing w:after="0" w:line="16"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Lizanne M. Bruce</w:t>
      </w:r>
    </w:p>
    <w:p>
      <w:pPr>
        <w:jc w:val="center"/>
        <w:ind w:right="660"/>
        <w:spacing w:after="0"/>
        <w:rPr>
          <w:sz w:val="20"/>
          <w:szCs w:val="20"/>
          <w:color w:val="auto"/>
        </w:rPr>
      </w:pPr>
      <w:r>
        <w:rPr>
          <w:rFonts w:ascii="Arial" w:cs="Arial" w:eastAsia="Arial" w:hAnsi="Arial"/>
          <w:sz w:val="16"/>
          <w:szCs w:val="16"/>
          <w:b w:val="1"/>
          <w:bCs w:val="1"/>
          <w:i w:val="1"/>
          <w:iCs w:val="1"/>
          <w:color w:val="auto"/>
        </w:rPr>
        <w:t>Director</w:t>
      </w:r>
    </w:p>
    <w:p>
      <w:pPr>
        <w:spacing w:after="0" w:line="236"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/s/ F. Nicholas Grasberger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27940</wp:posOffset>
                </wp:positionV>
                <wp:extent cx="3590925"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0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4999pt,2.2pt" to="234.25pt,2.2pt" o:allowincell="f" strokecolor="#000000" strokeweight="1pt"/>
            </w:pict>
          </mc:Fallback>
        </mc:AlternateContent>
      </w:r>
    </w:p>
    <w:p>
      <w:pPr>
        <w:spacing w:after="0" w:line="16"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F. Nicholas Grasberger III</w:t>
      </w:r>
    </w:p>
    <w:p>
      <w:pPr>
        <w:jc w:val="center"/>
        <w:ind w:right="660"/>
        <w:spacing w:after="0"/>
        <w:rPr>
          <w:sz w:val="20"/>
          <w:szCs w:val="20"/>
          <w:color w:val="auto"/>
        </w:rPr>
      </w:pPr>
      <w:r>
        <w:rPr>
          <w:rFonts w:ascii="Arial" w:cs="Arial" w:eastAsia="Arial" w:hAnsi="Arial"/>
          <w:sz w:val="16"/>
          <w:szCs w:val="16"/>
          <w:b w:val="1"/>
          <w:bCs w:val="1"/>
          <w:i w:val="1"/>
          <w:iCs w:val="1"/>
          <w:color w:val="auto"/>
        </w:rPr>
        <w:t>Director</w:t>
      </w:r>
    </w:p>
    <w:p>
      <w:pPr>
        <w:spacing w:after="0" w:line="236"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/s/ Ozey K. Horton, Jr.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27940</wp:posOffset>
                </wp:positionV>
                <wp:extent cx="3590925"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0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4999pt,2.2pt" to="234.25pt,2.2pt" o:allowincell="f" strokecolor="#000000" strokeweight="1pt"/>
            </w:pict>
          </mc:Fallback>
        </mc:AlternateContent>
      </w:r>
    </w:p>
    <w:p>
      <w:pPr>
        <w:spacing w:after="0" w:line="16"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Ozey K. Horton, Jr.</w:t>
      </w:r>
    </w:p>
    <w:p>
      <w:pPr>
        <w:jc w:val="center"/>
        <w:ind w:right="660"/>
        <w:spacing w:after="0"/>
        <w:rPr>
          <w:sz w:val="20"/>
          <w:szCs w:val="20"/>
          <w:color w:val="auto"/>
        </w:rPr>
      </w:pPr>
      <w:r>
        <w:rPr>
          <w:rFonts w:ascii="Arial" w:cs="Arial" w:eastAsia="Arial" w:hAnsi="Arial"/>
          <w:sz w:val="16"/>
          <w:szCs w:val="16"/>
          <w:b w:val="1"/>
          <w:bCs w:val="1"/>
          <w:i w:val="1"/>
          <w:iCs w:val="1"/>
          <w:color w:val="auto"/>
        </w:rPr>
        <w:t>Director</w:t>
      </w:r>
    </w:p>
    <w:p>
      <w:pPr>
        <w:spacing w:after="0" w:line="236"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/s/ Stephen E. Macadam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27940</wp:posOffset>
                </wp:positionV>
                <wp:extent cx="359092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0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4999pt,2.2pt" to="234.25pt,2.2pt" o:allowincell="f" strokecolor="#000000" strokeweight="1pt"/>
            </w:pict>
          </mc:Fallback>
        </mc:AlternateContent>
      </w:r>
    </w:p>
    <w:p>
      <w:pPr>
        <w:spacing w:after="0" w:line="16"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Stephen E. Macadam</w:t>
      </w:r>
    </w:p>
    <w:p>
      <w:pPr>
        <w:jc w:val="center"/>
        <w:ind w:right="660"/>
        <w:spacing w:after="0"/>
        <w:rPr>
          <w:sz w:val="20"/>
          <w:szCs w:val="20"/>
          <w:color w:val="auto"/>
        </w:rPr>
      </w:pPr>
      <w:r>
        <w:rPr>
          <w:rFonts w:ascii="Arial" w:cs="Arial" w:eastAsia="Arial" w:hAnsi="Arial"/>
          <w:sz w:val="16"/>
          <w:szCs w:val="16"/>
          <w:b w:val="1"/>
          <w:bCs w:val="1"/>
          <w:i w:val="1"/>
          <w:iCs w:val="1"/>
          <w:color w:val="auto"/>
        </w:rPr>
        <w:t>Director</w:t>
      </w:r>
    </w:p>
    <w:p>
      <w:pPr>
        <w:spacing w:after="0" w:line="236"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/s/ Dustan E. McCoy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27940</wp:posOffset>
                </wp:positionV>
                <wp:extent cx="3590925"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0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4999pt,2.2pt" to="234.25pt,2.2pt" o:allowincell="f" strokecolor="#000000" strokeweight="1pt"/>
            </w:pict>
          </mc:Fallback>
        </mc:AlternateContent>
      </w:r>
    </w:p>
    <w:p>
      <w:pPr>
        <w:spacing w:after="0" w:line="16"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Dustan E. McCoy</w:t>
      </w:r>
    </w:p>
    <w:p>
      <w:pPr>
        <w:jc w:val="center"/>
        <w:ind w:right="660"/>
        <w:spacing w:after="0"/>
        <w:rPr>
          <w:sz w:val="20"/>
          <w:szCs w:val="20"/>
          <w:color w:val="auto"/>
        </w:rPr>
      </w:pPr>
      <w:r>
        <w:rPr>
          <w:rFonts w:ascii="Arial" w:cs="Arial" w:eastAsia="Arial" w:hAnsi="Arial"/>
          <w:sz w:val="16"/>
          <w:szCs w:val="16"/>
          <w:b w:val="1"/>
          <w:bCs w:val="1"/>
          <w:i w:val="1"/>
          <w:iCs w:val="1"/>
          <w:color w:val="auto"/>
        </w:rPr>
        <w:t>Director</w:t>
      </w:r>
    </w:p>
    <w:p>
      <w:pPr>
        <w:spacing w:after="0" w:line="236"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/s/ Jean-Michel Ribiéras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27940</wp:posOffset>
                </wp:positionV>
                <wp:extent cx="3590925"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0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4999pt,2.2pt" to="234.25pt,2.2pt" o:allowincell="f" strokecolor="#000000" strokeweight="1pt"/>
            </w:pict>
          </mc:Fallback>
        </mc:AlternateContent>
      </w:r>
    </w:p>
    <w:p>
      <w:pPr>
        <w:spacing w:after="0" w:line="16"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Jean-Michel Ribiéras</w:t>
      </w:r>
    </w:p>
    <w:p>
      <w:pPr>
        <w:jc w:val="center"/>
        <w:ind w:right="660"/>
        <w:spacing w:after="0"/>
        <w:rPr>
          <w:sz w:val="20"/>
          <w:szCs w:val="20"/>
          <w:color w:val="auto"/>
        </w:rPr>
      </w:pPr>
      <w:r>
        <w:rPr>
          <w:rFonts w:ascii="Arial" w:cs="Arial" w:eastAsia="Arial" w:hAnsi="Arial"/>
          <w:sz w:val="16"/>
          <w:szCs w:val="16"/>
          <w:b w:val="1"/>
          <w:bCs w:val="1"/>
          <w:i w:val="1"/>
          <w:iCs w:val="1"/>
          <w:color w:val="auto"/>
        </w:rPr>
        <w:t>Director</w:t>
      </w:r>
    </w:p>
    <w:p>
      <w:pPr>
        <w:spacing w:after="0" w:line="236"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/s/ Ty R. Silberhorn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-615950</wp:posOffset>
                </wp:positionH>
                <wp:positionV relativeFrom="paragraph">
                  <wp:posOffset>27940</wp:posOffset>
                </wp:positionV>
                <wp:extent cx="3590925"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0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4999pt,2.2pt" to="234.25pt,2.2pt" o:allowincell="f" strokecolor="#000000" strokeweight="1pt"/>
            </w:pict>
          </mc:Fallback>
        </mc:AlternateContent>
      </w:r>
    </w:p>
    <w:p>
      <w:pPr>
        <w:spacing w:after="0" w:line="16"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Ty R. Silberhorn</w:t>
      </w:r>
    </w:p>
    <w:p>
      <w:pPr>
        <w:jc w:val="center"/>
        <w:ind w:right="660"/>
        <w:spacing w:after="0"/>
        <w:rPr>
          <w:sz w:val="20"/>
          <w:szCs w:val="20"/>
          <w:color w:val="auto"/>
        </w:rPr>
      </w:pPr>
      <w:r>
        <w:rPr>
          <w:rFonts w:ascii="Arial" w:cs="Arial" w:eastAsia="Arial" w:hAnsi="Arial"/>
          <w:sz w:val="16"/>
          <w:szCs w:val="16"/>
          <w:b w:val="1"/>
          <w:bCs w:val="1"/>
          <w:i w:val="1"/>
          <w:iCs w:val="1"/>
          <w:color w:val="auto"/>
        </w:rPr>
        <w:t>Director</w:t>
      </w:r>
    </w:p>
    <w:p>
      <w:pPr>
        <w:spacing w:after="0" w:line="200" w:lineRule="exact"/>
        <w:rPr>
          <w:sz w:val="20"/>
          <w:szCs w:val="20"/>
          <w:color w:val="auto"/>
        </w:rPr>
      </w:pPr>
    </w:p>
    <w:p>
      <w:pPr>
        <w:sectPr>
          <w:pgSz w:w="11880" w:h="15480" w:orient="portrait"/>
          <w:cols w:equalWidth="0" w:num="2">
            <w:col w:w="4340" w:space="720"/>
            <w:col w:w="4380"/>
          </w:cols>
          <w:pgMar w:left="1220" w:top="1152" w:right="1220" w:bottom="22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9440"/>
          </w:cols>
          <w:pgMar w:left="1220" w:top="1152" w:right="1220" w:bottom="227" w:gutter="0" w:footer="0" w:header="0"/>
          <w:type w:val="continuous"/>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This page intentionally left blank</w:t>
      </w:r>
    </w:p>
    <w:p>
      <w:pPr>
        <w:sectPr>
          <w:pgSz w:w="11880" w:h="15480" w:orient="portrait"/>
          <w:cols w:equalWidth="0" w:num="1">
            <w:col w:w="9000"/>
          </w:cols>
          <w:pgMar w:left="1440" w:top="1440" w:right="1440" w:bottom="1440" w:gutter="0" w:footer="0" w:header="0"/>
        </w:sectPr>
      </w:pPr>
    </w:p>
    <w:bookmarkStart w:id="108" w:name="page109"/>
    <w:bookmarkEnd w:id="108"/>
    <w:p>
      <w:pPr>
        <w:ind w:right="20"/>
        <w:spacing w:after="0" w:line="228" w:lineRule="auto"/>
        <w:rPr>
          <w:sz w:val="20"/>
          <w:szCs w:val="20"/>
          <w:color w:val="auto"/>
        </w:rPr>
      </w:pPr>
      <w:r>
        <w:rPr>
          <w:rFonts w:ascii="Arial" w:cs="Arial" w:eastAsia="Arial" w:hAnsi="Arial"/>
          <w:sz w:val="42"/>
          <w:szCs w:val="42"/>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18973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55">
                      <a:extLst>
                        <a:ext uri="{28A0092B-C50C-407E-A947-70E740481C1C}"/>
                      </a:extLst>
                    </a:blip>
                    <a:srcRect/>
                    <a:stretch>
                      <a:fillRect/>
                    </a:stretch>
                  </pic:blipFill>
                  <pic:spPr bwMode="auto">
                    <a:xfrm>
                      <a:off x="0" y="0"/>
                      <a:ext cx="7543800" cy="1897380"/>
                    </a:xfrm>
                    <a:prstGeom prst="rect">
                      <a:avLst/>
                    </a:prstGeom>
                    <a:noFill/>
                  </pic:spPr>
                </pic:pic>
              </a:graphicData>
            </a:graphic>
          </wp:anchor>
        </w:drawing>
        <w:t>LP EXECUTIVE OFFICERS, BOARD OF DIRECTORS, AND STOCKHOLDER INFORMATION</w:t>
      </w:r>
    </w:p>
    <w:p>
      <w:pPr>
        <w:sectPr>
          <w:pgSz w:w="11880" w:h="15480" w:orient="portrait"/>
          <w:cols w:equalWidth="0" w:num="1">
            <w:col w:w="10300"/>
          </w:cols>
          <w:pgMar w:left="720" w:top="1200" w:right="860" w:bottom="3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b w:val="1"/>
          <w:bCs w:val="1"/>
          <w:color w:val="3F0004"/>
        </w:rPr>
        <w:t>EXECUTIVE OFFICERS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404040"/>
        </w:rPr>
        <w:t>JASON P. RINGBLOM</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404040"/>
        </w:rPr>
        <w:t>Chief Executive Officer</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404040"/>
        </w:rPr>
        <w:t>ALAN J.M. HAUGHIE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404040"/>
        </w:rPr>
        <w:t>Executive Vice President,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404040"/>
        </w:rPr>
        <w:t>Chief Financial Officer</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404040"/>
        </w:rPr>
        <w:t>NICOLE C. DANIEL</w:t>
      </w:r>
    </w:p>
    <w:p>
      <w:pPr>
        <w:spacing w:after="0" w:line="24" w:lineRule="exact"/>
        <w:rPr>
          <w:sz w:val="20"/>
          <w:szCs w:val="20"/>
          <w:color w:val="auto"/>
        </w:rPr>
      </w:pPr>
    </w:p>
    <w:p>
      <w:pPr>
        <w:ind w:right="240"/>
        <w:spacing w:after="0" w:line="276" w:lineRule="auto"/>
        <w:rPr>
          <w:sz w:val="20"/>
          <w:szCs w:val="20"/>
          <w:color w:val="auto"/>
        </w:rPr>
      </w:pPr>
      <w:r>
        <w:rPr>
          <w:rFonts w:ascii="Arial" w:cs="Arial" w:eastAsia="Arial" w:hAnsi="Arial"/>
          <w:sz w:val="15"/>
          <w:szCs w:val="15"/>
          <w:color w:val="404040"/>
        </w:rPr>
        <w:t>Senior Vice President, General Counsel &amp; Corporate Secretary</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404040"/>
        </w:rPr>
        <w:t>ANTHONY HAMILL</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404040"/>
        </w:rPr>
        <w:t>Senior Vice President,</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404040"/>
        </w:rPr>
        <w:t>Chief Operating Officer</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404040"/>
        </w:rPr>
        <w:t>CRAIG M. SICHLING</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404040"/>
        </w:rPr>
        <w:t>Senior Vice President,</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404040"/>
        </w:rPr>
        <w:t>Chief Commercial Officer</w:t>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color w:val="3F0004"/>
        </w:rPr>
        <w:t>BOARD OF DIRECTORS*</w:t>
      </w:r>
    </w:p>
    <w:p>
      <w:pPr>
        <w:spacing w:after="0" w:line="128" w:lineRule="exact"/>
        <w:rPr>
          <w:sz w:val="20"/>
          <w:szCs w:val="20"/>
          <w:color w:val="auto"/>
        </w:rPr>
      </w:pPr>
    </w:p>
    <w:p>
      <w:pPr>
        <w:ind w:right="720"/>
        <w:spacing w:after="0" w:line="264" w:lineRule="auto"/>
        <w:rPr>
          <w:sz w:val="20"/>
          <w:szCs w:val="20"/>
          <w:color w:val="auto"/>
        </w:rPr>
      </w:pPr>
      <w:r>
        <w:rPr>
          <w:rFonts w:ascii="Arial" w:cs="Arial" w:eastAsia="Arial" w:hAnsi="Arial"/>
          <w:sz w:val="15"/>
          <w:szCs w:val="15"/>
          <w:b w:val="1"/>
          <w:bCs w:val="1"/>
          <w:color w:val="404040"/>
        </w:rPr>
        <w:t>F. NICHOLAS GRASBERGER III CHAIRPERSON</w:t>
      </w:r>
    </w:p>
    <w:p>
      <w:pPr>
        <w:spacing w:after="0" w:line="1"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404040"/>
        </w:rPr>
        <w:t>Executive Committee, Chair Compensation Committee Finance and Audit Committee Governance and Corporate Responsibility Committee</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b w:val="1"/>
          <w:bCs w:val="1"/>
          <w:color w:val="404040"/>
        </w:rPr>
        <w:t>KELLY H. BARRETT</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404040"/>
        </w:rPr>
        <w:t>Finance and Audit Committee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404040"/>
        </w:rPr>
        <w:t>Governance and Corporate Responsibility</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404040"/>
        </w:rPr>
        <w:t>Committee</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404040"/>
        </w:rPr>
        <w:t>JOSE A. BAYARDO</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404040"/>
        </w:rPr>
        <w:t>Finance and Audit Committee, Chair</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404040"/>
        </w:rPr>
        <w:t>Executive Committee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404040"/>
        </w:rPr>
        <w:t>Governance and Corporate Responsibility</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404040"/>
        </w:rPr>
        <w:t>Committee</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404040"/>
        </w:rPr>
        <w:t>LIZANNE M. BRUCE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404040"/>
        </w:rPr>
        <w:t>Governance and Corporate Responsibility</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404040"/>
        </w:rPr>
        <w:t>Committee, Chair</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404040"/>
        </w:rPr>
        <w:t>Compensation Committee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404040"/>
        </w:rPr>
        <w:t>Executive Committee</w:t>
      </w:r>
    </w:p>
    <w:p>
      <w:pPr>
        <w:spacing w:after="0" w:line="127"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b w:val="1"/>
          <w:bCs w:val="1"/>
          <w:color w:val="404040"/>
        </w:rPr>
        <w:t xml:space="preserve">OZEY K. HORTON, JR. </w:t>
      </w:r>
      <w:r>
        <w:rPr>
          <w:rFonts w:ascii="Arial" w:cs="Arial" w:eastAsia="Arial" w:hAnsi="Arial"/>
          <w:sz w:val="15"/>
          <w:szCs w:val="15"/>
          <w:color w:val="404040"/>
        </w:rPr>
        <w:t>Finance and Audit Committee Governance and Corporate Responsibility Committee</w:t>
      </w: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b w:val="1"/>
          <w:bCs w:val="1"/>
          <w:color w:val="404040"/>
        </w:rPr>
        <w:t>STEPHEN E. MACADAM</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404040"/>
        </w:rPr>
        <w:t>Compensation Committee, Chair</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404040"/>
        </w:rPr>
        <w:t>Executive Committee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404040"/>
        </w:rPr>
        <w:t>Governance and Corporate Responsibility</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404040"/>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404040"/>
        </w:rPr>
        <w:t>DUSTAN E. MCCOY</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404040"/>
        </w:rPr>
        <w:t>Compensation Committee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404040"/>
        </w:rPr>
        <w:t>Governance and Corporate Responsibility</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404040"/>
        </w:rPr>
        <w:t>Committee</w:t>
      </w:r>
    </w:p>
    <w:p>
      <w:pPr>
        <w:spacing w:after="0" w:line="127" w:lineRule="exact"/>
        <w:rPr>
          <w:sz w:val="20"/>
          <w:szCs w:val="20"/>
          <w:color w:val="auto"/>
        </w:rPr>
      </w:pPr>
    </w:p>
    <w:p>
      <w:pPr>
        <w:ind w:right="340"/>
        <w:spacing w:after="0" w:line="275" w:lineRule="auto"/>
        <w:rPr>
          <w:sz w:val="20"/>
          <w:szCs w:val="20"/>
          <w:color w:val="auto"/>
        </w:rPr>
      </w:pPr>
      <w:r>
        <w:rPr>
          <w:rFonts w:ascii="Arial" w:cs="Arial" w:eastAsia="Arial" w:hAnsi="Arial"/>
          <w:sz w:val="15"/>
          <w:szCs w:val="15"/>
          <w:b w:val="1"/>
          <w:bCs w:val="1"/>
          <w:color w:val="404040"/>
        </w:rPr>
        <w:t xml:space="preserve">JEAN-MICHEL RIBIÉRAS </w:t>
      </w:r>
      <w:r>
        <w:rPr>
          <w:rFonts w:ascii="Arial" w:cs="Arial" w:eastAsia="Arial" w:hAnsi="Arial"/>
          <w:sz w:val="15"/>
          <w:szCs w:val="15"/>
          <w:color w:val="404040"/>
        </w:rPr>
        <w:t>Finance and Audit Committee Governance and Corporate Responsibility Committee</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color w:val="404040"/>
        </w:rPr>
        <w:t>JASON P. RINGBLOM</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404040"/>
        </w:rPr>
        <w:t>Executive Committee</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404040"/>
        </w:rPr>
        <w:t>TY R. SILBERHORN</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404040"/>
        </w:rPr>
        <w:t>Compensation Committee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404040"/>
        </w:rPr>
        <w:t>Governance and Corporate Responsibility</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404040"/>
        </w:rPr>
        <w:t>Committee</w:t>
      </w: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b w:val="1"/>
          <w:bCs w:val="1"/>
          <w:color w:val="3F0004"/>
        </w:rPr>
        <w:t>STOCKHOLDER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404040"/>
        </w:rPr>
        <w:t>Corporate Office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404040"/>
        </w:rPr>
        <w:t>1610 West End Ave., Suite 200</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404040"/>
        </w:rPr>
        <w:t>Nashville, TN 37203</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404040"/>
        </w:rPr>
        <w:t>615-986-5600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www.lpcorp.com</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404040"/>
        </w:rPr>
        <w:t xml:space="preserve">Ticker Symbol: </w:t>
      </w:r>
      <w:r>
        <w:rPr>
          <w:rFonts w:ascii="Arial" w:cs="Arial" w:eastAsia="Arial" w:hAnsi="Arial"/>
          <w:sz w:val="15"/>
          <w:szCs w:val="15"/>
          <w:color w:val="404040"/>
        </w:rPr>
        <w:t>LPX</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404040"/>
        </w:rPr>
        <w:t>Louisiana-Pacific Corporation’s common stock</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404040"/>
        </w:rPr>
        <w:t>is listed on the New York Stock Exchange.</w:t>
      </w: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b w:val="1"/>
          <w:bCs w:val="1"/>
          <w:color w:val="3F0004"/>
        </w:rPr>
        <w:t>ANNUAL MEETING</w:t>
      </w:r>
    </w:p>
    <w:p>
      <w:pPr>
        <w:spacing w:after="0" w:line="49" w:lineRule="exact"/>
        <w:rPr>
          <w:sz w:val="20"/>
          <w:szCs w:val="20"/>
          <w:color w:val="auto"/>
        </w:rPr>
      </w:pPr>
    </w:p>
    <w:p>
      <w:pPr>
        <w:ind w:right="120"/>
        <w:spacing w:after="0" w:line="307" w:lineRule="auto"/>
        <w:rPr>
          <w:sz w:val="20"/>
          <w:szCs w:val="20"/>
          <w:color w:val="auto"/>
        </w:rPr>
      </w:pPr>
      <w:r>
        <w:rPr>
          <w:rFonts w:ascii="Arial" w:cs="Arial" w:eastAsia="Arial" w:hAnsi="Arial"/>
          <w:sz w:val="15"/>
          <w:szCs w:val="15"/>
          <w:color w:val="404040"/>
        </w:rPr>
        <w:t xml:space="preserve">The annual meeting of stockholders will take place on Friday, May 1, 2026 via live audio webcast. Additional copies of LP’s Annual Report on Form 10-K for the year ended December 31, 2025, filed with the Securities and Exchange Commission, will be available upon request to the corporate office and on LP’s website at </w:t>
      </w:r>
      <w:r>
        <w:rPr>
          <w:rFonts w:ascii="Arial" w:cs="Arial" w:eastAsia="Arial" w:hAnsi="Arial"/>
          <w:sz w:val="15"/>
          <w:szCs w:val="15"/>
          <w:u w:val="single" w:color="auto"/>
          <w:color w:val="440005"/>
        </w:rPr>
        <w:t>https://investor.lpcorp.com</w:t>
      </w:r>
      <w:r>
        <w:rPr>
          <w:rFonts w:ascii="Arial" w:cs="Arial" w:eastAsia="Arial" w:hAnsi="Arial"/>
          <w:sz w:val="15"/>
          <w:szCs w:val="15"/>
          <w:color w:val="404040"/>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3F0004"/>
        </w:rPr>
        <w:t>DIVIDEND REINVESTMENT</w:t>
      </w:r>
    </w:p>
    <w:p>
      <w:pPr>
        <w:spacing w:after="0" w:line="21" w:lineRule="exact"/>
        <w:rPr>
          <w:sz w:val="20"/>
          <w:szCs w:val="20"/>
          <w:color w:val="auto"/>
        </w:rPr>
      </w:pPr>
    </w:p>
    <w:p>
      <w:pPr>
        <w:spacing w:after="0" w:line="269" w:lineRule="auto"/>
        <w:rPr>
          <w:sz w:val="20"/>
          <w:szCs w:val="20"/>
          <w:color w:val="auto"/>
        </w:rPr>
      </w:pPr>
      <w:r>
        <w:rPr>
          <w:rFonts w:ascii="Arial" w:cs="Arial" w:eastAsia="Arial" w:hAnsi="Arial"/>
          <w:sz w:val="15"/>
          <w:szCs w:val="15"/>
          <w:color w:val="404040"/>
        </w:rPr>
        <w:t>Holders of common stock may automatically reinvest dividends toward the purchase of additional shares of LP’s common stock. For a copy of a brochure describing the plan and an application, contact Computershare:</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color w:val="404040"/>
        </w:rPr>
        <w:t>Computershare Trust Company, N.A.</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404040"/>
        </w:rPr>
        <w:t>Dividend Reinvestment Plans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404040"/>
        </w:rPr>
        <w:t>P.O. Box 505000</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404040"/>
        </w:rPr>
        <w:t>Louisville, KY 40233</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404040"/>
        </w:rPr>
        <w:t>800-756-8200</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www.computershare.com/investor</w:t>
      </w:r>
    </w:p>
    <w:p>
      <w:pPr>
        <w:spacing w:after="0" w:line="351" w:lineRule="exact"/>
        <w:rPr>
          <w:sz w:val="20"/>
          <w:szCs w:val="20"/>
          <w:color w:val="auto"/>
        </w:rPr>
      </w:pPr>
    </w:p>
    <w:p>
      <w:pPr>
        <w:ind w:right="1020"/>
        <w:spacing w:after="0" w:line="296" w:lineRule="auto"/>
        <w:rPr>
          <w:sz w:val="20"/>
          <w:szCs w:val="20"/>
          <w:color w:val="auto"/>
        </w:rPr>
      </w:pPr>
      <w:r>
        <w:rPr>
          <w:rFonts w:ascii="Arial" w:cs="Arial" w:eastAsia="Arial" w:hAnsi="Arial"/>
          <w:sz w:val="19"/>
          <w:szCs w:val="19"/>
          <w:b w:val="1"/>
          <w:bCs w:val="1"/>
          <w:color w:val="3F0004"/>
        </w:rPr>
        <w:t>TRANSFER AGENT AND REGISTRAR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404040"/>
        </w:rPr>
        <w:t>Computershare Trust Company, N.A.</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404040"/>
        </w:rPr>
        <w:t>P.O. Box 505000</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404040"/>
        </w:rPr>
        <w:t>Louisville, KY 40233</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404040"/>
        </w:rPr>
        <w:t>800-756-8200</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www.computershare.com</w:t>
      </w: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b w:val="1"/>
          <w:bCs w:val="1"/>
          <w:color w:val="3F0004"/>
        </w:rPr>
        <w:t>INVESTOR RELATIONS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404040"/>
        </w:rPr>
        <w:t>Aaron Howald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404040"/>
        </w:rPr>
        <w:t>615-986-5600</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Investor.Relations@lpcorp.com</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color w:val="3F0004"/>
        </w:rPr>
        <w:t>MEDIA</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404040"/>
        </w:rPr>
        <w:t>615-986-5886</w:t>
      </w:r>
    </w:p>
    <w:p>
      <w:pPr>
        <w:spacing w:after="0" w:line="28" w:lineRule="exact"/>
        <w:rPr>
          <w:sz w:val="20"/>
          <w:szCs w:val="20"/>
          <w:color w:val="auto"/>
        </w:rPr>
      </w:pPr>
    </w:p>
    <w:p>
      <w:pPr>
        <w:jc w:val="center"/>
        <w:ind w:right="680"/>
        <w:spacing w:after="0"/>
        <w:rPr>
          <w:sz w:val="20"/>
          <w:szCs w:val="20"/>
          <w:color w:val="auto"/>
        </w:rPr>
      </w:pPr>
      <w:r>
        <w:rPr>
          <w:rFonts w:ascii="Arial" w:cs="Arial" w:eastAsia="Arial" w:hAnsi="Arial"/>
          <w:sz w:val="15"/>
          <w:szCs w:val="15"/>
          <w:b w:val="1"/>
          <w:bCs w:val="1"/>
          <w:color w:val="auto"/>
        </w:rPr>
        <w:t>Media.Relations@lpcorp.com</w:t>
      </w: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color w:val="3F0004"/>
        </w:rPr>
        <w:t>INDEPENDENT AUDITORS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404040"/>
        </w:rPr>
        <w:t>Deloitte and Touche LLP</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404040"/>
        </w:rPr>
        <w:t>Nashville, Tennessee</w:t>
      </w: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color w:val="3F0004"/>
        </w:rPr>
        <w:t>COUNSEL</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404040"/>
        </w:rPr>
        <w:t>Bass, Berry &amp; Sims PLC</w:t>
      </w:r>
    </w:p>
    <w:p>
      <w:pPr>
        <w:spacing w:after="0" w:line="2263" w:lineRule="exact"/>
        <w:rPr>
          <w:sz w:val="20"/>
          <w:szCs w:val="20"/>
          <w:color w:val="auto"/>
        </w:rPr>
      </w:pPr>
    </w:p>
    <w:p>
      <w:pPr>
        <w:sectPr>
          <w:pgSz w:w="11880" w:h="15480" w:orient="portrait"/>
          <w:cols w:equalWidth="0" w:num="3">
            <w:col w:w="2940" w:space="720"/>
            <w:col w:w="3200" w:space="640"/>
            <w:col w:w="2800"/>
          </w:cols>
          <w:pgMar w:left="720" w:top="1200" w:right="860" w:bottom="346"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i w:val="1"/>
          <w:iCs w:val="1"/>
          <w:color w:val="404040"/>
        </w:rPr>
        <w:t>*Biographical information for the directors is contained under the heading “Proposal 1: Election of Directors” in LP’s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7082790</wp:posOffset>
            </wp:positionH>
            <wp:positionV relativeFrom="paragraph">
              <wp:posOffset>574040</wp:posOffset>
            </wp:positionV>
            <wp:extent cx="4763" cy="4763"/>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56">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574040</wp:posOffset>
            </wp:positionV>
            <wp:extent cx="4763" cy="4763"/>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57">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ectPr>
          <w:pgSz w:w="11880" w:h="15480" w:orient="portrait"/>
          <w:cols w:equalWidth="0" w:num="1">
            <w:col w:w="10300"/>
          </w:cols>
          <w:pgMar w:left="720" w:top="1200" w:right="860" w:bottom="346" w:gutter="0" w:footer="0" w:header="0"/>
          <w:type w:val="continuous"/>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25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10" w:name="page111"/>
    <w:bookmarkEnd w:id="110"/>
    <w:p>
      <w:pPr>
        <w:ind w:left="20"/>
        <w:spacing w:after="0"/>
        <w:rPr>
          <w:sz w:val="20"/>
          <w:szCs w:val="20"/>
          <w:color w:val="auto"/>
        </w:rPr>
      </w:pPr>
      <w:r>
        <w:rPr>
          <w:rFonts w:ascii="Arial" w:cs="Arial" w:eastAsia="Arial" w:hAnsi="Arial"/>
          <w:sz w:val="56"/>
          <w:szCs w:val="56"/>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18980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259">
                      <a:extLst>
                        <a:ext uri="{28A0092B-C50C-407E-A947-70E740481C1C}"/>
                      </a:extLst>
                    </a:blip>
                    <a:srcRect/>
                    <a:stretch>
                      <a:fillRect/>
                    </a:stretch>
                  </pic:blipFill>
                  <pic:spPr bwMode="auto">
                    <a:xfrm>
                      <a:off x="0" y="0"/>
                      <a:ext cx="7543800" cy="1898015"/>
                    </a:xfrm>
                    <a:prstGeom prst="rect">
                      <a:avLst/>
                    </a:prstGeom>
                    <a:noFill/>
                  </pic:spPr>
                </pic:pic>
              </a:graphicData>
            </a:graphic>
          </wp:anchor>
        </w:drawing>
        <w:t>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3F0004"/>
        </w:rPr>
        <w:t>CAUTIONARY STATEMENT REGARDING FORWARD-LOOKING STATEMENTS</w:t>
      </w:r>
    </w:p>
    <w:p>
      <w:pPr>
        <w:spacing w:after="0" w:line="20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2D2B35"/>
        </w:rPr>
        <w:t>This annual report contains statements concerning Louisiana-Pacific Corporation’s (LP) future results and performance that are forward-looking statements within the meaning of the Private Securities Litigation Reform Act of 1995. These statements are based upon the beliefs and assumptions of, and on information currently available to, our management. The following statements are or may constitute forward-looking statements: statements preceded by, followed by or that include words like “may,” “will,” “could,” “should,” “believe,” “expect,” “anticipate,” “assume,” “intend,” “plan,” “seek,” “estimate,” “project,” “target,” “potential,” “continue,” “likely,” or “future,” as well as similar expressions,</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2D2B35"/>
        </w:rPr>
        <w:t>or the negative or other variations thereof. Forward-looking statements include other statements regarding matters that are not historical facts including without limitation, plans for product development, forecasts of future costs and expenditures, possible outcomes of legal proceedings, capacity expansion and other growth initiatives, the adequacy of reserves for loss contingencies, and any statements regarding the company’s financial outlook. Factors that could cause actual results to differ materially from those expressed or implied by forward-looking statements include, but are not limited to, the following: changes in governmental fiscal, trade, and monetary policies, including the imposition of higher or new tariffs, trade barriers, and levels of employment; changes in general and global economic conditions, including impacts from rising inflation, supply chain disruptions, new, ongoing, or escalated geopolitical or military conflicts or tensions; the commodity nature of a segment of our products and the prices for those products, which are determined in significant part by external factors, such as total industry capacity and wider industry cycles affecting supply and demand trends; changes in the cost and availability of capital; changes in the cost and availability of financing for home mortgages; changes in the level of home construction and repair and remodel activity, including as a result of labor shortages; changes in competitive conditions and prices for our products; changes in the relationship between the supply</w:t>
      </w:r>
    </w:p>
    <w:p>
      <w:pPr>
        <w:spacing w:after="0" w:line="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2D2B35"/>
        </w:rPr>
        <w:t>of and demand for building products; changes in the financial or business conditions of third-party wholesale distributors and dealers of building products; changes in prices and the relationship between the supply of and demand for raw materials, including wood fiber and resins, used in manufacturing our products; changes in the cost and availability of energy, primarily natural gas, electricity, and diesel fuel; changes in the cost and availability of transportation, including transportation services provided by third parties; our dependence on third-party vendors and suppliers for certain goods and services critical to our business; operational and financial impacts from manufacturing our products internationally; difficulties in the development, launch or production ramp-up of new products; our ability to attract and retain qualified executives, management and other key employees; the need to formulate and implement effective succession plans from time to time for key members of our management team; impacts from public health issues (including global pandemics) on the economy, demand for our products or our operations, including the actions and recommendations of governmental authorities to contain such public health issues; our ability to identify and successfully complete and integrate acquisitions, divestitures, joint ventures, capital investments and other corporate strategic transactions; 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 changes in global</w:t>
      </w:r>
    </w:p>
    <w:p>
      <w:pPr>
        <w:spacing w:after="0" w:line="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2D2B35"/>
        </w:rPr>
        <w:t>or regional climate conditions, the impacts of climate change, and potential government policies adopted in response to such conditions; changes in other significant operating expenses; changes in currency values and exchange rates between the U.S. dollar and other currencies, particularly the Canadian dollar, Brazilian real, Chilean peso, and Argentine peso; 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 changes in tax laws and interpretations thereof; changes in circumstances giving rise to environmental liabilities or expenditures; warranty costs exceeding our warranty reserves; challenges to or exploitation of our intellectual property or other proprietary information by our competitors or other third parties; the resolution of existing and future product-related litigation, environmental proceedings and remediation efforts, and other legal or environmental proceedings or matters; the effect of covenants and events of default contained in our debt instruments; the amount and timing of any repurchases of our common stock and the payment of dividends on our common stock, which will depend on market and business conditions and other considerations; cybersecurity events affecting our information technology systems or those of our third-party providers and the related costs and impact of any disruption on our business; and acts of public authorities, war, political or civil unrest, natural disasters, fire, floods, earthquakes, inclement weather, and other matters beyond our control.</w:t>
      </w:r>
    </w:p>
    <w:p>
      <w:pPr>
        <w:spacing w:after="0" w:line="94"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2D2B35"/>
        </w:rPr>
        <w:t>In addition to the foregoing and any risks and uncertainties specifically identified in the text surrounding forward-looking statements, any statements in the reports and other documents filed by us with or furnished by us to the Securities and Exchange Commission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85" w:lineRule="exact"/>
        <w:rPr>
          <w:sz w:val="20"/>
          <w:szCs w:val="20"/>
          <w:color w:val="auto"/>
        </w:rPr>
      </w:pPr>
    </w:p>
    <w:p>
      <w:pPr>
        <w:spacing w:after="0" w:line="251" w:lineRule="auto"/>
        <w:rPr>
          <w:sz w:val="20"/>
          <w:szCs w:val="20"/>
          <w:color w:val="auto"/>
        </w:rPr>
      </w:pPr>
      <w:r>
        <w:rPr>
          <w:rFonts w:ascii="Arial" w:cs="Arial" w:eastAsia="Arial" w:hAnsi="Arial"/>
          <w:sz w:val="16"/>
          <w:szCs w:val="16"/>
          <w:color w:val="2D2B35"/>
        </w:rPr>
        <w:t>The forward-looking statements that we make, or that are made by others on our behalf, are based on our knowledge of our business and our operating environment and assumptions that we believe to be, or will believe to be, reasonable when such forward-looking statements are or will be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you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and are inherently uncertain. We undertake no obligation to revise or update any of the forward-looking statements to reflect subsequent events or circumstances except to the extent required by applicable law.</w:t>
      </w:r>
    </w:p>
    <w:p>
      <w:pPr>
        <w:sectPr>
          <w:pgSz w:w="11880" w:h="15480" w:orient="portrait"/>
          <w:cols w:equalWidth="0" w:num="1">
            <w:col w:w="10420"/>
          </w:cols>
          <w:pgMar w:left="900" w:top="1399" w:right="560" w:bottom="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3300095</wp:posOffset>
            </wp:positionH>
            <wp:positionV relativeFrom="page">
              <wp:posOffset>7733030</wp:posOffset>
            </wp:positionV>
            <wp:extent cx="944880" cy="8013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260">
                      <a:extLst>
                        <a:ext uri="{28A0092B-C50C-407E-A947-70E740481C1C}"/>
                      </a:extLst>
                    </a:blip>
                    <a:srcRect/>
                    <a:stretch>
                      <a:fillRect/>
                    </a:stretch>
                  </pic:blipFill>
                  <pic:spPr bwMode="auto">
                    <a:xfrm>
                      <a:off x="0" y="0"/>
                      <a:ext cx="944880" cy="801370"/>
                    </a:xfrm>
                    <a:prstGeom prst="rect">
                      <a:avLst/>
                    </a:prstGeom>
                    <a:noFill/>
                  </pic:spPr>
                </pic:pic>
              </a:graphicData>
            </a:graphic>
          </wp:anchor>
        </w:drawing>
        <w:drawing>
          <wp:anchor simplePos="0" relativeHeight="251657728" behindDoc="1" locked="0" layoutInCell="0" allowOverlap="1">
            <wp:simplePos x="0" y="0"/>
            <wp:positionH relativeFrom="page">
              <wp:posOffset>7539990</wp:posOffset>
            </wp:positionH>
            <wp:positionV relativeFrom="page">
              <wp:posOffset>0</wp:posOffset>
            </wp:positionV>
            <wp:extent cx="4763" cy="4763"/>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61">
                      <a:extLst>
                        <a:ext uri="{28A0092B-C50C-407E-A947-70E740481C1C}"/>
                      </a:extLst>
                    </a:blip>
                    <a:srcRect/>
                    <a:stretch>
                      <a:fillRect/>
                    </a:stretch>
                  </pic:blipFill>
                  <pic:spPr bwMode="auto">
                    <a:xfrm>
                      <a:off x="0" y="0"/>
                      <a:ext cx="4763" cy="4763"/>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4763" cy="4763"/>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262">
                      <a:extLst>
                        <a:ext uri="{28A0092B-C50C-407E-A947-70E740481C1C}"/>
                      </a:extLst>
                    </a:blip>
                    <a:srcRect/>
                    <a:stretch>
                      <a:fillRect/>
                    </a:stretch>
                  </pic:blipFill>
                  <pic:spPr bwMode="auto">
                    <a:xfrm>
                      <a:off x="0" y="0"/>
                      <a:ext cx="4763" cy="4763"/>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tabs>
          <w:tab w:leader="none" w:pos="140" w:val="left"/>
          <w:tab w:leader="none" w:pos="160" w:val="left"/>
          <w:tab w:leader="none" w:pos="140" w:val="left"/>
          <w:tab w:leader="none" w:pos="160" w:val="left"/>
        </w:tabs>
        <w:rPr>
          <w:sz w:val="20"/>
          <w:szCs w:val="20"/>
          <w:color w:val="auto"/>
        </w:rPr>
      </w:pPr>
      <w:r>
        <w:rPr>
          <w:rFonts w:ascii="Arial" w:cs="Arial" w:eastAsia="Arial" w:hAnsi="Arial"/>
          <w:sz w:val="16"/>
          <w:szCs w:val="16"/>
          <w:color w:val="404040"/>
        </w:rPr>
        <w:t>Louisiana-Pacific Corporation</w:t>
        <w:tab/>
        <w:t>|</w:t>
        <w:tab/>
        <w:t>1610 West End Ave., Suite 200, Nashville, TN 37203</w:t>
        <w:tab/>
        <w:t>|</w:t>
        <w:tab/>
        <w:t>615-986-5600</w:t>
      </w:r>
    </w:p>
    <w:p>
      <w:pPr>
        <w:sectPr>
          <w:pgSz w:w="11880" w:h="15480" w:orient="portrait"/>
          <w:cols w:equalWidth="0" w:num="1">
            <w:col w:w="9000"/>
          </w:cols>
          <w:pgMar w:left="1440" w:top="1440" w:right="1440" w:bottom="640" w:gutter="0" w:footer="0" w:header="0"/>
        </w:sectPr>
      </w:pPr>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color w:val="404040"/>
        </w:rPr>
        <w:t>© 2026 Louisiana-Pacific Corporation. All rights reserved. Sustainable Forestry Initiative is a registered trademark of the Sustainable Forestry Initiative,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5419090</wp:posOffset>
            </wp:positionH>
            <wp:positionV relativeFrom="paragraph">
              <wp:posOffset>50800</wp:posOffset>
            </wp:positionV>
            <wp:extent cx="880745" cy="4343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263">
                      <a:extLst>
                        <a:ext uri="{28A0092B-C50C-407E-A947-70E740481C1C}"/>
                      </a:extLst>
                    </a:blip>
                    <a:srcRect/>
                    <a:stretch>
                      <a:fillRect/>
                    </a:stretch>
                  </pic:blipFill>
                  <pic:spPr bwMode="auto">
                    <a:xfrm>
                      <a:off x="0" y="0"/>
                      <a:ext cx="880745" cy="434340"/>
                    </a:xfrm>
                    <a:prstGeom prst="rect">
                      <a:avLst/>
                    </a:prstGeom>
                    <a:noFill/>
                  </pic:spPr>
                </pic:pic>
              </a:graphicData>
            </a:graphic>
          </wp:anchor>
        </w:drawing>
      </w:r>
    </w:p>
    <w:sectPr>
      <w:pgSz w:w="11880" w:h="15480" w:orient="portrait"/>
      <w:cols w:equalWidth="0" w:num="1">
        <w:col w:w="9000"/>
      </w:cols>
      <w:pgMar w:left="1440" w:top="1440" w:right="1440" w:bottom="6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o"/>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lvl w:ilvl="1">
      <w:lvlJc w:val="left"/>
      <w:lvlText w:val="•"/>
      <w:numFmt w:val="bullet"/>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2"/>
    </w:lvl>
  </w:abstractNum>
  <w:abstractNum w:abstractNumId="11">
    <w:nsid w:val="2D1D5AE9"/>
    <w:multiLevelType w:val="hybridMultilevel"/>
    <w:lvl w:ilvl="0">
      <w:lvlJc w:val="left"/>
      <w:lvlText w:val="%1."/>
      <w:numFmt w:val="decimal"/>
      <w:start w:val="3"/>
    </w:lvl>
  </w:abstractNum>
  <w:abstractNum w:abstractNumId="12">
    <w:nsid w:val="6763845E"/>
    <w:multiLevelType w:val="hybridMultilevel"/>
    <w:lvl w:ilvl="0">
      <w:lvlJc w:val="left"/>
      <w:lvlText w:val="%1."/>
      <w:numFmt w:val="decimal"/>
      <w:start w:val="4"/>
    </w:lvl>
  </w:abstractNum>
  <w:abstractNum w:abstractNumId="13">
    <w:nsid w:val="75A2A8D4"/>
    <w:multiLevelType w:val="hybridMultilevel"/>
    <w:lvl w:ilvl="0">
      <w:lvlJc w:val="left"/>
      <w:lvlText w:val="%1."/>
      <w:numFmt w:val="decimal"/>
      <w:start w:val="5"/>
    </w:lvl>
  </w:abstractNum>
  <w:abstractNum w:abstractNumId="14">
    <w:nsid w:val="8EDBDAB"/>
    <w:multiLevelType w:val="hybridMultilevel"/>
    <w:lvl w:ilvl="0">
      <w:lvlJc w:val="left"/>
      <w:lvlText w:val="1"/>
      <w:numFmt w:val="bullet"/>
      <w:start w:val="1"/>
    </w:lvl>
  </w:abstractNum>
  <w:abstractNum w:abstractNumId="15">
    <w:nsid w:val="79838CB2"/>
    <w:multiLevelType w:val="hybridMultilevel"/>
    <w:lvl w:ilvl="0">
      <w:lvlJc w:val="left"/>
      <w:lvlText w:val="2"/>
      <w:numFmt w:val="bullet"/>
      <w:start w:val="1"/>
    </w:lvl>
  </w:abstractNum>
  <w:abstractNum w:abstractNumId="16">
    <w:nsid w:val="4353D0CD"/>
    <w:multiLevelType w:val="hybridMultilevel"/>
    <w:lvl w:ilvl="0">
      <w:lvlJc w:val="left"/>
      <w:lvlText w:val="%1."/>
      <w:numFmt w:val="decimal"/>
      <w:start w:val="6"/>
    </w:lvl>
  </w:abstractNum>
  <w:abstractNum w:abstractNumId="17">
    <w:nsid w:val="B03E0C6"/>
    <w:multiLevelType w:val="hybridMultilevel"/>
    <w:lvl w:ilvl="0">
      <w:lvlJc w:val="left"/>
      <w:lvlText w:val="%1."/>
      <w:numFmt w:val="decimal"/>
      <w:start w:val="7"/>
    </w:lvl>
  </w:abstractNum>
  <w:abstractNum w:abstractNumId="18">
    <w:nsid w:val="189A769B"/>
    <w:multiLevelType w:val="hybridMultilevel"/>
    <w:lvl w:ilvl="0">
      <w:lvlJc w:val="left"/>
      <w:lvlText w:val="%1."/>
      <w:numFmt w:val="decimal"/>
      <w:start w:val="8"/>
    </w:lvl>
  </w:abstractNum>
  <w:abstractNum w:abstractNumId="19">
    <w:nsid w:val="54E49EB4"/>
    <w:multiLevelType w:val="hybridMultilevel"/>
    <w:lvl w:ilvl="0">
      <w:lvlJc w:val="left"/>
      <w:lvlText w:val="%1."/>
      <w:numFmt w:val="decimal"/>
      <w:start w:val="9"/>
    </w:lvl>
  </w:abstractNum>
  <w:abstractNum w:abstractNumId="20">
    <w:nsid w:val="71F32454"/>
    <w:multiLevelType w:val="hybridMultilevel"/>
    <w:lvl w:ilvl="0">
      <w:lvlJc w:val="left"/>
      <w:lvlText w:val="1"/>
      <w:numFmt w:val="bullet"/>
      <w:start w:val="1"/>
    </w:lvl>
  </w:abstractNum>
  <w:abstractNum w:abstractNumId="21">
    <w:nsid w:val="2CA88611"/>
    <w:multiLevelType w:val="hybridMultilevel"/>
    <w:lvl w:ilvl="0">
      <w:lvlJc w:val="left"/>
      <w:lvlText w:val="%1."/>
      <w:numFmt w:val="decimal"/>
      <w:start w:val="10"/>
    </w:lvl>
  </w:abstractNum>
  <w:abstractNum w:abstractNumId="22">
    <w:nsid w:val="836C40E"/>
    <w:multiLevelType w:val="hybridMultilevel"/>
    <w:lvl w:ilvl="0">
      <w:lvlJc w:val="left"/>
      <w:lvlText w:val="%1."/>
      <w:numFmt w:val="decimal"/>
      <w:start w:val="11"/>
    </w:lvl>
  </w:abstractNum>
  <w:abstractNum w:abstractNumId="23">
    <w:nsid w:val="2901D82"/>
    <w:multiLevelType w:val="hybridMultilevel"/>
    <w:lvl w:ilvl="0">
      <w:lvlJc w:val="left"/>
      <w:lvlText w:val="%1."/>
      <w:numFmt w:val="decimal"/>
      <w:start w:val="12"/>
    </w:lvl>
  </w:abstractNum>
  <w:abstractNum w:abstractNumId="24">
    <w:nsid w:val="3A95F874"/>
    <w:multiLevelType w:val="hybridMultilevel"/>
    <w:lvl w:ilvl="0">
      <w:lvlJc w:val="left"/>
      <w:lvlText w:val="%1."/>
      <w:numFmt w:val="decimal"/>
      <w:start w:val="13"/>
    </w:lvl>
  </w:abstractNum>
  <w:abstractNum w:abstractNumId="25">
    <w:nsid w:val="8138641"/>
    <w:multiLevelType w:val="hybridMultilevel"/>
    <w:lvl w:ilvl="0">
      <w:lvlJc w:val="left"/>
      <w:lvlText w:val="%1."/>
      <w:numFmt w:val="decimal"/>
      <w:start w:val="14"/>
    </w:lvl>
  </w:abstractNum>
  <w:abstractNum w:abstractNumId="26">
    <w:nsid w:val="1E7FF521"/>
    <w:multiLevelType w:val="hybridMultilevel"/>
    <w:lvl w:ilvl="0">
      <w:lvlJc w:val="left"/>
      <w:lvlText w:val="%1."/>
      <w:numFmt w:val="decimal"/>
      <w:start w:val="15"/>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9"/>
    </w:lvl>
  </w:abstractNum>
  <w:abstractNum w:abstractNumId="29">
    <w:nsid w:val="6CEAF087"/>
    <w:multiLevelType w:val="hybridMultilevel"/>
    <w:lvl w:ilvl="0">
      <w:lvlJc w:val="left"/>
      <w:lvlText w:val="%1"/>
      <w:numFmt w:val="decimal"/>
      <w:start w:val="21"/>
    </w:lvl>
  </w:abstractNum>
  <w:abstractNum w:abstractNumId="30">
    <w:nsid w:val="22221A70"/>
    <w:multiLevelType w:val="hybridMultilevel"/>
    <w:lvl w:ilvl="0">
      <w:lvlJc w:val="left"/>
      <w:lvlText w:val="%1"/>
      <w:numFmt w:val="decimal"/>
      <w:start w:val="23"/>
    </w:lvl>
  </w:abstractNum>
  <w:abstractNum w:abstractNumId="31">
    <w:nsid w:val="4516DDE9"/>
    <w:multiLevelType w:val="hybridMultilevel"/>
    <w:lvl w:ilvl="0">
      <w:lvlJc w:val="left"/>
      <w:lvlText w:val="%1"/>
      <w:numFmt w:val="decimal"/>
      <w:start w:val="32"/>
    </w:lvl>
  </w:abstractNum>
  <w:abstractNum w:abstractNumId="32">
    <w:nsid w:val="3006C83E"/>
    <w:multiLevelType w:val="hybridMultilevel"/>
    <w:lvl w:ilvl="0">
      <w:lvlJc w:val="left"/>
      <w:lvlText w:val="%1"/>
      <w:numFmt w:val="decimal"/>
      <w:start w:val="97"/>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2026-03-20T20:03:12Z</dcterms:created>
  <dcterms:modified xsi:type="dcterms:W3CDTF">2026-03-20T20:03:12Z</dcterms:modified>
</cp:coreProperties>
</file>