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598170</wp:posOffset>
            </wp:positionH>
            <wp:positionV relativeFrom="page">
              <wp:posOffset>989330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956945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48895</wp:posOffset>
            </wp:positionV>
            <wp:extent cx="2185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85" w:lineRule="exact"/>
        <w:rPr>
          <w:sz w:val="24"/>
          <w:szCs w:val="24"/>
          <w:color w:val="auto"/>
        </w:rPr>
      </w:pPr>
    </w:p>
    <w:p>
      <w:pPr>
        <w:jc w:val="center"/>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2025</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6" w:lineRule="exact"/>
        <w:rPr>
          <w:sz w:val="24"/>
          <w:szCs w:val="24"/>
          <w:color w:val="auto"/>
        </w:rPr>
      </w:pPr>
    </w:p>
    <w:p>
      <w:pPr>
        <w:ind w:left="540" w:hanging="328"/>
        <w:spacing w:after="0"/>
        <w:tabs>
          <w:tab w:leader="none" w:pos="5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transition period from 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2482215</wp:posOffset>
            </wp:positionH>
            <wp:positionV relativeFrom="paragraph">
              <wp:posOffset>86360</wp:posOffset>
            </wp:positionV>
            <wp:extent cx="2185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LOUISIANA-PACIFIC CORPORATION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2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320" w:type="dxa"/>
            <w:vAlign w:val="bottom"/>
          </w:tcPr>
          <w:p>
            <w:pPr>
              <w:spacing w:after="0"/>
              <w:rPr>
                <w:sz w:val="5"/>
                <w:szCs w:val="5"/>
                <w:color w:val="auto"/>
              </w:rPr>
            </w:pPr>
          </w:p>
        </w:tc>
        <w:tc>
          <w:tcPr>
            <w:tcW w:w="184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74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40" w:type="dxa"/>
            <w:vAlign w:val="bottom"/>
            <w:gridSpan w:val="2"/>
            <w:vMerge w:val="restart"/>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93-0609074</w:t>
            </w:r>
          </w:p>
        </w:tc>
        <w:tc>
          <w:tcPr>
            <w:tcW w:w="0" w:type="dxa"/>
            <w:vAlign w:val="bottom"/>
          </w:tcPr>
          <w:p>
            <w:pPr>
              <w:spacing w:after="0"/>
              <w:rPr>
                <w:sz w:val="1"/>
                <w:szCs w:val="1"/>
                <w:color w:val="auto"/>
              </w:rPr>
            </w:pPr>
          </w:p>
        </w:tc>
      </w:tr>
      <w:tr>
        <w:trPr>
          <w:trHeight w:val="433"/>
        </w:trPr>
        <w:tc>
          <w:tcPr>
            <w:tcW w:w="132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16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8"/>
              </w:rPr>
              <w:t>(State of Incorporation)</w:t>
            </w: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2"/>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40" w:type="dxa"/>
            <w:vAlign w:val="bottom"/>
            <w:gridSpan w:val="2"/>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3160" w:type="dxa"/>
            <w:vAlign w:val="bottom"/>
            <w:gridSpan w:val="3"/>
          </w:tcPr>
          <w:p>
            <w:pPr>
              <w:jc w:val="center"/>
              <w:ind w:left="499"/>
              <w:spacing w:after="0"/>
              <w:rPr>
                <w:sz w:val="20"/>
                <w:szCs w:val="20"/>
                <w:color w:val="auto"/>
              </w:rPr>
            </w:pPr>
            <w:r>
              <w:rPr>
                <w:rFonts w:ascii="Times New Roman" w:cs="Times New Roman" w:eastAsia="Times New Roman" w:hAnsi="Times New Roman"/>
                <w:sz w:val="17"/>
                <w:szCs w:val="17"/>
                <w:b w:val="1"/>
                <w:bCs w:val="1"/>
                <w:color w:val="auto"/>
              </w:rPr>
              <w:t>1610 West End Ave. Suite 200</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160" w:type="dxa"/>
            <w:vAlign w:val="bottom"/>
            <w:gridSpan w:val="3"/>
          </w:tcPr>
          <w:p>
            <w:pPr>
              <w:jc w:val="center"/>
              <w:ind w:left="499"/>
              <w:spacing w:after="0"/>
              <w:rPr>
                <w:sz w:val="20"/>
                <w:szCs w:val="20"/>
                <w:color w:val="auto"/>
              </w:rPr>
            </w:pPr>
            <w:r>
              <w:rPr>
                <w:rFonts w:ascii="Times New Roman" w:cs="Times New Roman" w:eastAsia="Times New Roman" w:hAnsi="Times New Roman"/>
                <w:sz w:val="17"/>
                <w:szCs w:val="17"/>
                <w:b w:val="1"/>
                <w:bCs w:val="1"/>
                <w:color w:val="auto"/>
              </w:rPr>
              <w:t>Nashville TN 37203</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gridSpan w:val="2"/>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(615) 986 - 5600</w:t>
            </w:r>
          </w:p>
        </w:tc>
        <w:tc>
          <w:tcPr>
            <w:tcW w:w="0" w:type="dxa"/>
            <w:vAlign w:val="bottom"/>
          </w:tcPr>
          <w:p>
            <w:pPr>
              <w:spacing w:after="0"/>
              <w:rPr>
                <w:sz w:val="1"/>
                <w:szCs w:val="1"/>
                <w:color w:val="auto"/>
              </w:rPr>
            </w:pPr>
          </w:p>
        </w:tc>
      </w:tr>
      <w:tr>
        <w:trPr>
          <w:trHeight w:val="168"/>
        </w:trPr>
        <w:tc>
          <w:tcPr>
            <w:tcW w:w="316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40" w:type="dxa"/>
            <w:vAlign w:val="bottom"/>
            <w:gridSpan w:val="2"/>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7"/>
              </w:rPr>
              <w:t>including area code)</w:t>
            </w:r>
          </w:p>
        </w:tc>
        <w:tc>
          <w:tcPr>
            <w:tcW w:w="0" w:type="dxa"/>
            <w:vAlign w:val="bottom"/>
          </w:tcPr>
          <w:p>
            <w:pPr>
              <w:spacing w:after="0"/>
              <w:rPr>
                <w:sz w:val="1"/>
                <w:szCs w:val="1"/>
                <w:color w:val="auto"/>
              </w:rPr>
            </w:pPr>
          </w:p>
        </w:tc>
      </w:tr>
      <w:tr>
        <w:trPr>
          <w:trHeight w:val="371"/>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6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20" w:type="dxa"/>
            <w:vAlign w:val="bottom"/>
          </w:tcPr>
          <w:p>
            <w:pPr>
              <w:spacing w:after="0"/>
              <w:rPr>
                <w:sz w:val="22"/>
                <w:szCs w:val="22"/>
                <w:color w:val="auto"/>
              </w:rPr>
            </w:pPr>
          </w:p>
        </w:tc>
        <w:tc>
          <w:tcPr>
            <w:tcW w:w="18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8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7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60" w:type="dxa"/>
            <w:vAlign w:val="bottom"/>
            <w:gridSpan w:val="3"/>
          </w:tcPr>
          <w:p>
            <w:pPr>
              <w:jc w:val="center"/>
              <w:ind w:left="499"/>
              <w:spacing w:after="0"/>
              <w:rPr>
                <w:sz w:val="20"/>
                <w:szCs w:val="20"/>
                <w:color w:val="auto"/>
              </w:rPr>
            </w:pPr>
            <w:r>
              <w:rPr>
                <w:rFonts w:ascii="Times New Roman" w:cs="Times New Roman" w:eastAsia="Times New Roman" w:hAnsi="Times New Roman"/>
                <w:sz w:val="17"/>
                <w:szCs w:val="17"/>
                <w:color w:val="auto"/>
              </w:rPr>
              <w:t>Common Stock, $1 par value</w:t>
            </w: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80" w:type="dxa"/>
            <w:vAlign w:val="bottom"/>
            <w:gridSpan w:val="3"/>
          </w:tcPr>
          <w:p>
            <w:pPr>
              <w:jc w:val="center"/>
              <w:ind w:right="1920"/>
              <w:spacing w:after="0"/>
              <w:rPr>
                <w:sz w:val="20"/>
                <w:szCs w:val="20"/>
                <w:color w:val="auto"/>
              </w:rPr>
            </w:pPr>
            <w:r>
              <w:rPr>
                <w:rFonts w:ascii="Times New Roman" w:cs="Times New Roman" w:eastAsia="Times New Roman" w:hAnsi="Times New Roman"/>
                <w:sz w:val="17"/>
                <w:szCs w:val="17"/>
                <w:color w:val="auto"/>
                <w:w w:val="99"/>
              </w:rPr>
              <w:t>LPX</w:t>
            </w: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c>
          <w:tcPr>
            <w:tcW w:w="0" w:type="dxa"/>
            <w:vAlign w:val="bottom"/>
          </w:tcPr>
          <w:p>
            <w:pPr>
              <w:spacing w:after="0"/>
              <w:rPr>
                <w:sz w:val="1"/>
                <w:szCs w:val="1"/>
                <w:color w:val="auto"/>
              </w:rPr>
            </w:pPr>
          </w:p>
        </w:tc>
      </w:tr>
      <w:tr>
        <w:trPr>
          <w:trHeight w:val="348"/>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6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Securities registered pursuant to Section 12(g) of the Act: </w:t>
            </w:r>
            <w:r>
              <w:rPr>
                <w:rFonts w:ascii="Times New Roman" w:cs="Times New Roman" w:eastAsia="Times New Roman" w:hAnsi="Times New Roman"/>
                <w:sz w:val="17"/>
                <w:szCs w:val="17"/>
                <w:color w:val="auto"/>
              </w:rPr>
              <w:t>None</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3900" w:type="dxa"/>
            <w:vAlign w:val="bottom"/>
            <w:gridSpan w:val="4"/>
          </w:tcPr>
          <w:p>
            <w:pPr>
              <w:spacing w:after="0"/>
              <w:rPr>
                <w:sz w:val="6"/>
                <w:szCs w:val="6"/>
                <w:color w:val="auto"/>
              </w:rPr>
            </w:pPr>
          </w:p>
        </w:tc>
        <w:tc>
          <w:tcPr>
            <w:tcW w:w="3460" w:type="dxa"/>
            <w:vAlign w:val="bottom"/>
            <w:tcBorders>
              <w:bottom w:val="single" w:sz="8" w:color="auto"/>
            </w:tcBorders>
            <w:gridSpan w:val="3"/>
          </w:tcPr>
          <w:p>
            <w:pPr>
              <w:spacing w:after="0"/>
              <w:rPr>
                <w:sz w:val="6"/>
                <w:szCs w:val="6"/>
                <w:color w:val="auto"/>
              </w:rPr>
            </w:pPr>
          </w:p>
        </w:tc>
        <w:tc>
          <w:tcPr>
            <w:tcW w:w="132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8680" w:type="dxa"/>
            <w:vAlign w:val="bottom"/>
            <w:gridSpan w:val="9"/>
          </w:tcPr>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w:t>
            </w:r>
          </w:p>
        </w:tc>
        <w:tc>
          <w:tcPr>
            <w:tcW w:w="170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9"/>
        </w:trPr>
        <w:tc>
          <w:tcPr>
            <w:tcW w:w="86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tc>
        <w:tc>
          <w:tcPr>
            <w:tcW w:w="34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1700" w:type="dxa"/>
            <w:vAlign w:val="bottom"/>
          </w:tcPr>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-2136140</wp:posOffset>
            </wp:positionV>
            <wp:extent cx="786130" cy="66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6130" cy="662940"/>
                    </a:xfrm>
                    <a:prstGeom prst="rect">
                      <a:avLst/>
                    </a:prstGeom>
                    <a:noFill/>
                  </pic:spPr>
                </pic:pic>
              </a:graphicData>
            </a:graphic>
          </wp:anchor>
        </w:drawing>
      </w:r>
    </w:p>
    <w:p>
      <w:pPr>
        <w:spacing w:after="0" w:line="4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96"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620" w:type="dxa"/>
            <w:vAlign w:val="bottom"/>
          </w:tcPr>
          <w:p>
            <w:pPr>
              <w:ind w:left="800"/>
              <w:spacing w:after="0"/>
              <w:rPr>
                <w:sz w:val="20"/>
                <w:szCs w:val="20"/>
                <w:color w:val="auto"/>
              </w:rPr>
            </w:pPr>
            <w:r>
              <w:rPr>
                <w:rFonts w:ascii="Wingdings" w:cs="Wingdings" w:eastAsia="Wingdings" w:hAnsi="Wingdings"/>
                <w:sz w:val="17"/>
                <w:szCs w:val="17"/>
                <w:b w:val="1"/>
                <w:bCs w:val="1"/>
                <w:color w:val="auto"/>
              </w:rPr>
              <w:t>x</w:t>
            </w:r>
          </w:p>
        </w:tc>
        <w:tc>
          <w:tcPr>
            <w:tcW w:w="428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Accelerated filer</w:t>
            </w:r>
          </w:p>
        </w:tc>
        <w:tc>
          <w:tcPr>
            <w:tcW w:w="90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9"/>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620" w:type="dxa"/>
            <w:vAlign w:val="bottom"/>
          </w:tcPr>
          <w:p>
            <w:pPr>
              <w:ind w:left="800"/>
              <w:spacing w:after="0" w:line="171" w:lineRule="exact"/>
              <w:rPr>
                <w:sz w:val="20"/>
                <w:szCs w:val="20"/>
                <w:color w:val="auto"/>
              </w:rPr>
            </w:pPr>
            <w:r>
              <w:rPr>
                <w:rFonts w:ascii="MS PGothic" w:cs="MS PGothic" w:eastAsia="MS PGothic" w:hAnsi="MS PGothic"/>
                <w:sz w:val="17"/>
                <w:szCs w:val="17"/>
                <w:color w:val="auto"/>
              </w:rPr>
              <w:t>☐</w:t>
            </w:r>
          </w:p>
        </w:tc>
        <w:tc>
          <w:tcPr>
            <w:tcW w:w="428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00" w:type="dxa"/>
            <w:vAlign w:val="bottom"/>
          </w:tcPr>
          <w:p>
            <w:pPr>
              <w:ind w:left="7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9"/>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2620" w:type="dxa"/>
            <w:vAlign w:val="bottom"/>
          </w:tcPr>
          <w:p>
            <w:pPr>
              <w:ind w:left="800"/>
              <w:spacing w:after="0" w:line="171" w:lineRule="exact"/>
              <w:rPr>
                <w:sz w:val="20"/>
                <w:szCs w:val="20"/>
                <w:color w:val="auto"/>
              </w:rPr>
            </w:pPr>
            <w:r>
              <w:rPr>
                <w:rFonts w:ascii="MS PGothic" w:cs="MS PGothic" w:eastAsia="MS PGothic" w:hAnsi="MS PGothic"/>
                <w:sz w:val="17"/>
                <w:szCs w:val="17"/>
                <w:color w:val="auto"/>
              </w:rPr>
              <w:t>☐</w:t>
            </w:r>
          </w:p>
        </w:tc>
        <w:tc>
          <w:tcPr>
            <w:tcW w:w="4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51" w:lineRule="exact"/>
        <w:rPr>
          <w:sz w:val="24"/>
          <w:szCs w:val="24"/>
          <w:color w:val="auto"/>
        </w:rPr>
      </w:pPr>
    </w:p>
    <w:p>
      <w:pPr>
        <w:sectPr>
          <w:pgSz w:w="11900" w:h="16838" w:orient="portrait"/>
          <w:cols w:equalWidth="0" w:num="1">
            <w:col w:w="11240"/>
          </w:cols>
          <w:pgMar w:left="320" w:top="1440" w:right="339" w:bottom="7" w:gutter="0" w:footer="0" w:header="0"/>
        </w:sectPr>
      </w:pPr>
    </w:p>
    <w:p>
      <w:pPr>
        <w:spacing w:after="0" w:line="287"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ind w:hanging="82"/>
        <w:spacing w:after="0" w:line="253" w:lineRule="auto"/>
        <w:rPr>
          <w:sz w:val="20"/>
          <w:szCs w:val="20"/>
          <w:color w:val="auto"/>
        </w:rPr>
      </w:pPr>
      <w:r>
        <w:rPr>
          <w:rFonts w:ascii="Times New Roman" w:cs="Times New Roman" w:eastAsia="Times New Roman" w:hAnsi="Times New Roman"/>
          <w:sz w:val="17"/>
          <w:szCs w:val="17"/>
          <w:color w:val="auto"/>
        </w:rPr>
        <w:t xml:space="preserve">use the extended transition period for complying with any new or </w:t>
      </w:r>
      <w:r>
        <w:rPr>
          <w:rFonts w:ascii="Wingdings" w:cs="Wingdings" w:eastAsia="Wingdings" w:hAnsi="Wingdings"/>
          <w:sz w:val="17"/>
          <w:szCs w:val="17"/>
          <w:b w:val="1"/>
          <w:bCs w:val="1"/>
          <w:color w:val="auto"/>
        </w:rPr>
        <w:t>o</w:t>
      </w:r>
    </w:p>
    <w:p>
      <w:pPr>
        <w:spacing w:after="0" w:line="309" w:lineRule="exact"/>
        <w:rPr>
          <w:sz w:val="24"/>
          <w:szCs w:val="24"/>
          <w:color w:val="auto"/>
        </w:rPr>
      </w:pPr>
    </w:p>
    <w:p>
      <w:pPr>
        <w:sectPr>
          <w:pgSz w:w="11900" w:h="16838" w:orient="portrait"/>
          <w:cols w:equalWidth="0" w:num="2">
            <w:col w:w="6560" w:space="80"/>
            <w:col w:w="4600"/>
          </w:cols>
          <w:pgMar w:left="320" w:top="1440" w:right="339" w:bottom="7" w:gutter="0" w:footer="0" w:header="0"/>
          <w:type w:val="continuous"/>
        </w:sect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2"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7"/>
          <w:szCs w:val="17"/>
          <w:b w:val="1"/>
          <w:bCs w:val="1"/>
          <w:color w:val="auto"/>
        </w:rPr>
        <w:t>o</w:t>
      </w:r>
    </w:p>
    <w:p>
      <w:pPr>
        <w:spacing w:after="0" w:line="48" w:lineRule="exact"/>
        <w:rPr>
          <w:sz w:val="24"/>
          <w:szCs w:val="24"/>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b w:val="1"/>
          <w:bCs w:val="1"/>
          <w:color w:val="auto"/>
        </w:rPr>
        <w:t>o</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4"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$5,897,870,878.</w:t>
      </w:r>
    </w:p>
    <w:p>
      <w:pPr>
        <w:sectPr>
          <w:pgSz w:w="11900" w:h="16838" w:orient="portrait"/>
          <w:cols w:equalWidth="0" w:num="1">
            <w:col w:w="11240"/>
          </w:cols>
          <w:pgMar w:left="320" w:top="1440" w:right="339" w:bottom="7" w:gutter="0" w:footer="0" w:header="0"/>
          <w:type w:val="continuous"/>
        </w:sectPr>
      </w:pPr>
    </w:p>
    <w:bookmarkStart w:id="1" w:name="page2"/>
    <w:bookmarkEnd w:id="1"/>
    <w:p>
      <w:pPr>
        <w:jc w:val="both"/>
        <w:spacing w:after="0" w:line="287" w:lineRule="auto"/>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 69,830,343 shares of common stock, $1 par value, outstanding as of February 13,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portions of the registrant’s Definitive Proxy Statement for its 2026 Annual Meeting of Stockholders (which is expected to be filed with the Securities and Exchange Commission within 120 days after the end of the registrant’s 2025 fiscal year) are incorporated by reference into Part III of this annual report on Form 10-K.</w:t>
      </w:r>
    </w:p>
    <w:p>
      <w:pPr>
        <w:spacing w:after="0" w:line="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1139190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87630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annual report on Form 10-K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statements are or may constitute forward-looking statements: statements preceded by, followed by or that include words like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Factors that could cause actual results to differ materially from those expressed or implied by forward-looking statements include, but are not limited to, the following:</w:t>
      </w:r>
    </w:p>
    <w:p>
      <w:pPr>
        <w:spacing w:after="0" w:line="48" w:lineRule="exact"/>
        <w:rPr>
          <w:sz w:val="20"/>
          <w:szCs w:val="20"/>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fiscal, trade, and monetary policies, including the imposition of higher or new tariffs, trade barriers, and levels of employment;</w:t>
      </w:r>
    </w:p>
    <w:p>
      <w:pPr>
        <w:spacing w:after="0" w:line="49" w:lineRule="exact"/>
        <w:rPr>
          <w:rFonts w:ascii="Times New Roman" w:cs="Times New Roman" w:eastAsia="Times New Roman" w:hAnsi="Times New Roman"/>
          <w:sz w:val="17"/>
          <w:szCs w:val="17"/>
          <w:color w:val="auto"/>
        </w:rPr>
      </w:pPr>
    </w:p>
    <w:p>
      <w:pPr>
        <w:ind w:left="620" w:hanging="307"/>
        <w:spacing w:after="0" w:line="269"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and global economic conditions, including impacts from rising inflation, supply chain disruptions, new, ongoing, or escalated geopolitical or military conflicts or tensions;</w:t>
      </w:r>
    </w:p>
    <w:p>
      <w:pPr>
        <w:ind w:left="620" w:hanging="307"/>
        <w:spacing w:after="0" w:line="276"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commodity nature of a segment of our products and the prices for those products, which are determined in significant part by external factors such as total industry capacity and wider industry cycles affecting supply and demand trends;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cost and availability of capital;</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cost and availability of financing for home mortgages;</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level of home construction and repair and remodel activity, including as a result of labor shortages;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competitive conditions and prices for our products;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relationship between supply of and demand for building products;</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or business conditions of third-party wholesale distributors and dealers of building products;</w:t>
      </w:r>
    </w:p>
    <w:p>
      <w:pPr>
        <w:spacing w:after="0" w:line="49"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prices and the relationship between the supply of and demand for raw materials, including wood fiber and resins, used in manufacturing our products;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cost and availability of energy, primarily natural gas, electricity, and diesel fuel;</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cost and availability of transportation, including transportation services provided by third parties;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third-party vendors and suppliers for certain goods and services critical to our business;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financial impacts from manufacturing our products internationally;</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development, launch or production ramp-up of new products;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executives, management and other key employees;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formulate and implement effective succession plans from time to time for key members of our management team;</w:t>
      </w:r>
    </w:p>
    <w:p>
      <w:pPr>
        <w:spacing w:after="0" w:line="3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public health issues (including global pandemics) on the economy, demand for our products or our operations, including the actions and recommendations of governmental authorities to contain such public health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620" w:hanging="307"/>
        <w:spacing w:after="0" w:line="26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successfully complete and integrate acquisitions, divestitures, joint ventures, capital investments and other corporate strategic transactions;</w:t>
      </w:r>
    </w:p>
    <w:p>
      <w:pPr>
        <w:jc w:val="both"/>
        <w:ind w:left="620" w:hanging="307"/>
        <w:spacing w:after="0" w:line="26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or regional climate conditions, the impacts of climate change, and potential government policies adopted in response to such conditions;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other significant operating expenses;</w:t>
      </w:r>
    </w:p>
    <w:p>
      <w:pPr>
        <w:spacing w:after="0" w:line="36"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currency values and exchange rates between the U.S. dollar and other currencies, particularly the Canadian dollar, Brazilian real, Chilean peso, and Argentine peso;</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interpretations thereof;</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circumstances giving rise to environmental liabilities or expenditures;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 costs exceeding our warranty reserves;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to or exploitation of our intellectual property or other proprietary information by our competitors or other third parties;</w:t>
      </w:r>
    </w:p>
    <w:p>
      <w:pPr>
        <w:spacing w:after="0" w:line="36"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existing and future product-related litigation, environmental proceedings and remediation efforts, and other legal or environmental proceedings or matters;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covenants and events of default contained in our debt instruments;</w:t>
      </w:r>
    </w:p>
    <w:p>
      <w:pPr>
        <w:spacing w:after="0" w:line="49" w:lineRule="exact"/>
        <w:rPr>
          <w:rFonts w:ascii="Times New Roman" w:cs="Times New Roman" w:eastAsia="Times New Roman" w:hAnsi="Times New Roman"/>
          <w:sz w:val="17"/>
          <w:szCs w:val="17"/>
          <w:color w:val="auto"/>
        </w:rPr>
      </w:pPr>
    </w:p>
    <w:p>
      <w:pPr>
        <w:ind w:left="620" w:hanging="307"/>
        <w:spacing w:after="0" w:line="26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any repurchases of our common stock and the payment of dividends on our common stock, which will depend on market and business conditions and other considerations;</w:t>
      </w:r>
    </w:p>
    <w:p>
      <w:pPr>
        <w:ind w:left="620" w:hanging="307"/>
        <w:spacing w:after="0" w:line="27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events affecting our information technology systems or those of our third-party providers and the related costs and impact of any disruption on our business; and</w:t>
      </w:r>
    </w:p>
    <w:p>
      <w:pPr>
        <w:spacing w:after="0" w:line="1" w:lineRule="exact"/>
        <w:rPr>
          <w:rFonts w:ascii="Times New Roman" w:cs="Times New Roman" w:eastAsia="Times New Roman" w:hAnsi="Times New Roman"/>
          <w:sz w:val="17"/>
          <w:szCs w:val="17"/>
          <w:color w:val="auto"/>
        </w:rPr>
      </w:pPr>
    </w:p>
    <w:p>
      <w:pPr>
        <w:ind w:left="620" w:hanging="307"/>
        <w:spacing w:after="0" w:line="26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public authorities, war, political or civil unrest, natural disasters, fire, floods, earthquakes, inclement weather, and other matters beyond our control.</w:t>
      </w:r>
    </w:p>
    <w:p>
      <w:pPr>
        <w:spacing w:after="0" w:line="3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 w:name="page5"/>
    <w:bookmarkEnd w:id="4"/>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THIRD-PARTY INFORMATION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this annual report on Form 10-K,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40" w:type="dxa"/>
            <w:vAlign w:val="bottom"/>
            <w:gridSpan w:val="7"/>
          </w:tcPr>
          <w:p>
            <w:pPr>
              <w:ind w:left="420"/>
              <w:spacing w:after="0"/>
              <w:rPr>
                <w:sz w:val="20"/>
                <w:szCs w:val="20"/>
                <w:color w:val="auto"/>
              </w:rPr>
            </w:pPr>
            <w:r>
              <w:rPr>
                <w:rFonts w:ascii="Times New Roman" w:cs="Times New Roman" w:eastAsia="Times New Roman" w:hAnsi="Times New Roman"/>
                <w:sz w:val="17"/>
                <w:szCs w:val="17"/>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5"/>
              </w:rPr>
              <w:t>PART I</w:t>
            </w:r>
          </w:p>
        </w:tc>
        <w:tc>
          <w:tcPr>
            <w:tcW w:w="5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BUSINESS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rPr>
              <w:t>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1A</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RISK FACTORS</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1B</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UNRESOLVED STAFF COMMENTS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24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1C</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CYBERSECURITY</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2</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PROPERTIES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27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3</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LEGAL PROCEEDINGS</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4</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MINE SAFETY DISCLOSURES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28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26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50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PART II</w:t>
            </w:r>
          </w:p>
        </w:tc>
        <w:tc>
          <w:tcPr>
            <w:tcW w:w="5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9800" w:type="dxa"/>
            <w:vAlign w:val="bottom"/>
            <w:tcBorders>
              <w:top w:val="single" w:sz="8" w:color="CCEEFF"/>
            </w:tcBorders>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MARKET FOR REGISTRANT’S COMMON EQUITY, RELATED STOCKHOLDER MATTERS, AND ISSUER</w:t>
            </w:r>
          </w:p>
        </w:tc>
        <w:tc>
          <w:tcPr>
            <w:tcW w:w="1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5"/>
                <w:szCs w:val="15"/>
                <w:color w:val="0000FF"/>
                <w:w w:val="93"/>
              </w:rPr>
              <w:t>29</w:t>
            </w: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4"/>
                <w:szCs w:val="4"/>
                <w:color w:val="auto"/>
              </w:rPr>
            </w:pPr>
          </w:p>
        </w:tc>
        <w:tc>
          <w:tcPr>
            <w:tcW w:w="106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5"/>
                <w:szCs w:val="15"/>
                <w:color w:val="auto"/>
              </w:rPr>
              <w:t>Item 5</w:t>
            </w:r>
          </w:p>
        </w:tc>
        <w:tc>
          <w:tcPr>
            <w:tcW w:w="9800" w:type="dxa"/>
            <w:vAlign w:val="bottom"/>
            <w:gridSpan w:val="17"/>
            <w:vMerge w:val="restart"/>
          </w:tcPr>
          <w:p>
            <w:pPr>
              <w:ind w:left="500"/>
              <w:spacing w:after="0" w:line="135" w:lineRule="exact"/>
              <w:rPr>
                <w:sz w:val="20"/>
                <w:szCs w:val="20"/>
                <w:color w:val="auto"/>
              </w:rPr>
            </w:pPr>
            <w:r>
              <w:rPr>
                <w:rFonts w:ascii="Times New Roman" w:cs="Times New Roman" w:eastAsia="Times New Roman" w:hAnsi="Times New Roman"/>
                <w:sz w:val="15"/>
                <w:szCs w:val="15"/>
                <w:color w:val="0000FF"/>
              </w:rPr>
              <w:t>PURCHASES OF EQUITY SECURITIES</w:t>
            </w:r>
          </w:p>
        </w:tc>
        <w:tc>
          <w:tcPr>
            <w:tcW w:w="160" w:type="dxa"/>
            <w:vAlign w:val="bottom"/>
            <w:tcBorders>
              <w:bottom w:val="single" w:sz="8" w:color="0000FF"/>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9800" w:type="dxa"/>
            <w:vAlign w:val="bottom"/>
            <w:gridSpan w:val="1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6</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RESERVED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7</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7A</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42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8</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FINANCIAL STATEMENTS AND SUPPLEMENTARY DATA</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9</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80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9A</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CONTROLS AND PROCEDURES</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9B</w:t>
            </w:r>
          </w:p>
        </w:tc>
        <w:tc>
          <w:tcPr>
            <w:tcW w:w="9800" w:type="dxa"/>
            <w:vAlign w:val="bottom"/>
            <w:gridSpan w:val="17"/>
            <w:shd w:val="clear" w:color="auto" w:fill="CCEEFF"/>
          </w:tcPr>
          <w:p>
            <w:pPr>
              <w:ind w:left="500"/>
              <w:spacing w:after="0"/>
              <w:rPr>
                <w:sz w:val="20"/>
                <w:szCs w:val="20"/>
                <w:color w:val="auto"/>
              </w:rPr>
            </w:pPr>
            <w:r>
              <w:rPr>
                <w:rFonts w:ascii="Times New Roman" w:cs="Times New Roman" w:eastAsia="Times New Roman" w:hAnsi="Times New Roman"/>
                <w:sz w:val="15"/>
                <w:szCs w:val="15"/>
                <w:color w:val="0000FF"/>
              </w:rPr>
              <w:t>OTHER INFORMATION</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82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8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Item 9C</w:t>
            </w:r>
          </w:p>
        </w:tc>
        <w:tc>
          <w:tcPr>
            <w:tcW w:w="9800" w:type="dxa"/>
            <w:vAlign w:val="bottom"/>
            <w:gridSpan w:val="17"/>
          </w:tcPr>
          <w:p>
            <w:pPr>
              <w:ind w:left="500"/>
              <w:spacing w:after="0" w:line="168" w:lineRule="exact"/>
              <w:rPr>
                <w:sz w:val="20"/>
                <w:szCs w:val="20"/>
                <w:color w:val="auto"/>
              </w:rPr>
            </w:pPr>
            <w:r>
              <w:rPr>
                <w:rFonts w:ascii="Times New Roman" w:cs="Times New Roman" w:eastAsia="Times New Roman" w:hAnsi="Times New Roman"/>
                <w:sz w:val="15"/>
                <w:szCs w:val="15"/>
                <w:color w:val="0000FF"/>
              </w:rPr>
              <w:t>DISCLOSURE REGARDING FOREIGN JURISDICTIONS THAT PREVENT INSPECTIONS</w:t>
            </w:r>
          </w:p>
        </w:tc>
        <w:tc>
          <w:tcPr>
            <w:tcW w:w="1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80" w:type="dxa"/>
            <w:vAlign w:val="bottom"/>
            <w:tcBorders>
              <w:top w:val="single" w:sz="8" w:color="0000FF"/>
              <w:right w:val="single" w:sz="8" w:color="CCEEFF"/>
            </w:tcBorders>
            <w:shd w:val="clear" w:color="auto" w:fill="CCEEFF"/>
          </w:tcPr>
          <w:p>
            <w:pPr>
              <w:spacing w:after="0"/>
              <w:rPr>
                <w:sz w:val="23"/>
                <w:szCs w:val="23"/>
                <w:color w:val="auto"/>
              </w:rPr>
            </w:pPr>
          </w:p>
        </w:tc>
        <w:tc>
          <w:tcPr>
            <w:tcW w:w="120" w:type="dxa"/>
            <w:vAlign w:val="bottom"/>
            <w:tcBorders>
              <w:top w:val="single" w:sz="8" w:color="0000FF"/>
            </w:tcBorders>
            <w:shd w:val="clear" w:color="auto" w:fill="CCEEFF"/>
          </w:tcPr>
          <w:p>
            <w:pPr>
              <w:spacing w:after="0"/>
              <w:rPr>
                <w:sz w:val="23"/>
                <w:szCs w:val="23"/>
                <w:color w:val="auto"/>
              </w:rPr>
            </w:pPr>
          </w:p>
        </w:tc>
        <w:tc>
          <w:tcPr>
            <w:tcW w:w="160" w:type="dxa"/>
            <w:vAlign w:val="bottom"/>
            <w:tcBorders>
              <w:top w:val="single" w:sz="8" w:color="0000FF"/>
            </w:tcBorders>
            <w:shd w:val="clear" w:color="auto" w:fill="CCEEFF"/>
          </w:tcPr>
          <w:p>
            <w:pPr>
              <w:spacing w:after="0"/>
              <w:rPr>
                <w:sz w:val="23"/>
                <w:szCs w:val="23"/>
                <w:color w:val="auto"/>
              </w:rPr>
            </w:pPr>
          </w:p>
        </w:tc>
        <w:tc>
          <w:tcPr>
            <w:tcW w:w="200" w:type="dxa"/>
            <w:vAlign w:val="bottom"/>
            <w:tcBorders>
              <w:top w:val="single" w:sz="8" w:color="0000FF"/>
            </w:tcBorders>
            <w:shd w:val="clear" w:color="auto" w:fill="CCEEFF"/>
          </w:tcPr>
          <w:p>
            <w:pPr>
              <w:spacing w:after="0"/>
              <w:rPr>
                <w:sz w:val="23"/>
                <w:szCs w:val="23"/>
                <w:color w:val="auto"/>
              </w:rPr>
            </w:pPr>
          </w:p>
        </w:tc>
        <w:tc>
          <w:tcPr>
            <w:tcW w:w="340" w:type="dxa"/>
            <w:vAlign w:val="bottom"/>
            <w:tcBorders>
              <w:top w:val="single" w:sz="8" w:color="0000FF"/>
            </w:tcBorders>
            <w:shd w:val="clear" w:color="auto" w:fill="CCEEFF"/>
          </w:tcPr>
          <w:p>
            <w:pPr>
              <w:spacing w:after="0"/>
              <w:rPr>
                <w:sz w:val="23"/>
                <w:szCs w:val="23"/>
                <w:color w:val="auto"/>
              </w:rPr>
            </w:pPr>
          </w:p>
        </w:tc>
        <w:tc>
          <w:tcPr>
            <w:tcW w:w="480" w:type="dxa"/>
            <w:vAlign w:val="bottom"/>
            <w:tcBorders>
              <w:top w:val="single" w:sz="8" w:color="0000FF"/>
              <w:left w:val="single" w:sz="8" w:color="CCEEFF"/>
            </w:tcBorders>
            <w:shd w:val="clear" w:color="auto" w:fill="CCEEFF"/>
          </w:tcPr>
          <w:p>
            <w:pPr>
              <w:spacing w:after="0"/>
              <w:rPr>
                <w:sz w:val="23"/>
                <w:szCs w:val="23"/>
                <w:color w:val="auto"/>
              </w:rPr>
            </w:pPr>
          </w:p>
        </w:tc>
        <w:tc>
          <w:tcPr>
            <w:tcW w:w="140" w:type="dxa"/>
            <w:vAlign w:val="bottom"/>
            <w:tcBorders>
              <w:top w:val="single" w:sz="8" w:color="0000FF"/>
            </w:tcBorders>
            <w:shd w:val="clear" w:color="auto" w:fill="CCEEFF"/>
          </w:tcPr>
          <w:p>
            <w:pPr>
              <w:spacing w:after="0"/>
              <w:rPr>
                <w:sz w:val="23"/>
                <w:szCs w:val="23"/>
                <w:color w:val="auto"/>
              </w:rPr>
            </w:pPr>
          </w:p>
        </w:tc>
        <w:tc>
          <w:tcPr>
            <w:tcW w:w="200" w:type="dxa"/>
            <w:vAlign w:val="bottom"/>
            <w:tcBorders>
              <w:top w:val="single" w:sz="8" w:color="0000FF"/>
            </w:tcBorders>
            <w:shd w:val="clear" w:color="auto" w:fill="CCEEFF"/>
          </w:tcPr>
          <w:p>
            <w:pPr>
              <w:spacing w:after="0"/>
              <w:rPr>
                <w:sz w:val="23"/>
                <w:szCs w:val="23"/>
                <w:color w:val="auto"/>
              </w:rPr>
            </w:pPr>
          </w:p>
        </w:tc>
        <w:tc>
          <w:tcPr>
            <w:tcW w:w="240" w:type="dxa"/>
            <w:vAlign w:val="bottom"/>
            <w:tcBorders>
              <w:top w:val="single" w:sz="8" w:color="0000FF"/>
            </w:tcBorders>
            <w:shd w:val="clear" w:color="auto" w:fill="CCEEFF"/>
          </w:tcPr>
          <w:p>
            <w:pPr>
              <w:spacing w:after="0"/>
              <w:rPr>
                <w:sz w:val="23"/>
                <w:szCs w:val="23"/>
                <w:color w:val="auto"/>
              </w:rPr>
            </w:pPr>
          </w:p>
        </w:tc>
        <w:tc>
          <w:tcPr>
            <w:tcW w:w="1340" w:type="dxa"/>
            <w:vAlign w:val="bottom"/>
            <w:tcBorders>
              <w:top w:val="single" w:sz="8" w:color="0000FF"/>
            </w:tcBorders>
            <w:shd w:val="clear" w:color="auto" w:fill="CCEEFF"/>
          </w:tcPr>
          <w:p>
            <w:pPr>
              <w:spacing w:after="0"/>
              <w:rPr>
                <w:sz w:val="23"/>
                <w:szCs w:val="23"/>
                <w:color w:val="auto"/>
              </w:rPr>
            </w:pPr>
          </w:p>
        </w:tc>
        <w:tc>
          <w:tcPr>
            <w:tcW w:w="1260" w:type="dxa"/>
            <w:vAlign w:val="bottom"/>
            <w:tcBorders>
              <w:top w:val="single" w:sz="8" w:color="0000FF"/>
            </w:tcBorders>
            <w:shd w:val="clear" w:color="auto" w:fill="CCEEFF"/>
          </w:tcPr>
          <w:p>
            <w:pPr>
              <w:spacing w:after="0"/>
              <w:rPr>
                <w:sz w:val="23"/>
                <w:szCs w:val="23"/>
                <w:color w:val="auto"/>
              </w:rPr>
            </w:pPr>
          </w:p>
        </w:tc>
        <w:tc>
          <w:tcPr>
            <w:tcW w:w="720" w:type="dxa"/>
            <w:vAlign w:val="bottom"/>
            <w:tcBorders>
              <w:top w:val="single" w:sz="8" w:color="0000FF"/>
            </w:tcBorders>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40" w:top="1361" w:right="359" w:bottom="1440" w:gutter="0" w:footer="0" w:header="0"/>
        </w:sectPr>
      </w:pPr>
    </w:p>
    <w:tbl>
      <w:tblPr>
        <w:tblLayout w:type="fixed"/>
        <w:tblInd w:w="100" w:type="dxa"/>
        <w:tblCellMar>
          <w:top w:w="0" w:type="dxa"/>
          <w:left w:w="0" w:type="dxa"/>
          <w:bottom w:w="0" w:type="dxa"/>
          <w:right w:w="0" w:type="dxa"/>
        </w:tblCellMar>
      </w:tblPr>
      <w:tr>
        <w:trPr>
          <w:trHeight w:val="168"/>
        </w:trPr>
        <w:tc>
          <w:tcPr>
            <w:tcW w:w="620" w:type="dxa"/>
            <w:vAlign w:val="bottom"/>
            <w:tcBorders>
              <w:bottom w:val="single" w:sz="8" w:color="auto"/>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w w:val="96"/>
              </w:rPr>
              <w:t>PART III</w:t>
            </w:r>
          </w:p>
        </w:tc>
        <w:tc>
          <w:tcPr>
            <w:tcW w:w="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Item 10*</w:t>
            </w:r>
          </w:p>
        </w:tc>
        <w:tc>
          <w:tcPr>
            <w:tcW w:w="4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rPr>
              <w:t>DIRECTORS, EXECUTIVE OFFICERS AND CORPORATE GOVERNANCE</w:t>
            </w:r>
          </w:p>
        </w:tc>
        <w:tc>
          <w:tcPr>
            <w:tcW w:w="19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Item 11*</w:t>
            </w:r>
          </w:p>
        </w:tc>
        <w:tc>
          <w:tcPr>
            <w:tcW w:w="2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EXECUTIVE COMPENSATION</w:t>
            </w:r>
          </w:p>
        </w:tc>
        <w:tc>
          <w:tcPr>
            <w:tcW w:w="48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Item 12*</w:t>
            </w:r>
          </w:p>
        </w:tc>
        <w:tc>
          <w:tcPr>
            <w:tcW w:w="690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SECURITY OWNERSHIP OF CERTAIN BENEFICIAL OWNERS AND MANAGEMENT AND RELATED</w:t>
            </w:r>
          </w:p>
        </w:tc>
        <w:tc>
          <w:tcPr>
            <w:tcW w:w="0" w:type="dxa"/>
            <w:vAlign w:val="bottom"/>
          </w:tcPr>
          <w:p>
            <w:pPr>
              <w:spacing w:after="0"/>
              <w:rPr>
                <w:sz w:val="1"/>
                <w:szCs w:val="1"/>
                <w:color w:val="auto"/>
              </w:rPr>
            </w:pPr>
          </w:p>
        </w:tc>
      </w:tr>
      <w:tr>
        <w:trPr>
          <w:trHeight w:val="135"/>
        </w:trPr>
        <w:tc>
          <w:tcPr>
            <w:tcW w:w="1560" w:type="dxa"/>
            <w:vAlign w:val="bottom"/>
            <w:gridSpan w:val="2"/>
            <w:vMerge w:val="continue"/>
          </w:tcPr>
          <w:p>
            <w:pPr>
              <w:spacing w:after="0"/>
              <w:rPr>
                <w:sz w:val="11"/>
                <w:szCs w:val="11"/>
                <w:color w:val="auto"/>
              </w:rPr>
            </w:pPr>
          </w:p>
        </w:tc>
        <w:tc>
          <w:tcPr>
            <w:tcW w:w="6880" w:type="dxa"/>
            <w:vAlign w:val="bottom"/>
            <w:tcBorders>
              <w:top w:val="single" w:sz="8" w:color="0000FF"/>
            </w:tcBorders>
            <w:gridSpan w:val="6"/>
          </w:tcPr>
          <w:p>
            <w:pPr>
              <w:spacing w:after="0" w:line="135" w:lineRule="exact"/>
              <w:rPr>
                <w:sz w:val="20"/>
                <w:szCs w:val="20"/>
                <w:color w:val="auto"/>
              </w:rPr>
            </w:pPr>
            <w:r>
              <w:rPr>
                <w:rFonts w:ascii="Times New Roman" w:cs="Times New Roman" w:eastAsia="Times New Roman" w:hAnsi="Times New Roman"/>
                <w:sz w:val="15"/>
                <w:szCs w:val="15"/>
                <w:color w:val="0000FF"/>
              </w:rPr>
              <w:t>STOCKHOLDER MATTERS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Item 13*</w:t>
            </w:r>
          </w:p>
        </w:tc>
        <w:tc>
          <w:tcPr>
            <w:tcW w:w="690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0" w:type="dxa"/>
            <w:vAlign w:val="bottom"/>
          </w:tcPr>
          <w:p>
            <w:pPr>
              <w:spacing w:after="0"/>
              <w:rPr>
                <w:sz w:val="1"/>
                <w:szCs w:val="1"/>
                <w:color w:val="auto"/>
              </w:rPr>
            </w:pPr>
          </w:p>
        </w:tc>
      </w:tr>
      <w:tr>
        <w:trPr>
          <w:trHeight w:val="186"/>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Item 14*</w:t>
            </w:r>
          </w:p>
        </w:tc>
        <w:tc>
          <w:tcPr>
            <w:tcW w:w="3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PRINCIPAL ACCOUNTANT FEES AND SERVICES</w:t>
            </w:r>
          </w:p>
        </w:tc>
        <w:tc>
          <w:tcPr>
            <w:tcW w:w="3200" w:type="dxa"/>
            <w:vAlign w:val="bottom"/>
            <w:tcBorders>
              <w:top w:val="single" w:sz="8" w:color="0000FF"/>
            </w:tcBorders>
            <w:gridSpan w:val="2"/>
          </w:tcPr>
          <w:p>
            <w:pPr>
              <w:spacing w:after="0"/>
              <w:rPr>
                <w:sz w:val="16"/>
                <w:szCs w:val="16"/>
                <w:color w:val="auto"/>
              </w:rPr>
            </w:pPr>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-735965</wp:posOffset>
            </wp:positionV>
            <wp:extent cx="7023735" cy="130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3735" cy="13081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-474345</wp:posOffset>
            </wp:positionV>
            <wp:extent cx="7023735" cy="229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22923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-113665</wp:posOffset>
            </wp:positionV>
            <wp:extent cx="7023735" cy="130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3735" cy="130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83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83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84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84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FF"/>
        </w:rPr>
        <w:t>84</w:t>
      </w:r>
    </w:p>
    <w:p>
      <w:pPr>
        <w:spacing w:after="0" w:line="207" w:lineRule="exact"/>
        <w:rPr>
          <w:sz w:val="20"/>
          <w:szCs w:val="20"/>
          <w:color w:val="auto"/>
        </w:rPr>
      </w:pPr>
    </w:p>
    <w:p>
      <w:pPr>
        <w:sectPr>
          <w:pgSz w:w="11900" w:h="16838" w:orient="portrait"/>
          <w:cols w:equalWidth="0" w:num="2">
            <w:col w:w="10240" w:space="720"/>
            <w:col w:w="240"/>
          </w:cols>
          <w:pgMar w:left="340" w:top="1361" w:right="359" w:bottom="1440" w:gutter="0" w:footer="0" w:header="0"/>
          <w:type w:val="continuous"/>
        </w:sectPr>
      </w:pP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4"/>
              </w:rPr>
              <w:t>PART IV</w:t>
            </w:r>
          </w:p>
        </w:tc>
        <w:tc>
          <w:tcPr>
            <w:tcW w:w="96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spacing w:after="0"/>
              <w:rPr>
                <w:sz w:val="16"/>
                <w:szCs w:val="16"/>
                <w:color w:val="auto"/>
              </w:rPr>
            </w:pPr>
          </w:p>
        </w:tc>
        <w:tc>
          <w:tcPr>
            <w:tcW w:w="5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Item 15</w:t>
            </w:r>
          </w:p>
        </w:tc>
        <w:tc>
          <w:tcPr>
            <w:tcW w:w="10260" w:type="dxa"/>
            <w:vAlign w:val="bottom"/>
            <w:gridSpan w:val="4"/>
          </w:tcPr>
          <w:p>
            <w:pPr>
              <w:ind w:left="960"/>
              <w:spacing w:after="0" w:line="168" w:lineRule="exact"/>
              <w:rPr>
                <w:sz w:val="20"/>
                <w:szCs w:val="20"/>
                <w:color w:val="auto"/>
              </w:rPr>
            </w:pPr>
            <w:r>
              <w:rPr>
                <w:rFonts w:ascii="Times New Roman" w:cs="Times New Roman" w:eastAsia="Times New Roman" w:hAnsi="Times New Roman"/>
                <w:sz w:val="15"/>
                <w:szCs w:val="15"/>
                <w:color w:val="0000FF"/>
              </w:rPr>
              <w:t>EXHIBITS AND FINANCIAL STATEMENT SCHEDULES</w:t>
            </w:r>
          </w:p>
        </w:tc>
        <w:tc>
          <w:tcPr>
            <w:tcW w:w="1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0000FF"/>
                <w:w w:val="93"/>
              </w:rPr>
              <w:t>85</w:t>
            </w:r>
          </w:p>
        </w:tc>
        <w:tc>
          <w:tcPr>
            <w:tcW w:w="20" w:type="dxa"/>
            <w:vAlign w:val="bottom"/>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180" w:type="dxa"/>
            <w:vAlign w:val="bottom"/>
            <w:shd w:val="clear" w:color="auto" w:fill="0000FF"/>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16</w:t>
            </w:r>
          </w:p>
        </w:tc>
        <w:tc>
          <w:tcPr>
            <w:tcW w:w="1026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5"/>
                <w:szCs w:val="15"/>
                <w:color w:val="0000FF"/>
              </w:rPr>
              <w:t>FORM 10-K SUMMARY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000FF"/>
                <w:w w:val="93"/>
              </w:rPr>
              <w:t>87</w:t>
            </w:r>
          </w:p>
        </w:tc>
        <w:tc>
          <w:tcPr>
            <w:tcW w:w="20" w:type="dxa"/>
            <w:vAlign w:val="bottom"/>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620" w:type="dxa"/>
            <w:vAlign w:val="bottom"/>
            <w:shd w:val="clear" w:color="auto" w:fill="0000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ind w:left="200" w:hanging="200"/>
        <w:spacing w:after="0" w:line="231" w:lineRule="auto"/>
        <w:tabs>
          <w:tab w:leader="none" w:pos="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All or a portion of the referenced section is incorporated by reference from our Definitive Proxy Statement for our 2026 Annual Meeting of Stockholders (which is expected to be filed with the SEC within 120 days after the end of our 2025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1361"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Since our founding in 1972, LP has been Building a Better World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helping customers construct beautiful, durable homes while shareholders build lasting value. We are headquartered in Nashville, Tennessee, and as of December 31, 2025, we operate more than 20 manufacturing facilities across North and South America.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net sales in 2025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Percentage of 2025 Net Sales</w:t>
            </w:r>
          </w:p>
        </w:tc>
      </w:tr>
      <w:tr>
        <w:trPr>
          <w:trHeight w:val="20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62 %</w:t>
            </w:r>
          </w:p>
        </w:tc>
      </w:tr>
      <w:tr>
        <w:trPr>
          <w:trHeight w:val="203"/>
        </w:trPr>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Oriented Strand Board (OSB)</w:t>
            </w:r>
          </w:p>
        </w:tc>
        <w:tc>
          <w:tcPr>
            <w:tcW w:w="1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0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w:t>
            </w:r>
          </w:p>
        </w:tc>
      </w:tr>
      <w:tr>
        <w:trPr>
          <w:trHeight w:val="199"/>
        </w:trPr>
        <w:tc>
          <w:tcPr>
            <w:tcW w:w="7120" w:type="dxa"/>
            <w:vAlign w:val="bottom"/>
          </w:tcPr>
          <w:p>
            <w:pPr>
              <w:spacing w:after="0"/>
              <w:rPr>
                <w:sz w:val="17"/>
                <w:szCs w:val="17"/>
                <w:color w:val="auto"/>
              </w:rPr>
            </w:pP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2,708</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1"/>
        </w:trPr>
        <w:tc>
          <w:tcPr>
            <w:tcW w:w="7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conducts business through three operating segments: Siding, OSB and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 See “Note 15 - Segment Information” of the Notes to the Consolidated Financial Statements included in Item 8 of this annual report on Form 10-K for further information regarding our reportable segments.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Siding</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We believe we are the largest manufacturer of engineered wood siding in North America. Our Siding business serves diverse end markets with a broad product portfolio of engineered wood siding, trim, soffit, and fascia. Our Siding is offered primed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LP BuilderSeries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Lap Siding,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Outdoor Building Solutions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pre-finished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ExpertFinish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to meet the needs of builders and installers in new construction and repair and remodeling applications. As compared to solid wood, these products offer superior protection against hail, wind, moisture, fungal decay, and termites. The LP SmartSide environmental product declarations (EPDs), which detail the cradle-to-grave energy and materials required to produce LP SmartSide lap, panel, and trim in North America, demonstrate that the products store more carbon than is released during their lifecycles, making them carbon-negative exterior siding products. Our Siding products are used in new home construction, repair and remodeling projects, and outdoor structures such as sheds.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7" w:name="page8"/>
    <w:bookmarkEnd w:id="7"/>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intend to continue growing sales in our Siding business and to increase the breadth of our Siding product offerings. To do so, we plan to increase the production capacity of these high-margin, value-added products. We have several options for increased capacity, including the addition of new plants, conversion of existing OSB plants to Siding manufacturing plants, expansion of existing Siding facilities, and expansion of our prefinished capacity and offerings. We will also seek to drive continued product innovation by utilizing our technological and engineering expertise in wood composites, overlays, chemical treatments, and durable and beautiful paints to better address the needs of our 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Oriented Strand Board (OSB)</w:t>
      </w:r>
    </w:p>
    <w:p>
      <w:pPr>
        <w:spacing w:after="0" w:line="11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Developed as a less expensive and more sustainable alternative to plywood, OSB is used as roof decking, sidewall sheathing, and floor underlayment. Our OSB business manufactures and distributes OSB structural panel products, including the innovative value-added OSB product portfolio known as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Structural Solutions (which includes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FlameBlock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Fire-Rated Sheathing, LP WeatherLogic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Air &amp; Water Barrier,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Radiant Barrier, LP Legacy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Premium Sub-Flooring,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TopNotch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350 Durable Sub-Flooring). Our LP Structural Solutions products are engineered to provide a variety of features such as fire resistance, enhanced water and moisture protection, energy efficiency, and greater weight-bearing capacity.</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focus remains on promoting the benefits of LP Structural Solutions while maintaining strict cost control by (i) the efficiency with which we operate our manufacturing facilities (as measured by a widely used operational metric called Overall Equipment Effectiveness, or OEE), (ii) the efficiency with which we convert sustainably harvested wood fiber into our products, and (iii) our ongoing work to optimize logistics and reduce other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other operations include our South American business (LPSA) that manufactures and distributes OSB structural panels and siding products in South America and certain export markets. Additionally, our other operations includes timber and timberlands as well as other minor products, services, and closed operations, which do not qualify as discontinued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STRATEGY</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Grow Our Siding Business. </w:t>
      </w:r>
      <w:r>
        <w:rPr>
          <w:rFonts w:ascii="Times New Roman" w:cs="Times New Roman" w:eastAsia="Times New Roman" w:hAnsi="Times New Roman"/>
          <w:sz w:val="17"/>
          <w:szCs w:val="17"/>
          <w:color w:val="auto"/>
        </w:rPr>
        <w:t>We believe that our leadership position in engineered wood siding allows us to benefit from demand growth, particularly as sustainable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engineered wood products continue to displace alternative siding materials such as vinyl, fiber cement, and other materials. We have consistently grown our Siding business above the underlying market growth rates, and this business is less sensitive to new housing market cyclicality as over 50% of the demand for our Siding comes from other markets, including off-site structure production and repair and remodeling. We believe that long-term market trends and demographics suggest continued growth in demand for sustainable engineered wood siding in these markets, which we believe we are well-positioned to meet.</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Generate Value-Added Sales Growth Through Customer Focus and Innovation. </w:t>
      </w:r>
      <w:r>
        <w:rPr>
          <w:rFonts w:ascii="Times New Roman" w:cs="Times New Roman" w:eastAsia="Times New Roman" w:hAnsi="Times New Roman"/>
          <w:sz w:val="17"/>
          <w:szCs w:val="17"/>
          <w:color w:val="auto"/>
        </w:rPr>
        <w:t>We believe that our products help our customers and end users to mitigate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challenges associated with building and construction activity, including labor shortages, because they are relatively easy to work with and allow for the consolidation of multiple steps into a single product system. Our marketing programs aim to drive awareness of our products and a greater understanding of our products’ specific features among builders, repair and remodel contractors, industrial manufacturers, and major home improvement retailers. Through our sales efforts, we target customers by distribution channel and focus on providing them with a broad array of traditional and specialty building products coupled with quality service. Our facilities are strategically located in the U.S., Canada, Chile, and Brazil to allow us to maintain geographic proximity to our customers and to remain responsive to their changing needs. We prioritize high-quality service and continue to build on our reputation for on-time shipments. In addition, we continually seek to identify new specialty building solutions and markets where we can utilize our core competencies in the design, manufacturing, and marketing of building products.</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Focus on Operating Efficiency, Cost Reduction, and Portfolio Optimization. </w:t>
      </w:r>
      <w:r>
        <w:rPr>
          <w:rFonts w:ascii="Times New Roman" w:cs="Times New Roman" w:eastAsia="Times New Roman" w:hAnsi="Times New Roman"/>
          <w:sz w:val="17"/>
          <w:szCs w:val="17"/>
          <w:color w:val="auto"/>
        </w:rPr>
        <w:t>We continue to improve the OEE of our manufacturing facilities. We believe our OEE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programs have produced excellent returns and generated many best practices that have been applied across our manufacturing system. Given these initiatives and the strategic locations of many of our facilities, we believe that we are very competitive regarding average delivered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market conditions change, we will continue to adapt our product mix, selectively invest in new technologies that modernize our manufacturing facilities, and manage our capacity to best match customer demand. We believe that these strategies improve our portfolio and margins and enhance the quality and consistency of our earnings.</w:t>
      </w:r>
    </w:p>
    <w:p>
      <w:pPr>
        <w:spacing w:after="0" w:line="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Pursue Selected Strategic Transactions. </w:t>
      </w:r>
      <w:r>
        <w:rPr>
          <w:rFonts w:ascii="Times New Roman" w:cs="Times New Roman" w:eastAsia="Times New Roman" w:hAnsi="Times New Roman"/>
          <w:sz w:val="17"/>
          <w:szCs w:val="17"/>
          <w:color w:val="auto"/>
        </w:rPr>
        <w:t>We continuously evaluate strategic investments in assets, businesses, and technologies, as well as investments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 the performance of our businesses. We believe that our pursuit of these opportunities, if successful, could enable us to increase the size and scope of our businesses or joint ventures.</w:t>
      </w:r>
    </w:p>
    <w:p>
      <w:pPr>
        <w:spacing w:after="0" w:line="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Expand Internationally. </w:t>
      </w:r>
      <w:r>
        <w:rPr>
          <w:rFonts w:ascii="Times New Roman" w:cs="Times New Roman" w:eastAsia="Times New Roman" w:hAnsi="Times New Roman"/>
          <w:sz w:val="17"/>
          <w:szCs w:val="17"/>
          <w:color w:val="auto"/>
        </w:rPr>
        <w:t>We believe that our investments in South America will help us continue to satisfy the growing demand for wood-based residential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construction in this region. We believe that investments in this region can continue to be funded by cash generated by our operations in this region. Investments as a market leader in this region should enable us to leverage demand while diversifying both our revenue streams and exposure to market cycles.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sales and marketing efforts are primarily focused on traditional distribution, professional building products dealers, home centers, third-party wholesale buying groups, and end users, particularly home builders, industrial manufacturers, and repair and remodel contractors. The wholesale distribution channel includes a variety of specialized and broad-line wholesale distributors and dealers focused primarily on the supply of products for use by professional builders and contractors. The retail distribution channel includes large retail chains catering to the do-it-yourself (DIY) and repair and remodeling markets, as well as smaller independent retailers.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seek to maintain a broad customer base and a balanced approach to national distribution through both wholesale and retail channels. In 2025, our top ten customers accounted for approximately 47% of our net sales. Our principal customers include the following:</w:t>
      </w:r>
    </w:p>
    <w:p>
      <w:pPr>
        <w:spacing w:after="0" w:line="43"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Wholesale distribution companies, which supply building materials to retailers on a regional, state, or local basis;</w:t>
      </w:r>
    </w:p>
    <w:p>
      <w:pPr>
        <w:spacing w:after="0" w:line="14" w:lineRule="exact"/>
        <w:rPr>
          <w:rFonts w:ascii="Arial" w:cs="Arial" w:eastAsia="Arial" w:hAnsi="Arial"/>
          <w:sz w:val="21"/>
          <w:szCs w:val="21"/>
          <w:color w:val="auto"/>
        </w:rPr>
      </w:pPr>
    </w:p>
    <w:p>
      <w:pPr>
        <w:ind w:left="620" w:hanging="307"/>
        <w:spacing w:after="0" w:line="203"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Distributors, who provide building materials to smaller retailers, contractors, and others;</w:t>
      </w:r>
    </w:p>
    <w:p>
      <w:pPr>
        <w:spacing w:after="0" w:line="14" w:lineRule="exact"/>
        <w:rPr>
          <w:rFonts w:ascii="Arial" w:cs="Arial" w:eastAsia="Arial" w:hAnsi="Arial"/>
          <w:sz w:val="21"/>
          <w:szCs w:val="21"/>
          <w:color w:val="auto"/>
        </w:rPr>
      </w:pPr>
    </w:p>
    <w:p>
      <w:pPr>
        <w:ind w:left="620" w:hanging="307"/>
        <w:spacing w:after="0" w:line="218"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Building materials professional dealers that specialize in sales to professional builders, remodeling firms, and trade contractors that are involved in residential home construction and light commercial building; and</w:t>
      </w:r>
    </w:p>
    <w:p>
      <w:pPr>
        <w:spacing w:after="0" w:line="1" w:lineRule="exact"/>
        <w:rPr>
          <w:rFonts w:ascii="Arial" w:cs="Arial" w:eastAsia="Arial" w:hAnsi="Arial"/>
          <w:sz w:val="21"/>
          <w:szCs w:val="21"/>
          <w:color w:val="auto"/>
        </w:rPr>
      </w:pPr>
    </w:p>
    <w:p>
      <w:pPr>
        <w:ind w:left="620" w:hanging="307"/>
        <w:spacing w:after="0" w:line="205"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Retail home centers that provide fully manufactured, modular, and panelized structures, for consumer and professional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COMPETITORS / COMPETITION</w:t>
      </w:r>
    </w:p>
    <w:p>
      <w:pPr>
        <w:spacing w:after="0" w:line="22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The building products industry is highly competitive. We primarily compete with other building products firms that offer alternative architectural and structural solutions. Our competitors include both large, diversified producers, and smaller regional manufacturers offering a wide variety of materials and product types. Our specialty products, including our Siding portfolio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Structural Solutions, generally compete based on product features, benefits, quality, sustainability, and availability. Our commodity OSB products generally compete based on price, quality, and availability of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MANUFACTURING</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operate manufacturing facilities throughout North America and South America. Our facilities utilize the best available manufacturing techniques based on the needs of our business segments, and we work continuously to improve our operating efficiency and productivity, as measured by OEE. LP operates more than 20 manufacturing facilities across North and South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SOURCING</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rely on various suppliers to furnish the raw materials and inputs used in the manufacturing of our products. To maximize our effectiveness in the marketplace, we have a centralized strategic sourcing group that consolidates purchases of certain materials and indirect items across business segments. The goal of the strategic sourcing group is to develop global strategies for a given component group, identify vendors and suppliers that meet our business requirements, promote a competitive pricing environment among our vendors and suppliers, and develop long-term relationships with those vendors and suppliers. By developing these strategies and relationships, we seek to leverage our material needs to implement leading practices, reduce costs, improve process efficiency, improve operating performance, and ensure continuity of supply.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RAW MATERIALS</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Wood fiber is the primary raw material used in most of our operations, and the primary source of wood fiber is timber. The primary end-markets for timber harvested in the United States and Canada are manufacturers who supply: (1) the housing market, where timber is used in the construction of new housing and the repair and remodeling of existing housing; (2) the pulp and paper market; (3) commercial and industrial markets; (4) export markets; and (5) emerging biomass energy production markets. The supply of timber can be limited by particular factors that influence the accessibility of timberlands. These factors include policies governing forest management, Indigenous rights-based interests, alternate uses of land, and loss to urban or suburban real estate development. Because wood fiber is subject to commodity pricing, the cost of various types of timber that we purchase in the market has, at times, fluctuated greatly due to weather, government policies and regulations, or economic and other industry conditions. However, our mills are generally located near large and diverse supplies of timber. We source all our wood fiber sustainably, as certified according to the standards of the Sustainable Forestry Initiative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the Programme for the Endorsement of Forest Certification (PEFC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wood fiber, we use significant quantities of various resins in our manufacturing processes. Resin product costs are influenced by changes in the prices of raw materials used to produce resin, primarily petroleum products and energy, as well as competing demand for resin products. Currently, we purchase most of our resin from five major suppliers. However, there can be no assurance that pricing or availability of resins will not be impacted by competing demand or supply chain disruptions due to significant weather or other uncontrollable events.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While a significant portion of the energy requirements of our plants are met by the energy produced from the conversion of wood waste, we also purchase electricity and natural gas. Energy prices have experienced significant volatility in recent years, particularly in deregulated markets. We attempt to mitigate our exposure to energy price changes through the selective use of long-term supply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business is subject to seasonal variances, with demand for many of our products tending to be higher during the building season, which generally occurs in the second and third calendar quarters in North America and the first and fourth calendar quarters in South America.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Our operations are subject to the laws and regulations of the United States and multiple foreign jurisdictions. These laws and regulations, which differ among jurisdictions and are subject to change, include those related to financial and other disclosures, accounting standards, corporate governance, environmental policy, intellectual property, tax, trade, antitrust, labor and employment, immigration and travel, privacy, and anti-corruption, among others. Additional information concerning legal and regulatory matters is set forth under “Risk Factors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Legal and Regulatory Risk Factors” in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We are subject to income taxes and other corporate taxes in the United States and multiple foreign jurisdictions. Our provision for income taxes and our effective tax rate could be affected by numerous factors, including changes in applicable tax laws, interpretations of applicable tax laws, the amount and composition of pre-tax income in jurisdictions with differing tax rates, and the valuation of deferred tax assets. Additional information concerning tax matters is set forth under “Risk Factors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Legal and Regulatory Risk Factors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Regulatory and statutory changes applicable to us or our customers, including changes in effective tax rates or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law, could adversely affect our financial condition and results of operations</w:t>
      </w:r>
      <w:r>
        <w:rPr>
          <w:rFonts w:ascii="Times New Roman" w:cs="Times New Roman" w:eastAsia="Times New Roman" w:hAnsi="Times New Roman"/>
          <w:sz w:val="17"/>
          <w:szCs w:val="17"/>
          <w:color w:val="auto"/>
        </w:rPr>
        <w:t>” in Item 1A of this annual report on Form 10-K, and in “Note 6 - Income Taxes”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to the Consolidated Financial Statements included in Item 8 of this annual report on Form 10-K.</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operations are also subject to many environmental laws and regulations governing, among other things, the discharge of pollutants and other emissions on or into the land, water, and air, the disposal of hazardous substances or other contaminants, the remediation of contamination, and the restoration and reforestation of timberlands. In addition, certain environmental laws and regulations impose liability and responsibility on present and former owners, operators, or users of facilities and sites for contamination at such facilities and sites without regard to causation or knowledge of contamination. Compliance with environmental laws and regulations may significantly increase the costs of our operations. In some cases, plant closures could invoke more rigorous compliance requirements. Violations of environmental laws and regulations could subject us to additional costs and expenses, including defense costs and expenses and civil and criminal penalties. We cannot guarantee that the environmental laws and regulations to which we are subject will not become more stringent or be more stringently implemented or enforced in the future.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global or regional climate conditions and current or future governmental responses to such changes at the international level and U.S. federal and state levels, such as regulating and/or taxing the production of carbon dioxide and other greenhouse gases to facilitate the reduction of emissions into the atmosphere, requiring certain entities to disclose details about the emissions of greenhouse gases and/or the imposition of taxes or other incentives to produce and use “cleaner” energy, may increase energy costs, limit timber harvest levels, increase costs associated with disclosure related to greenhouse gases and impact our operations or our planned or future growth. Because our manufacturing operations depend on significant amounts of energy and raw materials, these initiatives could have an adverse impact on our operations and profitability. Future legislation or regulatory activity in this area remains uncertain, as does the potential impact on our business and operations.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committed to complying with all applicable environmental laws and regulations and intend to continue devoting significant management attention to such matters. In addition, we occasionally undertake construction projects for environmental control equipment or incur other environmental costs that extend an asset’s useful life, improve its efficiency, and/or improve the property’s marketability.</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 information concerning environmental matters is set forth under Item 3 “Legal Proceedings”, and in “Note 12 - Commitments and Contingencies” of the Notes to the Consolidated Financial Statements included in Item 8 of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WORKFORCE AND EMPLOYEE RELATIONS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employees are our most important asset, and they are integral to our ability to achieve our strategic objectives. The continued success and growth of our business depends, in large part, on our ability to attract, retain, and develop a diverse population of talented and high-performing employees at all levels. We have developed key recruitment and retention strategies, objectives, and measures that we focus on as part of the overall management of LP, which will continue to support our efforts to succeed in a competitive labor market. These strategies, objectives, and measures are the basis of our workforce management framework and are advanced through the following programs, policies, and initiatives: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Workforce &amp; Labor Relations. </w:t>
      </w:r>
      <w:r>
        <w:rPr>
          <w:rFonts w:ascii="Times New Roman" w:cs="Times New Roman" w:eastAsia="Times New Roman" w:hAnsi="Times New Roman"/>
          <w:sz w:val="17"/>
          <w:szCs w:val="17"/>
          <w:color w:val="auto"/>
        </w:rPr>
        <w:t>As of December 31, 2025, we employed approximately 4,300 employees, comprising approximately 2,800 in the United States, 800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Canada, and 800 in South America. Approximately 3,500 employees were employed at manufacturing facilities, and approximately 1,200 employees were subject to collective bargaining agreements and/or national trade union agreements. We are committed to working collaboratively with the unions that represent some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Health, Safety, and Wellness. </w:t>
      </w:r>
      <w:r>
        <w:rPr>
          <w:rFonts w:ascii="Times New Roman" w:cs="Times New Roman" w:eastAsia="Times New Roman" w:hAnsi="Times New Roman"/>
          <w:sz w:val="17"/>
          <w:szCs w:val="17"/>
          <w:color w:val="auto"/>
        </w:rPr>
        <w:t>We are committed to the health, safety, and wellness of our employees. Safety is a core value at LP. We safeguard our people,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projects, and reputation by maintaining a safety culture that strives to reduce risks to our employees. Our innovative safety and health processes are at the forefront of everything we do. We provide our employees, contractors, and guests with ongoing safety training to ensure that safety policies and procedures are effectively communicated, implemented, and followed. We also aim to start every meeting, every mill tour, and every morning at our manufacturing facilities with a message about safety. The success of our business is fundamentally connected to the safety and well-being of our people.</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LP is committed to continual improvement of our health and safety performance. We establish internal annual targets and seek continual safety performance improvements every year. One of the metrics that we carefully track is Total Incident Rate (TIR), a common industry measure of recordable incidents per 100 employees. We have established a targeted TIR of &lt;1.0 per year, which we believe represents industry-leading performance, and for the year ended December 31, 2025, actual TIR of 0.62 was better than our target. To further enhance our commitment to safety, we have also implemented a Serious Injury and Fatality (SIF) Prevention program and the tracking of Weighted Incident Rate (WIR). The SIF Prevention program is a proactive approach to address the most significant exposures our employees face on the job. The WIR metric reflects the severity of incidents to monitor our safety performance. The SIF Prevention program and the tracking of WIR enhance hazard recognition and employee engagement and drive our teams to evaluate controls to ensure we are incorporating improved levels of protection whenever possible. We use this data to prioritize, manage, and carefully track safety performance at all our facilities and integrate sound safety practices to make a meaningful difference in every facet of our operations.</w:t>
      </w:r>
    </w:p>
    <w:p>
      <w:pPr>
        <w:spacing w:after="0" w:line="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Inclusion and Belonging. </w:t>
      </w:r>
      <w:r>
        <w:rPr>
          <w:rFonts w:ascii="Times New Roman" w:cs="Times New Roman" w:eastAsia="Times New Roman" w:hAnsi="Times New Roman"/>
          <w:sz w:val="17"/>
          <w:szCs w:val="17"/>
          <w:color w:val="auto"/>
        </w:rPr>
        <w:t>We value the diverse backgrounds, experiences, and perspectives of our employees, customers, and stakeholders, and are committed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fostering an environment where everyone feels a strong sense of belonging. This sense of belonging strengthens our ability to attract, develop, and retain top talent at all levels.</w:t>
      </w:r>
    </w:p>
    <w:p>
      <w:pPr>
        <w:spacing w:after="0" w:line="4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Talent and Development. </w:t>
      </w:r>
      <w:r>
        <w:rPr>
          <w:rFonts w:ascii="Times New Roman" w:cs="Times New Roman" w:eastAsia="Times New Roman" w:hAnsi="Times New Roman"/>
          <w:sz w:val="17"/>
          <w:szCs w:val="17"/>
          <w:color w:val="auto"/>
        </w:rPr>
        <w:t>We are committed to hiring exceptional talent and providing resources that support continuous career growth. We begin with talented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individuals who join for a role and stay for long, rewarding careers because we invest in their development, listen to their feedback, and respond to their concerns.</w:t>
      </w:r>
    </w:p>
    <w:p>
      <w:pPr>
        <w:spacing w:after="0" w:line="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talent development programs provide employees with the resources they need to help achieve their career goals, build management skills, and lead the Company.</w:t>
      </w:r>
    </w:p>
    <w:p>
      <w:pPr>
        <w:spacing w:after="0" w:line="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Compensation and Benefits. </w:t>
      </w:r>
      <w:r>
        <w:rPr>
          <w:rFonts w:ascii="Times New Roman" w:cs="Times New Roman" w:eastAsia="Times New Roman" w:hAnsi="Times New Roman"/>
          <w:sz w:val="17"/>
          <w:szCs w:val="17"/>
          <w:color w:val="auto"/>
        </w:rPr>
        <w:t>We strive to provide competitive compensation and benefits programs to help meet the needs of our employees and offer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flexibility, inclusivity, choice and protection necessary to retain top talent.</w:t>
      </w:r>
    </w:p>
    <w:p>
      <w:pPr>
        <w:spacing w:after="0" w:line="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subject to change, our current benefit programs may include, depending on country/region and employment position, stock-based awards granted pursuant to our stock award plans, awards granted under our annual cash incentive award plan, an employee stock purchase plan, a 401(k) and profit-sharing plan or defined contribution plan, healthcare and insurance benefits, health savings and flexible spending accounts, paid time off, family medical leave, paid parental leave (maternity, bonding, adoption, and surrogacy), fertility benefits, an employee emergency support fund, tuition assistance, and scholarship programs.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provide our employees and their families with access to a variety of innovative, flexible, and convenient health and wellness programs. These benefits provide protection and security so employees can have peace of mind concerning events that may impact their financial well-being. In addition, we offer employees the ability to customize benefits options to meet their individual needs and the needs of their families.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executive management team provides oversight of our programs, policies, and initiatives focusing on workforce inclusion and belonging, talent and development, and compensation and benefits. It is our policy to fully comply with all laws (domestic and foreign) applicable to equal employment opportunity and discrimination in the workplace.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AND PRICE TREND DATA</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tables present summary data for each of the last three years relating to: (i) housing starts within the United States, (ii) our sales volumes, and (iii) our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accounting principles generally accepted in the United States of America (U.S. GAAP). These measures may not be comparable to similarly titled performance indicators used by other companies.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information concerning our: (i) profit by segment; (ii) capital expenditures by segment; (iii) identifiable assets by segment; (iv) goodwill by segment; and (v) geographic area information, is included in “Note 15 - Segment Information” of the Notes to the Consolidated Financial Statements included in Item 8 of this annual report on Form 10-K.</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Housing Starts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monitor housing starts, which is an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indicators reported by other companies.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U.S. housing starts data reported by the U.S. Census Bureau for the quarter and year ended December 31, 2025, 2024, and 2023 (amounts based upon information published through January 9, 2026, in thousands):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560" w:type="dxa"/>
            <w:vAlign w:val="bottom"/>
            <w:tcBorders>
              <w:bottom w:val="single" w:sz="8" w:color="auto"/>
            </w:tcBorders>
          </w:tcPr>
          <w:p>
            <w:pPr>
              <w:spacing w:after="0"/>
              <w:rPr>
                <w:sz w:val="17"/>
                <w:szCs w:val="17"/>
                <w:color w:val="auto"/>
              </w:rPr>
            </w:pPr>
          </w:p>
        </w:tc>
      </w:tr>
      <w:tr>
        <w:trPr>
          <w:trHeight w:val="366"/>
        </w:trPr>
        <w:tc>
          <w:tcPr>
            <w:tcW w:w="6360" w:type="dxa"/>
            <w:vAlign w:val="bottom"/>
          </w:tcPr>
          <w:p>
            <w:pPr>
              <w:spacing w:after="0"/>
              <w:rPr>
                <w:sz w:val="24"/>
                <w:szCs w:val="24"/>
                <w:color w:val="auto"/>
              </w:rPr>
            </w:pPr>
          </w:p>
        </w:tc>
        <w:tc>
          <w:tcPr>
            <w:tcW w:w="156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r>
              <w:rPr>
                <w:rFonts w:ascii="Times New Roman" w:cs="Times New Roman" w:eastAsia="Times New Roman" w:hAnsi="Times New Roman"/>
                <w:sz w:val="20"/>
                <w:szCs w:val="20"/>
                <w:b w:val="1"/>
                <w:bCs w:val="1"/>
                <w:color w:val="auto"/>
                <w:vertAlign w:val="superscript"/>
              </w:rPr>
              <w:t>1</w:t>
            </w:r>
          </w:p>
        </w:tc>
        <w:tc>
          <w:tcPr>
            <w:tcW w:w="1640" w:type="dxa"/>
            <w:vAlign w:val="bottom"/>
            <w:gridSpan w:val="2"/>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24"/>
                <w:szCs w:val="24"/>
                <w:color w:val="auto"/>
              </w:rPr>
            </w:pPr>
          </w:p>
        </w:tc>
        <w:tc>
          <w:tcPr>
            <w:tcW w:w="156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42"/>
        </w:trPr>
        <w:tc>
          <w:tcPr>
            <w:tcW w:w="636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Housing starts: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Single-Family</w:t>
            </w: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0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948</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Multi-Family</w:t>
            </w: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472</w:t>
            </w:r>
          </w:p>
        </w:tc>
      </w:tr>
      <w:tr>
        <w:trPr>
          <w:trHeight w:val="198"/>
        </w:trPr>
        <w:tc>
          <w:tcPr>
            <w:tcW w:w="636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1,364</w:t>
            </w:r>
          </w:p>
        </w:tc>
        <w:tc>
          <w:tcPr>
            <w:tcW w:w="8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1,367</w:t>
            </w:r>
          </w:p>
        </w:tc>
        <w:tc>
          <w:tcPr>
            <w:tcW w:w="1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1,420</w:t>
            </w: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November and December 2025 housing starts have not yet been published by the U.S. Census Bureau, and therefore, we have used October 2025 housing starts as the November and December 2025 actual housing starts.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Sales Volume Information Summary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monitor sales volumes for our products in our Siding and OSB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sales volumes for the year ended December 31, 2025 and 2024 (in MMSF):</w:t>
      </w:r>
    </w:p>
    <w:p>
      <w:pPr>
        <w:spacing w:after="0" w:line="15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0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w:t>
            </w:r>
          </w:p>
        </w:tc>
      </w:tr>
      <w:tr>
        <w:trPr>
          <w:trHeight w:val="198"/>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 Siding sales volume</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1,786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1,719</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1,547</w:t>
            </w:r>
          </w:p>
        </w:tc>
      </w:tr>
      <w:tr>
        <w:trPr>
          <w:trHeight w:val="259"/>
        </w:trPr>
        <w:tc>
          <w:tcPr>
            <w:tcW w:w="6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0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OSB - Structural Solutions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1,559</w:t>
            </w:r>
          </w:p>
        </w:tc>
      </w:tr>
      <w:tr>
        <w:trPr>
          <w:trHeight w:val="20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OSB - Commodity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1,512</w:t>
            </w:r>
          </w:p>
        </w:tc>
      </w:tr>
      <w:tr>
        <w:trPr>
          <w:trHeight w:val="197"/>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 OSB sales volume</w:t>
            </w: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3,075</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3,384</w:t>
            </w:r>
          </w:p>
        </w:tc>
        <w:tc>
          <w:tcPr>
            <w:tcW w:w="8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3,071</w:t>
            </w:r>
          </w:p>
        </w:tc>
      </w:tr>
    </w:tbl>
    <w:p>
      <w:pPr>
        <w:spacing w:after="0" w:line="2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Overall Equipment Effectiveness Summary</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OEE for the year ended December 31, 2025 and 2024 for each of our businesses is listed below:</w:t>
      </w:r>
    </w:p>
    <w:p>
      <w:pPr>
        <w:spacing w:after="0" w:line="25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880" w:type="dxa"/>
            <w:vAlign w:val="bottom"/>
          </w:tcPr>
          <w:p>
            <w:pPr>
              <w:spacing w:after="0"/>
              <w:rPr>
                <w:sz w:val="17"/>
                <w:szCs w:val="17"/>
                <w:color w:val="auto"/>
              </w:rPr>
            </w:pPr>
          </w:p>
        </w:tc>
        <w:tc>
          <w:tcPr>
            <w:tcW w:w="11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70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1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r>
      <w:tr>
        <w:trPr>
          <w:trHeight w:val="201"/>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OSB</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75 %</w:t>
            </w: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file annual reports on Form 10-K, quarterly reports on Form 10-Q, current reports on Form 8-K, proxy statements, and from time to time, other documents with the SEC. Our SEC filings are available to the public over the Internet at the SEC’s website at http://www.sec.gov.</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we will make available our annual reports on Form 10-K, quarterly reports on Form 10-Q, current reports on Form 8-K, and amendments to those reports filed or furnished pursuant to Section 13(a) or 15(d) of the Exchange Act through our Internet website at http://investor.lpcorp.com under the “SEC Filings” heading of the “Financial Information” tab as soon as reasonably practicable after we electronically file such material with, or furnish it to, the SEC. Information contained on, or accessible through, our website is not a part of, and is not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You should be aware that the occurrence of any of the events described in this Risk Factors section and elsewhere in this annual report on Form 10-K or in any other of our filings with the SEC could have a material adverse effect on our business, financial position, results of operations and cash flows. In evaluating us, you should consider carefully, among other things, the risks described below and the matters described in “Cautionary Statement Regarding Forward-Looking Statements.”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OPERATIONAL RISK FACTORS</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u w:val="single" w:color="auto"/>
          <w:color w:val="auto"/>
        </w:rPr>
        <w:t>Unplanned events may interrupt our manufacturing operations, which may adversely affect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manufacturing of our products is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unplanned events such as explosions, fires, inclement weather, natural disasters, accidents, equipment failures, or labor disruptions that may be caused by, among other factors, changes in immigration policy, transportation interruptions, supply interruptions, public health issues (including pandemics and quarantines), riots, civil insurrection or social unrest, looting, protests, strikes, and street demonstrations. During the year ended December 31, 2025, fire interruptions reduced production by less than 1%, but future fire or other operational interruptions could significantly curtail the production capacity of a facility for a period of time. We have redundant capacity and capability to produce many of our products within our manufacturing platform to mitigate our business risk from such interruptions, but major or prolonged interruptions could compromise our ability to meet our customers’ needs. Delayed delivery of our products to customers who require on-time delivery from us may cause customers to purchase alternative products at a higher cost, reschedule their own production, or incur other incremental costs. Customers may be able to pursue financial claims against us for their incremental costs, and we may incur costs to correct such problems in addition to any liability resulting from such claims. Interruptions may also harm our reputation among actual and potential customers, potentially resulting in a loss of business. To the extent these losses are not covered by insurance, our financial position, results of operations, and cash flows could be adversely affected by such events.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u w:val="single" w:color="auto"/>
          <w:color w:val="auto"/>
        </w:rPr>
        <w:t>We mostly depend on third parties for transportation services and increases in costs or changes in the availability of transportation could materially and adversely affect our business and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business depends on the transportation of many products, both domestically and internationally. We rely primarily on third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for transportation of the products we manufacture and/or distribute as well as for delivery of our raw materials. In particular, a significant portion of the goods we manufacture and raw materials we use are transported by railroad or trucks, which are highly regulated. There may be labor unrest or disputes, including strikes and work stoppages, among workers at various transportation providers and in industries affecting the transportation industry, including those that are unionized, like the railroad industry. If any of our third-party transportation providers were to fail to deliver the goods we manufacture or distribute in a timely manner, or fail to deliver raw materials to us in a timely manner, it could impact our ability to manufacture and deliver our products, or to sell those products at full value or at all. In addition, if any of these third parties were to cease operations or cease doing business with us, we may be unable to replace them at a reasonable cost. Any failure of a third-party transportation provider to deliver raw materials or finished products in a timely manner could harm our reputation, impact our ability to manufacture and deliver our products, negatively affect our customer relationships and have a material adverse effect on our financial condition and results of operations. Further, an increase in transportation rates and oil and/or fuel surcharges could materially and adversely affect financial results, including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u w:val="single" w:color="auto"/>
          <w:color w:val="auto"/>
        </w:rPr>
        <w:t>Our reliance on third-party wholesale distribution channels could impact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offer our products directly and through a variety of third-party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wholesale distributors and dealers. Adverse changes in the financial or business condition of these wholesale distributors and dealers or our customers, including as a result of the impacts arising from tariffs, geopolitical conflicts, supply chain disruptions, or inflation, could subject us to losses and affect our ability to bring our products to market. One or more of our customers may experience financial difficulty, file for bankruptcy protection, or go out of business as a result of general market conditions or various other events, which could result in an increase in customer financial difficulties that affect us. The direct impact on us could include reduced revenues and write-offs of accounts receivable and could negatively impact our cash flow. While we currently cannot estimate what those effects will be, if they are severe, the indirect impact could include impairments of intangible assets and reduced liquidity, among others. Any such adverse changes could have a material adverse effect on our business, financial position, liquidity, results of operations, and cash flows. Further, our ability to effectively manage inventory levels at wholesale distributor locations may be impaired as a result of adverse changes in the financial or business condition of such wholesale distributors, which could increase expenses associated with excess and obsolete inventory and negatively impact our cash flows.</w:t>
      </w:r>
    </w:p>
    <w:p>
      <w:pPr>
        <w:spacing w:after="0" w:line="1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u w:val="single" w:color="auto"/>
          <w:color w:val="auto"/>
        </w:rPr>
        <w:t>We may experience difficulties in the development, launch or production ramp-up of new products, which could adversely affect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continued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 depends in part on our ability to develop new products that will meet the demands of our customers. We may not be successful in developing new products on an effective and financially profitable basis. Additionally, as we ramp up manufacturing processes for newly introduced products, we may experience difficulties, including manufacturing disruptions, delays, or other complications, which could adversely impact our ability to serve our customers, our reputation, our costs of production, and, ultimately, our financial position, results of operations and cash flows.</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u w:val="single" w:color="auto"/>
          <w:color w:val="auto"/>
        </w:rPr>
        <w:t>We may be unable to attract and retain qualified executives, management and other key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success depends in part on our ability to attract and retain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with the skills necessary to operate and maintain our facilities, produce our products, and serve our customers. Our key executives and management employees are important to our business and could be difficult to replace because they have extensive experience and skills relevant to our industry and business operations. In addition, the competition for skilled manufacturing, engineering, sales and other personnel, both hourly and salaried, may be intense in the regions where we operate. Our failure to hire and retain employees capable of performing at a high level, to successfully implement succession plans for executives and management employees, or to implement effective training plans for new personnel could jeopardize our ability to grow our business and could adversely impact our financial position, results of operations and cash flows.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u w:val="single" w:color="auto"/>
          <w:color w:val="auto"/>
        </w:rPr>
        <w:t>Cybersecurity risks related to the technology used in our operations and other business processes, as well as security breaches of Company, customer, consumer, employee, or vendor information, could adversely affect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rely on various information technology systems to capture, process, store, and report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and interact with customers, consumers, employees, and vendors. Despite careful security and controls design, implementation, updating, and internal and independent third-party assessments, our information technology systems, and those of our third-party providers, could become subject to security breaches, cyber-attacks, ransomware attacks, employee misconduct, computer viruses, unauthorized access attempts, phishing, social engineering, misplaced or lost data, programming and/or human errors or other similar events. Network, system, and data breaches could result in misappropriation of trade secrets or sensitive data or operational disruptions, including interruption to systems availability and denial of access to, and misuse of, applications required by our customers and vendors to conduct business with us. In addition, hardware and operating system software and applications that we procure from third parties may contain defects in design or manufacture, including “bugs” and other problems that could unexpectedly interfere with the operation of the systems. Misuse of internal applications, theft of intellectual property, trade secrets, or other corporate assets, and inappropriate disclosure of confidential information could stem from such incidents. A cybersecurity breach could result in manipulation and destruction of sensitive data, cause critical systems to malfunction, be damaged or shut down, and lead to disruption to our operations and production downtimes, potentially for lengthy periods. Theft of personal or other confidential data and sensitive proprietary information could also occur as a result of a cybersecurity breach, exposing us to costs and liabilities associated with privacy and data security laws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While we have security measures in place that are designed to protect customer and other sensitive information and the integrity of our information technology systems and prevent data loss and other security breaches, our security measures or those of our third-party service providers may not be sufficiently broad in scope to protect all relevant information, may not function as planned, or may be breached as a result of third-party action, employee or vendor error, malfeasance, or otherwise. While we maintain cybersecurity insurance, the costs related to cybersecurity threats or disruptions may not be fully insured. Because the techniques used to obtain unauthorized access, disable or degrade service, or sabotage systems change frequently or may be designed to remain dormant until a predetermined triggering event and often are not recognized until launched against a target, we may be unable to anticipate these techniques or implement sufficient control measures to defend against these techniques. The rapid evolution and increased adoption of generative artificial intelligence (AI) is further increasing risks in this area, including by making cyberattacks more difficult to detect, contain or mitigate and making fraud detection more difficult, particularly with detection devices that use voice recognition or authentication. Once a security incident is identified, we may be unable to fully remediate or otherwise respond to such an incident in a timely manner, which may cause us to incur remediation or other costs or subject us to demands to pay a ransom fee. Additionally, a breach could expose us and our customers, consumers, vendors, and employees to risks of misuse of such information. Such negative consequences of cyberattacks, cybersecurity failures or other security breaches could impact our ability to operate our businesses effectively, adversely affect our reputation, competitive position, business or financial results, and expose us to potential liability, litigation, governmental inquiries, investigations or regulatory enforcement actions. In addition, the lost profits and increased costs related to cybersecurity or other security threats or disruptions may not be fully insured against or indemnified by other means. As a result, cybersecurity and the continued development and enhancement of our controls, processes, and practices remain a priority for us. We may be required to expend additional resources to continue to enhance our security measures necessary to investigate and remediate any security vulnerabilities. We cannot predict the degree of any impact that increased monitoring, assessing, or reporting of cybersecurity matters would have on operations, financial conditions and results.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 Our development, integration and use of AI technology in our operations remains in the early phases. Although we aim to implement AI technology according to responsible procedures and adequate safeguards, our current or future use of AI or machine learning tools in our business operations could expose us to new or additional costs and risks, including the potential introduction of new vulnerabilities or cybersecurity risks within our information technology systems; the potential inadvertent or unauthorized release of our confidential or proprietary information resulting from the use (whether or not authorized) of AI or machine learning tools by our employees, contractors, agents, representatives, vendors or customers; the potential loss of our intellectual property or our potential infringement of the intellectual property rights of third parties resulting from the use (whether or not authorized) of AI or machine learning tools in our operations; and potential legal or reputational harms due to insufficient or flawed data, inaccurate or misleading outputs, insufficient quality control, or unlawful bias or discrimination associated with the use of AI or machine learning tools. In addition, the AI tools we may incorporate into certain aspects of our operations may not generate the intended efficiencies and may impact our business results. Our inability to prevent information technology system disruptions or to mitigate the impact of such disruptions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Because our intellectual property and other proprietary information may become compromised, we are subject to the risk that competitors could copy our products</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or processes.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success depends, in part, on the proprietary nature of our technology, including non-patentable intellectual property, such as our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To the extent that a competitor can reproduce or otherwise capitalize on our technology, it may be difficult, expensive, or impossible for us to obtain adequate legal remedies or other recourse.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and/or trade secrets. To safeguard our confidential information, we rely on employee, consultant, and vendor nondisclosure agreements and contractual provisions and a system of internal and technical safeguards. However, any of our registered or unregistered intellectual property rights may be subject to challenge or possibly exploited by our competitors or other third parties, which could materially adversely affect our financial position, results of operations, cash flows, and competitive position.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u w:val="single" w:color="auto"/>
          <w:color w:val="auto"/>
        </w:rPr>
        <w:t>We manufacture and distribute our products in jurisdictions outside the United States and are exposed to risks associated with international business operations, including risks related to potential supply chain disruptions, such as delays, cost fluctuations, and challenges in sourcing materials or components due to geopolitical events, government trade policies, or logistical constraints.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manufacture our products in the United States, Canada, Chile, and Brazil and sell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primarily in North America and South America. We operate a supply chain that involves the shipment of goods from certain international markets to the jurisdictions where we manufacture our products. Accordingly, we are subject to risks associated with potential disruption caused by changes in political, monetary, economic, and social environments, including civil and political unrest, terrorism, possible expropriation, local labor conditions (including labor disruptions or shortages), changes in laws, regulations, and policies of foreign governments and trade disputes with the United States (including tariffs), and compliance with U.S. laws affecting activities of U.S. companies abroad, including tax laws, economic sanctions and enforcement of contract and intellectual property rights. Steps taken by the U.S. government to apply new, or increase existing, tariffs on certain products and materials imported into the U.S. could potentially disrupt our existing supply chains and have imposed, and could continue to impose, additional costs on our business, including costs with respect to raw materials upon which our business depends. Additionally, potential tariffs imposed by other countries in response to U.S. trade policies could adversely affect our ability to export products from the United States to key international markets, leading to decreased sales and profitability. Such retaliatory tariffs could also increase the cost of certain components and materials that we import into the U.S., further straining our supply chain and impacting our overall financial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international operations and sourcing of materials could be harmed by a variety of factors, including:</w:t>
      </w:r>
    </w:p>
    <w:p>
      <w:pPr>
        <w:spacing w:after="0" w:line="114"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recessionary trends in international markets;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changes and the burdens and costs of our compliance with a variety of laws, including but not limited to export controls, import and customs trade restrictions, tariffs, and regulations related to public health matters;</w:t>
      </w: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transportation costs or transportation delays;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unionization efforts and labor strikes;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particularly the value of the U.S. dollar relative to other currencies;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and political unrest, geopolitical and military conflicts or tensions, terrorism and economic instability.</w:t>
      </w:r>
    </w:p>
    <w:p>
      <w:pPr>
        <w:spacing w:after="0" w:line="9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If any of these or other factors were to render the conduct of our business in a particular country undesirable or impractical, our business, financial condition, or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2025, the U.S. government announced significant changes to U.S. trade policy, including the implementation or planned imposition of new or increased tariffs and trade barriers on a broad range of goods imported from international markets, as well as the potential modification or termination of existing trade agreements between the U.S. and certain other countries. In response, certain countries have imposed, or are considering, retaliatory tariffs on U.S. exports. Changing trade policy in the U.S. and other countries could continue to increase the cost of certain raw materials or components that are critical to our manufacturing process, which could have a material negative impact on our manufacturing costs and our overall financial performance. For the year ended December 31, 2025, we incurred $8 million in expenses related to new or increased tariffs. While we do not consider the impact on our 2025 financial results to be material, and impact from increased tariffs are not currently expected to be material in 2026, given the rapid changes and growing uncertainty relating to the global tariff landscape, the potential impact of these factors on our future operational and financial performance is uncertain and our sales and our competitive position within the U.S. market and in markets outside the U.S. could be negatively impacted.</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u w:val="single" w:color="auto"/>
          <w:color w:val="auto"/>
        </w:rPr>
        <w:t>We may pursue acquisitions, divestitures, joint ventures, capital investments and other corporate strategic transactions from time to time. These transactions may involve risks or may not be successful.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business strategy may depend, in part, on our ability to accomplish successful acquisitions, divestitures, joint ventures,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investments and other corporate strategic transactions that we may pursue. The benefits we typically expect to achieve from such corporate strategic transactions may include, among other things, synergies, cost savings, growth opportunities and access to new markets, and in the case of divestitures, the disposition of businesses or assets that do not align with our long-term strategy and the realization of proceeds from the sale of businesses and assets to unrelated purchasers. We are subject to the risk that we may not achieve the expected benefits associated with such transactions. Failure to achieve such benefits could have a material adverse impact on our financial position, operating results and cash flows</w:t>
      </w:r>
      <w:r>
        <w:rPr>
          <w:rFonts w:ascii="Times New Roman" w:cs="Times New Roman" w:eastAsia="Times New Roman" w:hAnsi="Times New Roman"/>
          <w:sz w:val="17"/>
          <w:szCs w:val="17"/>
          <w:color w:val="0000FF"/>
        </w:rPr>
        <w: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corporate strategic transactions that we may pursue may involve a number of special risks, including, among other things, the diversion of management attention and business resources in connection with the pursuit of such transactions and the integration of acquired assets or businesses into our operations, the demands on our financial, operational and information technology systems resulting from the acquisition of assets or businesses, and the possibility that we may become responsible for unexpected liabilities resulting from an acquisition for which we may not be adequately indemnified. These and other risks associated with corporate strategic transactions we may pursue may be unpredictable and beyond our control and could have a material adverse impact on our financial position, reputation, operating results and cash flows.</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u w:val="single" w:color="auto"/>
          <w:color w:val="auto"/>
        </w:rPr>
        <w:t>The impact of new ongoing or escalated military and geopolitical conflicts and tensions on the global economy, energy supplies and raw materials may prove to negatively impact our business and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business could be negatively affected by the impact of new or ongoing military or geopolitical conflicts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international markets and the global economy. The impact of ongoing conflicts and/or escalation thereof could include increased volatility in financial and commodity markets, increased energy prices, increased maritime shipping costs, supply chain disruptions, a higher level of general market and macroeconomic instability, increased cyber attacks and violent protests or political or social unrest in areas outside the immediate conflict area, among other things. These conflicts and tensions and other military or geopolitical conflicts or tensions that may arise in the future could materially adversely affect our operations, financial position, and results.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We are subject to physical, operational, transitional, and financial risks associated with climate change and global, regional, and local weather conditions, and with legal, regulatory, and market responses to climate 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 has been an evolving focus, including from investors, the general public, and U.S.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governmental and nongovernmental authorities, regarding sustainability matters, including with respect to climate change, greenhouse gas emissions, packaging and waste, sustainable supply chain practices, deforestation, and land, energy, and water use. We cannot predict whether our disclosures or performance will be considered satisfactory or the extent to which a change in monitoring, assessing, or reporting of sustainability may impact our operations, financing condition,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unpredictability and frequency of natural disasters such as hurricanes, earthquakes, hailstorms, wildfires, snow, ice storms, the spread of disease, and insect infestations could affect the supply of raw materials or cause variations in their costs, or variations in transportation-related costs. In addition, global climate change may increase the frequency or intensity of extreme weather events, such as storms, floods, heat waves, and other events that could affect our facilities and demand for our products.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suppliers and the third parties we rely on for transportation may also be impacted by evolving sustainability reporting requirements or risks associated with the transition to a lower carbon economy, which may adversely impact their ability to provide us with goods and services and we may be unable to meet consumer demands at the same cost or in a timely fashion.</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Our reputation may be adversely affected if we are not able to achieve our sustainability and corporate responsibility priorities or otherwise meet the expectations of our stakeholders with respect to these matters.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strive to deliver shared value through our business. From time to time, we announce certain aspirations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priorities relevant to these matters and publish information about our sustainability and corporate responsibility priorities, strategies, and progress on our corporate website, our sustainability report and in public filings (none of which are incorporated by reference into and do not form any part of this annual report on Form 10-K or our other filings with the SEC unless expressly incorporated by reference). Achievement of these priorities and strategies is subject to risks and uncertainties, many of which are outside of our control, and it is possible that we may not achieve all our priorities or certain of our stakeholders might not be satisfied with our efforts regarding these matters. Perceived failures or delays in meeting our sustainability and corporate responsibility priorities could adversely affect public perception of our business, employee morale or customer or stakeholder support, and may negatively impact our financial condition and results of operations.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Stakeholder expectations regarding sustainability practices are diverse, rapidly changing, and may impact reporting requirements, voluntary disclosures, and the setting of goals and commitments. Developing, sharing and acting on sustainability initiatives, and collecting, measuring, and reporting related data, can be costly, difficult, and time-consuming. Any failure or perceived failure by us in this regard could adversely impact our business and reputation.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RISK FACTORS</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u w:val="single" w:color="auto"/>
          <w:color w:val="auto"/>
        </w:rPr>
        <w:t>Our business primarily relies on North American new home construction and repair and remodeling, which are impacted by risks associated with fluctuations in the housing market. Downward changes in the general economy, the housing market, or other business conditions could adversely affect our results of operations, cash flows, and financial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housing market is sensitive to changes in economic conditions and other factors, such as the level of employment, access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labor, consumer confidence, consumer income, availability of financing, prevailing interest rates and the cost of home mortgage financing, inflation levels, and growth of the gross domestic products in the countries in which we operate.</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Adverse changes in any of these conditions generally, or in any of the markets where we operate, could decrease demand for our products and could adversely impact our businesses by: causing consumers to delay or decrease homeownership or relocation; making consumers more price-conscious, resulting in a shift in demand to smaller or less expensive homes; making consumers more reluctant to make investments in their existing homes; or making it more challenging to secure loans for major renovations or new home construction. Unfavorable changes in demographics, credit markets, consumer confidence, household incomes, inflation, housing affordability, or housing inventory levels and occupancy rates, or a weakening of the U.S. economy or of any regional or local economy in which we operate, could adversely affect consumer spending, result in decreased demand for our products, and adversely affect our business. If conditions in the overall housing market or in a specific market or submarket worsen in the future beyond our current expectations, such changes could continue to have a material adverse effect on our financial position, results of operations, and cash flows. Additionally, higher interest rates, higher levels of unemployment, restrictive lending practices, heightened regulation, and increased foreclosures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u w:val="single" w:color="auto"/>
          <w:color w:val="auto"/>
        </w:rPr>
        <w:t>We have a high degree of product concentration in OSB, which is subject to commodity pricing and associated price volatility.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OSB accounted for about 33%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North American net sales in 2025 and 43% in each of 2024 and 2023. We expect OSB sales to continue to account for a substantial portion of our revenues and profits in the future. The concentration of our business in the OSB market increases our sensitivity to commodity pricing and price volatility. Historical prices for our commodity products have been volatile, and we, like other participants in the building products industry, have limited influence over the timing and extent of price changes for our commodity products. Commodity product pricing is significantly affected by the relationship between supply and demand in the building products industry. Product supply is influenced primarily by fluctuations in available manufacturing capacity. Demand is affected by the state of the economy in general and a variety of other factors, including the level of new residential construction activity, home repair and remodeling activity, and changes in the availability and cost of mortgage financing. In this competitive environment, with many variables beyond our control, we cannot guarantee that pricing for our OSB products will not decline from current levels. Decreases in pricing for OSB products may have a material adverse effect on our financial position, liquidity, results of operations, and cash flows. The continued development of builder and consumer preference for our OSB products (commodity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Structural Solutions) over competitive products is critical to sustaining and expanding demand for our products. Therefore, a failure to maintain and increase builder and consumer acceptance of our OSB products could also have a material adverse effect on our financial position, liquidity, results of operations, and cash flows.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Intense competition in the building products industry could prevent us from increasing or sustaining our net sales and profitability.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markets for our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highly competitive. Our competitors range from very large, fully integrated forest and building products firms to smaller firms that may manufacture only one or a few types of products. Many of our competitors may have greater financial and other resources, greater product diversity, and better access to raw materials than we do, and certain of the mills operated by our competitors may be lower-cost producers than the mills we operate. Increased competition in any of the markets in which we operate would likely cause heightened pricing pressures in those markets. Any of these factors could have a material adverse effect on our financial position, results of operations, and cash flows.</w:t>
      </w:r>
    </w:p>
    <w:p>
      <w:pPr>
        <w:spacing w:after="0" w:line="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i w:val="1"/>
          <w:iCs w:val="1"/>
          <w:u w:val="single" w:color="auto"/>
          <w:color w:val="auto"/>
        </w:rPr>
        <w:t>Our results of operations may be adversely affected by potential shortages of raw materials and increases in raw material costs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purchase various raw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including, among others, wood, wood-based, and resin products, which are subject to price fluctuations that could materially increase our manufacturing costs. Further, some of our suppliers have consolidated and other suppliers may do so in the future. Combined with increased demand, such consolidation could increase the price of our supplies and raw materials. The most significant raw material used in our operations is wood fiber. Wood fiber is subject to commodity pricing, which fluctuates based on market factors over which we have no control. In addition, the cost of various types of wood fiber that we purchase in the market has at times fluctuated greatly because of governmental, economic, or industry conditions and may be affected by increased demand resulting from initiatives to increase the use of biomass materials in the production of heat, power, bio-based products, and biofuels. Wood fiber supply could also be influenced by natural events, such as forest fires, ice storms, wind storms, hurricanes, and other severe weather conditions, insect epidemics, plant and tree disease, changing temperature and precipitation patterns, and other natural disasters and man-made causes, which may increase wood fiber costs, restrict access to wood fiber, or force production curtailments. In addition to wood fiber, we also use a significant quantity of various resins in our manufacturing processes. Resin product costs are influenced by changes in the prices or availability of raw materials used to produce resins, primarily petroleum products, as well as demand for and availability of resin products and their chemical precursors. OSB product prices are largely driven by the ratio of overall OSB demand to industry capacity. We are unable to determine to what extent, if any, we will be able to pass any future OSB raw material cost increases through to our customers through product price increases. Furthermore, supply disruptions in resin or wood fiber may impact our ability to produce our products or may cause production costs to increase. Our inability or unwillingness to pass increased costs through to our customers could have a material adverse effect on our financial condition, results of operations, and cash flows.</w:t>
      </w:r>
    </w:p>
    <w:p>
      <w:pPr>
        <w:spacing w:after="0" w:line="2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Development of Canadian provincial forest lands, from which we obtain wood fiber, can be subject to constitutionally protected Indigenous treaty, Aboriginal title, or Aboriginal rights of recognized Indigenous groups in Canada. Provincial governments are required by law to consult with Indigenous nations regarding land use development projects, including forest management plans and operations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Canadian provincial governments are actively engaged in consultations or negotiations with Indigenous groups. Negotiations sometimes progress slowly and may be subject to litigation if rights-based interests are not fully addressed. In addition, it can take time for Canadian provincial governments to consult with Indigenous groups, and this too can be subject to litigation. To offset this risk, we proactively engage in efforts to share information and develop positive relationships with Indigenous communities that have cultural, spiritual, and economic interests in the areas where we operate. This focused engagement enables us to further understand and observe the rights of Indigenous groups relating to forestry activities while also minimizing risks to our business operations. Nonetheless, final or interim resolution of claims brought forward by Canadian provincial governments and Indigenous nations may result in additional restrictions on wood supply, potentially affecting our operational costs and/or timber prices over the long term.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REGULATORY RISK FACTORS</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u w:val="single" w:color="auto"/>
          <w:color w:val="auto"/>
        </w:rPr>
        <w:t>We are subject to significant environmental regulation and environmental compliance expenditures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business is subject to many environmental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laws and regulations, particularly with respect to discharges of pollutants and other emissions on or into the land, water, and air, the disposal and remediation of hazardous substances or other contaminants, and the restoration and reforestation of timberlands. Compliance with these laws and regulations is a significant factor in our business. We have incurred and expect to continue to incur significant expenditures to comply with applicable environmental laws and regulations. Moreover, changes to the environmental laws and regulations to which we are subject and the enactment of new environmental laws, regulations, or other requirements, including with respect to greenhouse gas emissions or climate change, may cause us to incur increased and unexpected compliance costs or impose restrictions on our ability to manufacture our products or operate our business. In addition, there has historically been, and there continues to be, a lack of consistent climate legislation, which has created and continues to create economic and regulatory uncertainty.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 as well as reputational harm.</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may trigger compliance requirements that are not applicable to operating facilities. Consequently, we cannot guarantee that existing or future circumstances or developments with respect to contamination will not require significant expenditures by us or have significant adverse impact on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We are subject to various environmental, product liability, and other legal proceedings, matters, and claims. The outcome of these proceedings, matters, and claims, and the magnitude of related costs and liabilities, are subject to uncertainties.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currently are, or from time to time in the future may be, involved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environmental matters and legal proceedings, including legal proceedings involving antitrust, warranty or non-warranty product liability claims, negligence, and other claims, including claims for wrongful death, personal injury and property damage alleged to have arisen out of use by others of our or our predecessors’ products or the release by us or our predecessors of hazardous substances. The conduct of our business involves the use of hazardous substances and the generation of contaminants and pollutants. In addition, the end-users of many of our products are members of the general public. Environmental matters and other legal matters and proceedings, including class action settlements relating to certain of our products, have in the past caused and, in the future may cause, us to incur substantial costs. The actual or alleged existence of defects in any of our products could also subject us to significant product liability claims. We have established contingency reserves in our Consolidated Financial Statements with respect to the estimated costs of existing environmental matters and legal proceedings to the extent that our management has determined that such costs are both probable and reasonably estimable as to amount. However, such reserves are based upon various estimates and assumptions relating to future events and circumstances, all of which are subject to inherent uncertainties. We regularly monitor our estimated exposure to environmental and litigation loss contingencies and, as additional information becomes known, may change our estimates significantly. However, no estimate of the range of any such change can be made at this time. We may incur costs in respect of existing and future environmental matters and legal proceedings as to which no contingency reserves have been established. There is no assurance that we will have sufficient resources available to satisfy the related costs and expenses associated with these matters or proceedings. The incurring of costs in excess of our contingency reserves could have a material adverse effect on our business, financial condition, and results of operations.</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u w:val="single" w:color="auto"/>
          <w:color w:val="auto"/>
        </w:rPr>
        <w:t>We are subject to the U.S. Foreign Corrupt Practices Act and other anti-corruption laws, as well as other international trade and regulatory laws governing our operations. If we fail to comply with these laws, we could be subject to civil or criminal penalties, other remedial measures, and legal expenses, which could adversely affect our business, financial condition, and results of operations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operations are subject to anti-corruption laws, including the U.S. Foreign Corrupt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Practices Act (FCPA) and other anti-corruption laws that apply in countries where we do business. The FCPA and these other laws generally prohibit us and our employees and intermediaries from bribing, being bribed or making, promising, offering or authorizing payments or gifts, with corrupt intent, to government officials or other persons to obtain or retain business or gain some other business advantage. We conduct business in a number of jurisdictions that are geographically high-risk for violations of anti-corruption laws, we participate in relationships with third parties whose actions could potentially subject us to liability under the FCPA or other anti-corruption laws, and the nature of our business involves interaction with government officials. In addition, we cannot predict the nature, scope, or effect of future regulatory requirements to which our operations might be subject or the manner in which existing laws might be administered or interpreted.</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entities and other persons, customs requirements, anti-boycott regulations, currency exchange regulations and transfer pricing regulations (collectively, Trade Control Laws).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and maintain a compliance program with policies, procedures, and employee training to help ensure compliance with the FCPA, other applicable anti-corruption laws, and Trade Control Laws. However, despite our compliance program, there is no assurance that we or our intermediaries will be completely effective in complying with all applicable anti-corruption laws, including the FCPA or other legal requirements or Trade Control Laws. If we or our intermediaries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Likewise, any investigation of any potential violations of the FCPA, other anti-corruption laws, or Trade Control Laws by the U.S. or foreign authorities could also have an adverse impact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u w:val="single" w:color="auto"/>
          <w:color w:val="auto"/>
        </w:rPr>
        <w:t>Regulatory and statutory changes applicable to us or our customers, including changes in tax law or effective tax rates, could adversely affect our financial condition and results of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and many of our customers, are subject to various national, state and local laws, rules, and regulations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in any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laws, rules, or regulations could result in additional compliance costs, seizures, confiscations, recalls or monetary fines, any of which could prevent or inhibit the manufacture, distribution and sale of our products.</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periodic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 financial condition, and results of operations, or that our provision for income taxes will be sufficient.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also exposed to changes in tax laws, as well as any future regulations issued and changes in interpretations of tax laws, which can impact our current and future years' tax provisions. We monitor tax legislation changes on a global basis, including changes arising as a result of the Organization for Economic Cooperation and Development’s multi-jurisdictional plan of action to address base erosion and profit shifting, commonly referred to as the Pillar Two Inclusive Framework and the 2025 One Big Beautiful Bill Act (“The Tax Act”) with effective dates of enacted provisions ranging from 2025 through 2027. Both Pillar Two and The Tax Act are discussed further in "Note 6, Income Taxes" of the Notes to the Consolidated Financial Statements included in Item 8 of this annual report on Form 10-K. The effect of any other tax law changes or regulations and interpretations, as well as any additional tax legislation in the U.S. or other jurisdictions in which we operate, could have a material adverse effect on our business, financial condition, and results of operations.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our products and markets are subject to extensive and complex federal, local, state, and foreign statutes, ordinances, rules, and regulations. These mandates, including building design and safety and construction standards and zoning requirements, affect the cost, selection, and quality requirements of building components, such as the structural panel and siding products that we manufacture and sell, and often provide broad discretion to governmental authorities as to the types and quality specifications of products used in new home construction and repair and remodeling projects. Compliance with these standards and changes in such statutes, ordinances, rules, and regulations may increase the costs of manufacturing our products or may reduce the demand for certain of our products in the affected geographical areas or product markets. Conversely, a decrease in product safety standards could reduce demand for our more modern products if less expensive alternatives that do not meet higher standards were to become available for use in the affected geographical areas or product markets. All or any of these changes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RISK FACTORS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u w:val="single" w:color="auto"/>
          <w:color w:val="auto"/>
        </w:rPr>
        <w:t>Inflation may adversely affect us by increasing costs of raw materials, labor, and other costs beyond what we can recover through price increases.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Inflation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adversely affect us by increasing the costs of raw materials and labor, and other goods or services required to operate and grow our business. Many of the markets in which we sell our products have experienced high levels of inflation in recent periods and may continue to experience high levels of inflation in the future, which may depress consumer demand for our products and reduce our profitability if we are unable to raise prices enough to keep up with increases in our costs. Inflationary pressures have resulted in increases in the cost of certain raw materials, and other supplies necessary for the production of our products, and such increases may continue to impact us in the future and expose us to risks associated with significant levels of cost inflation. If we are unable to increase our prices to offset the effects of inflation, our business, operating results, and financial condition could continue to be materially and adversely affected.</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u w:val="single" w:color="auto"/>
          <w:color w:val="auto"/>
        </w:rPr>
        <w:t>Warranty claims relating to our products and exceeding our warranty reserves could have a material adverse effect on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have offered,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 to offer, various warranties on our products. Although we maintain reserves for warranty-related claims and we have established and recorded product-related warranty reserves on our Consolidated Financial Statements, we cannot guarantee that warranty expense levels or the results of any warranty-related legal proceedings will not exceed our reserves. If our warranty reserves are significantly exceeded, the costs associated with such warranties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We have not independently verified the results of third-party research or confirmed assumptions or judgments upon which it may be based, and the forecasted and other forward-looking information contained therein is subject to inherent uncertainties.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have referred to, and may in the future refer to, in our annual reports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Form 10-K, quarterly reports on Form 10-Q, and other documents that we file with, or furnish to, the SEC, historical, forecasted, and other forward-looking information published by sources such as the U.S. Census Bureau that we believe to be reliable. However, we have not independently verified this information and, with respect to the forecasted and forward-looking information, have not independently confirmed the assumptions and judgments upon which it is based. Forecasted and other forward-looking information is necessarily based on assumptions regarding future occurrences, events, conditions, and circumstances and subjective judgments relating to various matters and is subject to inherent uncertainties. Actual results may differ materially from the results expressed or implied by, or based upon, such forecasted and forward-looking information.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Because we have operations outside the United States and report our earnings in U.S. dollars, unfavorable fluctuations in currency values and exchange rates could have a material adverse effect on our results of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Because our reporting currency is the U.S. dollar, our non-U.S. operations face the additional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fluctuating currency values and exchange rates. Such operations may also face hard currency shortages and controls on currency exchange. Changes in the value of foreign currencies (principally Canadian dollars, Brazilian reals, Chilean pesos, and Argentine pesos) could have an adverse effect on our results of operations.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 There can be no assurance that fluctuation in foreign currencies and other foreign exchange risks will not have a material adverse effect on our financial position, results of operations, or cash flows.</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u w:val="single" w:color="auto"/>
          <w:color w:val="auto"/>
        </w:rPr>
        <w:t>Covenants and events of default in our debt instruments could limit our ability to undertake certain types of transactions and adversely affect our liquidity.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Credit Agreement (as defined below) and the indenture governing the 2029 Senior Notes (as defined below) contain a number of restrictive covenants that impose operating and financial restrictions on us and may limit our ability to engage in acts that may be in our long-term best interests, including, among others, restrictions on our ability to incur indebtedness, grant liens to secure indebtedness, engage in sale and leaseback transactions, and merge or consolidate or sell all or substantially all of our assets.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restrictive covenants in our Amended Credit Agreement require us to maintain specified financial ratios and satisfy other financial condition tests. Our ability to meet those financial ratios and tests can be affected by events beyond our control, and we may be unable to meet them.</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breach of the covenants or restrictions under our Amended Credit Agreement or under the indenture governing the 2029 Senior Notes could result in an event of default under the applicable indebtedness. Such a default may allow our creditors to accelerate the related debt. A payment default or an acceleration following an event of default under our Amended Credit Agreement or our indenture governing the 2029 Senior Notes could trigger an event of default under the other indebtedness obligation, as well as any other debt to which a cross-acceleration or cross-default provision applies, which could result in the principal of and the accrued and unpaid interest on all such debt becoming due and payable ahead of schedule. In addition, an event of default under our Amended Credit Agreement could permit the lenders under our Amended Credit Facility (as defined below) to terminate all commitments to extend further credit under that facility. Furthermore, if we were unable to repay any amounts due and payable under our Amended Credit Facility, those lenders could proceed against the collateral granted to them to secure that indebtedness, to the extent any such collateral is granted thereunder. In the event our lenders or noteholders accelerate the repayment of our borrowings, we and our subsidiaries may not have sufficient assets to repay that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01"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 and grow in accordance with our strategy;</w:t>
      </w:r>
    </w:p>
    <w:p>
      <w:pPr>
        <w:spacing w:after="0" w:line="15" w:lineRule="exact"/>
        <w:rPr>
          <w:rFonts w:ascii="Times New Roman" w:cs="Times New Roman" w:eastAsia="Times New Roman" w:hAnsi="Times New Roman"/>
          <w:sz w:val="17"/>
          <w:szCs w:val="17"/>
          <w:color w:val="auto"/>
        </w:rPr>
      </w:pPr>
    </w:p>
    <w:p>
      <w:pPr>
        <w:ind w:left="620" w:hanging="307"/>
        <w:spacing w:after="0" w:line="221"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or to take advantage of new business opportunities.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our financial results, our level of indebtedness, and our credit ratings could adversely affect the availability and terms of any additional or replacement financing.</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More detailed descriptions of our Amended Credit Agreement and the indenture governing the 2029 Senior Notes are included in filings made by us with the SEC, along with the documents themselves, copies of which are filed as exhibits to this annual report on Form 10-K and which provide the full text of these covenants.</w:t>
      </w:r>
    </w:p>
    <w:p>
      <w:pPr>
        <w:spacing w:after="0" w:line="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u w:val="single" w:color="auto"/>
          <w:color w:val="auto"/>
        </w:rPr>
        <w:t>We are subject to interest rate risk under our Amended Credit Facility.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Borrowings under our Amended Credit Facility are at variable rates of interest based 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“base rate” plus a margin of 0.500% to 1.500% or (b) Adjusted Term SOFR (i.e., Term SOFR Rate plus an adjustment of 0.10%), which is based upon the Secured Overnight Financing Rate (SOFR), plus a margin of 1.500% to 2.500%, and therefore expose us to interest rate risk. The “base rate” is the highest of (i) the Federal funds rate plus 0.5%, (ii) the U.S. prime rate, and (iii) one-month Adjusted Term SOFR plus 1.0%.</w:t>
      </w:r>
    </w:p>
    <w:p>
      <w:pPr>
        <w:spacing w:after="0" w:line="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u w:val="single" w:color="auto"/>
          <w:color w:val="auto"/>
        </w:rPr>
        <w:t>Our cash, cash equivalents and investments could be adversely affected if the financial institutions in which we hold our cash, cash equivalents and investments fail.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regularly maintain cash balances at third-party financial institutions in excess of the Federal Deposit Insurance Corporation insurance limit. If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u w:val="single" w:color="auto"/>
          <w:color w:val="auto"/>
        </w:rPr>
        <w:t>We are subject to a variety of other risks as a publicly traded U.S. manufacturing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publicly traded U.S. manufacturing company, we are subject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variety of other risks, each of which could adversely affect our financial position, results of operations or cash flows, or the price of our common stock. These risks include but are not limited to the following, in addition to the other risks described above:</w:t>
      </w:r>
    </w:p>
    <w:p>
      <w:pPr>
        <w:spacing w:after="0" w:line="61" w:lineRule="exact"/>
        <w:rPr>
          <w:sz w:val="20"/>
          <w:szCs w:val="20"/>
          <w:color w:val="auto"/>
        </w:rPr>
      </w:pPr>
    </w:p>
    <w:p>
      <w:pPr>
        <w:ind w:left="620" w:hanging="307"/>
        <w:spacing w:after="0" w:line="26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and global economic conditions, including impacts from rising inflation, supply chain disruptions, new, ongoing, or escalated geopolitical or military conflicts or tensions;</w:t>
      </w: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 wide variety of health and safety laws and regulations and changes to such laws and regulations;</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exertion of influence over us, individually or collectively, by a few entities with concentrated ownership of our stock;</w:t>
      </w:r>
    </w:p>
    <w:p>
      <w:pPr>
        <w:spacing w:after="0" w:line="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modified legislation related to health care, data privacy, AI, climate change or cybersecurity;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Section 404 of the Sarbanes-Oxley Act of 2002, including the potential impact of compliance failures; and</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the expectations of investors, including as a result of factors beyond the control of an individual company.</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OVERSIGHT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 and Strategy</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LP places utmost priority on ensuring consistent and uninterrupted operational capability, as well as securing confidential business assets. We have systems and processes in place to assess, identify and manage cybersecurity incidents, and those systems and processes are integrated into our overall enterprise risk management system. We invest heavily in technology and third-party support to identify, mitigate, and quickly respond to cybersecurity incidents, and we have maintained a strong focus in consistently reviewing fundamental cybersecurity practices and ensuring we are reviewing emerging threats.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respond to the threat of security breaches and cyberattacks, we maintain a cybersecurity program designed to protect and preserve the confidentiality, integrity and continued availability of all information and operational processes owned by, or in the care of, LP. This program includes mechanisms to monitor and detect unusual network activity, cybersecurity incident response and containment tools, and a response plan that provides controls and procedures for timely and accurate reporting of any material cybersecurity incident. We also have a cybersecurity training and compliance program in place for the Company whereby our connected employees receive training and are tested routinely through simulated phishing attempts.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rely heavily on third-party suppliers and vendors, and a cybersecurity incident at one of our suppliers or vendors could have a material adverse impact on our business operations. We evaluate third-party cybersecurity risk controls through various assessment activities carried out by LP employees and by third-party service providers acting on our behalf. We engage independent third parties to conduct, on an annual basis, either a Security Program Assessment under the Capability Maturity Model Integration (CMMI) framework or the National Institute of Standards and Technology (NIST) framework, or targeted penetration testing combined with security controls assessments. For incident alerts and response, we outsource around-the-clock coverage to a third-party managed service provider who provides timely alerting and notification of potential cybersecurity issues. We continually work with third-party experts to advise on new threats and cybersecurity strategy best practices for specific capabilities.</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 risks from cybersecurity threats have materially affected, nor has LP identified any specific risks from known cybersecurity threats that are reasonably likely to materially affect, LP, including our business strategy, results of operations or financial condition. Please see “Risk Factors – Business and Operational Risk Factors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Cybersecurity risks related to the technology used in our operations and other business processes, as well as security breaches of Company, customer, consumer,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employee, or vendor information, could adversely affect our business</w:t>
      </w:r>
      <w:r>
        <w:rPr>
          <w:rFonts w:ascii="Times New Roman" w:cs="Times New Roman" w:eastAsia="Times New Roman" w:hAnsi="Times New Roman"/>
          <w:sz w:val="17"/>
          <w:szCs w:val="17"/>
          <w:color w:val="auto"/>
        </w:rPr>
        <w:t>” in Item 1A of this annual report on Form 10-K for additional discussion of cybersecurity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risks applicable to LP.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 Responsibilities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cybersecurity program is managed by our Information Security Officer (ISO). Our ISO has over eight years of cybersecurity experience working in publicly traded companies, with expertise leading risk remediation efforts in vulnerability management, network security, security awareness, threat monitoring, data security and cloud security.</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 more effectively share information and gain consensus regarding cybersecurity initiatives and prevention policies, the Company has in place an Enterprise Risk Management Committee consisting of various members of LP senior leadership including the Chief Legal Counsel and Chief Financial Officer. The Enterprise Risk Management Committee is chaired by our Chief Tax Officer. The ISO, along with the cybersecurity team, is responsible for leading an enterprise-wide information security strategy, including policy, standards, architecture, processes, and security technology. The Enterprise Risk Management Committee (i) meets quarterly and as-needed to review and discuss the Company’s risks, including cybersecurity threats, incident responses, technology, the status of projects to strengthen the Company’s information security systems, assessments of the Company’s cybersecurity program and the emerging threat landscape and (ii) reports risks related to any material cybersecurity incidents, as needed, to the Board of Directors and the Finance and Audit Committee (FAC)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Responsibilities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Oversight of risks from cybersecurity threats is shared by the Board of Directors and the FAC. The FAC oversees our cybersecurity program. The ISO provides the FAC with an annual presentation on our cybersecurity program, emerging threats, and the state of LP’s cybersecurity maturity. In addition, the ISO provides updates to the FAC no less often than annually with respect to additional information regarding the cybersecurity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lease office space from third parties for our corporate headquarters in Nashville, Tennessee and our South American headquarters in Santiago, Chile. Information regarding our principal manufacturing facilities, all of which we own, and their production capacities is set forth in the following table. Information regarding operating production capacities is based on annual typical operating rates and normal production mixes under current market conditions, considering known constraints such as log supply. Market conditions, fluctuations in log supply, environmental restrictions, and the nature of current orders may cause actual production rates and mixes to vary significantly from the production rates and mixes shown.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OSB</w:t>
            </w:r>
          </w:p>
        </w:tc>
        <w:tc>
          <w:tcPr>
            <w:tcW w:w="720" w:type="dxa"/>
            <w:vAlign w:val="bottom"/>
          </w:tcPr>
          <w:p>
            <w:pPr>
              <w:spacing w:after="0"/>
              <w:rPr>
                <w:sz w:val="17"/>
                <w:szCs w:val="17"/>
                <w:color w:val="auto"/>
              </w:rPr>
            </w:pP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15"/>
                <w:szCs w:val="15"/>
                <w:b w:val="1"/>
                <w:bCs w:val="1"/>
                <w:color w:val="auto"/>
              </w:rPr>
              <w:t>Siding</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OSB production facilities - 3/8” basis, million square feet</w:t>
            </w:r>
          </w:p>
        </w:tc>
        <w:tc>
          <w:tcPr>
            <w:tcW w:w="720" w:type="dxa"/>
            <w:vAlign w:val="bottom"/>
          </w:tcPr>
          <w:p>
            <w:pPr>
              <w:spacing w:after="0"/>
              <w:rPr>
                <w:sz w:val="15"/>
                <w:szCs w:val="15"/>
                <w:color w:val="auto"/>
              </w:rPr>
            </w:pP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Siding production facilities - 3/8” basis, million square feet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6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Carthage, TX</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500</w:t>
            </w:r>
          </w:p>
        </w:tc>
        <w:tc>
          <w:tcPr>
            <w:tcW w:w="4760" w:type="dxa"/>
            <w:vAlign w:val="bottom"/>
            <w:gridSpan w:val="6"/>
            <w:shd w:val="clear" w:color="auto" w:fill="CCEEFF"/>
          </w:tcPr>
          <w:p>
            <w:pPr>
              <w:ind w:left="100"/>
              <w:spacing w:after="0" w:line="207" w:lineRule="exact"/>
              <w:rPr>
                <w:sz w:val="20"/>
                <w:szCs w:val="20"/>
                <w:color w:val="auto"/>
              </w:rPr>
            </w:pPr>
            <w:r>
              <w:rPr>
                <w:rFonts w:ascii="Times New Roman" w:cs="Times New Roman" w:eastAsia="Times New Roman" w:hAnsi="Times New Roman"/>
                <w:sz w:val="15"/>
                <w:szCs w:val="15"/>
                <w:color w:val="auto"/>
              </w:rPr>
              <w:t>Dawson Creek, British Columbia, Canada</w:t>
            </w:r>
            <w:r>
              <w:rPr>
                <w:rFonts w:ascii="Times New Roman" w:cs="Times New Roman" w:eastAsia="Times New Roman" w:hAnsi="Times New Roman"/>
                <w:sz w:val="20"/>
                <w:szCs w:val="20"/>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206"/>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Clarke County, AL</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725</w:t>
            </w:r>
          </w:p>
        </w:tc>
        <w:tc>
          <w:tcPr>
            <w:tcW w:w="4760" w:type="dxa"/>
            <w:vAlign w:val="bottom"/>
            <w:gridSpan w:val="6"/>
          </w:tcPr>
          <w:p>
            <w:pPr>
              <w:ind w:left="100"/>
              <w:spacing w:after="0" w:line="207" w:lineRule="exact"/>
              <w:rPr>
                <w:sz w:val="20"/>
                <w:szCs w:val="20"/>
                <w:color w:val="auto"/>
              </w:rPr>
            </w:pPr>
            <w:r>
              <w:rPr>
                <w:rFonts w:ascii="Times New Roman" w:cs="Times New Roman" w:eastAsia="Times New Roman" w:hAnsi="Times New Roman"/>
                <w:sz w:val="15"/>
                <w:szCs w:val="15"/>
                <w:color w:val="auto"/>
              </w:rPr>
              <w:t>Hayward, WI</w:t>
            </w:r>
            <w:r>
              <w:rPr>
                <w:rFonts w:ascii="Times New Roman" w:cs="Times New Roman" w:eastAsia="Times New Roman" w:hAnsi="Times New Roman"/>
                <w:sz w:val="20"/>
                <w:szCs w:val="20"/>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0" w:type="dxa"/>
            <w:vAlign w:val="bottom"/>
          </w:tcPr>
          <w:p>
            <w:pPr>
              <w:spacing w:after="0"/>
              <w:rPr>
                <w:sz w:val="1"/>
                <w:szCs w:val="1"/>
                <w:color w:val="auto"/>
              </w:rPr>
            </w:pPr>
          </w:p>
        </w:tc>
      </w:tr>
      <w:tr>
        <w:trPr>
          <w:trHeight w:val="206"/>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Hanceville, AL</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420</w:t>
            </w:r>
          </w:p>
        </w:tc>
        <w:tc>
          <w:tcPr>
            <w:tcW w:w="4760" w:type="dxa"/>
            <w:vAlign w:val="bottom"/>
            <w:gridSpan w:val="6"/>
            <w:shd w:val="clear" w:color="auto" w:fill="CCEEFF"/>
          </w:tcPr>
          <w:p>
            <w:pPr>
              <w:ind w:left="100"/>
              <w:spacing w:after="0" w:line="207" w:lineRule="exact"/>
              <w:rPr>
                <w:sz w:val="20"/>
                <w:szCs w:val="20"/>
                <w:color w:val="auto"/>
              </w:rPr>
            </w:pPr>
            <w:r>
              <w:rPr>
                <w:rFonts w:ascii="Times New Roman" w:cs="Times New Roman" w:eastAsia="Times New Roman" w:hAnsi="Times New Roman"/>
                <w:sz w:val="15"/>
                <w:szCs w:val="15"/>
                <w:color w:val="auto"/>
              </w:rPr>
              <w:t>Houlton, ME</w:t>
            </w:r>
            <w:r>
              <w:rPr>
                <w:rFonts w:ascii="Times New Roman" w:cs="Times New Roman" w:eastAsia="Times New Roman" w:hAnsi="Times New Roman"/>
                <w:sz w:val="20"/>
                <w:szCs w:val="20"/>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3"/>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Jasper, TX</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475</w:t>
            </w: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Newberry, MI</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09"/>
        </w:trPr>
        <w:tc>
          <w:tcPr>
            <w:tcW w:w="5040" w:type="dxa"/>
            <w:vAlign w:val="bottom"/>
            <w:gridSpan w:val="4"/>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Maniwaki, Quebec, Canada</w:t>
            </w:r>
            <w:r>
              <w:rPr>
                <w:rFonts w:ascii="Times New Roman" w:cs="Times New Roman" w:eastAsia="Times New Roman" w:hAnsi="Times New Roman"/>
                <w:sz w:val="20"/>
                <w:szCs w:val="20"/>
                <w:color w:val="auto"/>
                <w:vertAlign w:val="superscript"/>
              </w:rPr>
              <w:t>2</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650</w:t>
            </w:r>
          </w:p>
        </w:tc>
        <w:tc>
          <w:tcPr>
            <w:tcW w:w="4760" w:type="dxa"/>
            <w:vAlign w:val="bottom"/>
            <w:gridSpan w:val="6"/>
            <w:shd w:val="clear" w:color="auto" w:fill="CCEEFF"/>
          </w:tcPr>
          <w:p>
            <w:pPr>
              <w:ind w:left="100"/>
              <w:spacing w:after="0" w:line="209" w:lineRule="exact"/>
              <w:rPr>
                <w:sz w:val="20"/>
                <w:szCs w:val="20"/>
                <w:color w:val="auto"/>
              </w:rPr>
            </w:pPr>
            <w:r>
              <w:rPr>
                <w:rFonts w:ascii="Times New Roman" w:cs="Times New Roman" w:eastAsia="Times New Roman" w:hAnsi="Times New Roman"/>
                <w:sz w:val="15"/>
                <w:szCs w:val="15"/>
                <w:color w:val="auto"/>
              </w:rPr>
              <w:t>Sagola, MI</w:t>
            </w:r>
            <w:r>
              <w:rPr>
                <w:rFonts w:ascii="Times New Roman" w:cs="Times New Roman" w:eastAsia="Times New Roman" w:hAnsi="Times New Roman"/>
                <w:sz w:val="20"/>
                <w:szCs w:val="20"/>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206"/>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Peace Valley, British Columbia, Canada</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800</w:t>
            </w:r>
          </w:p>
        </w:tc>
        <w:tc>
          <w:tcPr>
            <w:tcW w:w="4760" w:type="dxa"/>
            <w:vAlign w:val="bottom"/>
            <w:gridSpan w:val="6"/>
          </w:tcPr>
          <w:p>
            <w:pPr>
              <w:ind w:left="100"/>
              <w:spacing w:after="0" w:line="207" w:lineRule="exact"/>
              <w:rPr>
                <w:sz w:val="20"/>
                <w:szCs w:val="20"/>
                <w:color w:val="auto"/>
              </w:rPr>
            </w:pPr>
            <w:r>
              <w:rPr>
                <w:rFonts w:ascii="Times New Roman" w:cs="Times New Roman" w:eastAsia="Times New Roman" w:hAnsi="Times New Roman"/>
                <w:sz w:val="15"/>
                <w:szCs w:val="15"/>
                <w:color w:val="auto"/>
              </w:rPr>
              <w:t>Swan Valley, Manitoba, Canada</w:t>
            </w:r>
            <w:r>
              <w:rPr>
                <w:rFonts w:ascii="Times New Roman" w:cs="Times New Roman" w:eastAsia="Times New Roman" w:hAnsi="Times New Roman"/>
                <w:sz w:val="20"/>
                <w:szCs w:val="20"/>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rPr>
                <w:sz w:val="1"/>
                <w:szCs w:val="1"/>
                <w:color w:val="auto"/>
              </w:rPr>
            </w:pPr>
          </w:p>
        </w:tc>
      </w:tr>
      <w:tr>
        <w:trPr>
          <w:trHeight w:val="206"/>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Roxboro, NC</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525</w:t>
            </w:r>
          </w:p>
        </w:tc>
        <w:tc>
          <w:tcPr>
            <w:tcW w:w="47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Tomahawk, WI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7 facilities</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4,095</w:t>
            </w: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Two Harbors, MN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9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ind w:left="340"/>
              <w:spacing w:after="0" w:line="165" w:lineRule="exact"/>
              <w:rPr>
                <w:sz w:val="20"/>
                <w:szCs w:val="20"/>
                <w:color w:val="auto"/>
              </w:rPr>
            </w:pPr>
            <w:r>
              <w:rPr>
                <w:rFonts w:ascii="Times New Roman" w:cs="Times New Roman" w:eastAsia="Times New Roman" w:hAnsi="Times New Roman"/>
                <w:sz w:val="15"/>
                <w:szCs w:val="15"/>
                <w:color w:val="auto"/>
              </w:rPr>
              <w:t>8 facilities</w:t>
            </w:r>
          </w:p>
        </w:tc>
        <w:tc>
          <w:tcPr>
            <w:tcW w:w="720" w:type="dxa"/>
            <w:vAlign w:val="bottom"/>
            <w:tcBorders>
              <w:top w:val="single" w:sz="8" w:color="CCEEFF"/>
              <w:bottom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2,320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4"/>
            <w:vMerge w:val="restart"/>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South America</w:t>
            </w:r>
          </w:p>
        </w:tc>
        <w:tc>
          <w:tcPr>
            <w:tcW w:w="7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gridSpan w:val="6"/>
            <w:vMerge w:val="restart"/>
          </w:tcPr>
          <w:p>
            <w:pPr>
              <w:ind w:left="100"/>
              <w:spacing w:after="0" w:line="148" w:lineRule="exact"/>
              <w:rPr>
                <w:sz w:val="20"/>
                <w:szCs w:val="20"/>
                <w:color w:val="auto"/>
              </w:rPr>
            </w:pPr>
            <w:r>
              <w:rPr>
                <w:rFonts w:ascii="Times New Roman" w:cs="Times New Roman" w:eastAsia="Times New Roman" w:hAnsi="Times New Roman"/>
                <w:sz w:val="15"/>
                <w:szCs w:val="15"/>
                <w:color w:val="auto"/>
              </w:rPr>
              <w:t>Siding finishing facilities - 3/8” basis, million square feet</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04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4760" w:type="dxa"/>
            <w:vAlign w:val="bottom"/>
            <w:gridSpan w:val="6"/>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02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OSB/Siding production facilities - 3/8” basis, million square feet</w:t>
            </w:r>
          </w:p>
        </w:tc>
        <w:tc>
          <w:tcPr>
            <w:tcW w:w="720" w:type="dxa"/>
            <w:vAlign w:val="bottom"/>
            <w:shd w:val="clear" w:color="auto" w:fill="CCEEFF"/>
          </w:tcPr>
          <w:p>
            <w:pPr>
              <w:spacing w:after="0"/>
              <w:rPr>
                <w:sz w:val="16"/>
                <w:szCs w:val="16"/>
                <w:color w:val="auto"/>
              </w:rPr>
            </w:pPr>
          </w:p>
        </w:tc>
        <w:tc>
          <w:tcPr>
            <w:tcW w:w="4760" w:type="dxa"/>
            <w:vAlign w:val="bottom"/>
            <w:gridSpan w:val="6"/>
            <w:shd w:val="clear" w:color="auto" w:fill="CCEEFF"/>
          </w:tcPr>
          <w:p>
            <w:pPr>
              <w:ind w:left="100"/>
              <w:spacing w:after="0" w:line="168" w:lineRule="exact"/>
              <w:rPr>
                <w:sz w:val="20"/>
                <w:szCs w:val="20"/>
                <w:color w:val="auto"/>
              </w:rPr>
            </w:pPr>
            <w:r>
              <w:rPr>
                <w:rFonts w:ascii="Times New Roman" w:cs="Times New Roman" w:eastAsia="Times New Roman" w:hAnsi="Times New Roman"/>
                <w:sz w:val="15"/>
                <w:szCs w:val="15"/>
                <w:color w:val="auto"/>
              </w:rPr>
              <w:t>Bath, NY</w:t>
            </w:r>
          </w:p>
        </w:tc>
        <w:tc>
          <w:tcPr>
            <w:tcW w:w="7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4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Lautaro, Chile</w:t>
            </w:r>
          </w:p>
        </w:tc>
        <w:tc>
          <w:tcPr>
            <w:tcW w:w="10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160</w:t>
            </w:r>
          </w:p>
        </w:tc>
        <w:tc>
          <w:tcPr>
            <w:tcW w:w="4760" w:type="dxa"/>
            <w:vAlign w:val="bottom"/>
            <w:tcBorders>
              <w:top w:val="single" w:sz="8" w:color="CCEEFF"/>
            </w:tcBorders>
            <w:gridSpan w:val="6"/>
          </w:tcPr>
          <w:p>
            <w:pPr>
              <w:ind w:left="100"/>
              <w:spacing w:after="0"/>
              <w:rPr>
                <w:sz w:val="20"/>
                <w:szCs w:val="20"/>
                <w:color w:val="auto"/>
              </w:rPr>
            </w:pPr>
            <w:r>
              <w:rPr>
                <w:rFonts w:ascii="Times New Roman" w:cs="Times New Roman" w:eastAsia="Times New Roman" w:hAnsi="Times New Roman"/>
                <w:sz w:val="15"/>
                <w:szCs w:val="15"/>
                <w:color w:val="auto"/>
              </w:rPr>
              <w:t>Green Bay, WI</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09"/>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Panguipulli, Chile</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300</w:t>
            </w:r>
          </w:p>
        </w:tc>
        <w:tc>
          <w:tcPr>
            <w:tcW w:w="47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Roaring River, NC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96"/>
        </w:trPr>
        <w:tc>
          <w:tcPr>
            <w:tcW w:w="50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Ponta Grossa, Brazil</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3 facilities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9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ind w:left="340"/>
              <w:spacing w:after="0" w:line="165" w:lineRule="exact"/>
              <w:rPr>
                <w:sz w:val="20"/>
                <w:szCs w:val="20"/>
                <w:color w:val="auto"/>
              </w:rPr>
            </w:pPr>
            <w:r>
              <w:rPr>
                <w:rFonts w:ascii="Times New Roman" w:cs="Times New Roman" w:eastAsia="Times New Roman" w:hAnsi="Times New Roman"/>
                <w:sz w:val="15"/>
                <w:szCs w:val="15"/>
                <w:color w:val="auto"/>
              </w:rPr>
              <w:t>3 facilities</w:t>
            </w:r>
          </w:p>
        </w:tc>
        <w:tc>
          <w:tcPr>
            <w:tcW w:w="720" w:type="dxa"/>
            <w:vAlign w:val="bottom"/>
            <w:tcBorders>
              <w:top w:val="single" w:sz="8" w:color="CCEEFF"/>
              <w:bottom w:val="single" w:sz="8" w:color="auto"/>
            </w:tcBorders>
            <w:shd w:val="clear" w:color="auto" w:fill="CCEEFF"/>
          </w:tcPr>
          <w:p>
            <w:pPr>
              <w:jc w:val="right"/>
              <w:ind w:right="3"/>
              <w:spacing w:after="0" w:line="165" w:lineRule="exact"/>
              <w:rPr>
                <w:sz w:val="20"/>
                <w:szCs w:val="20"/>
                <w:color w:val="auto"/>
              </w:rPr>
            </w:pPr>
            <w:r>
              <w:rPr>
                <w:rFonts w:ascii="Times New Roman" w:cs="Times New Roman" w:eastAsia="Times New Roman" w:hAnsi="Times New Roman"/>
                <w:sz w:val="15"/>
                <w:szCs w:val="15"/>
                <w:color w:val="auto"/>
              </w:rPr>
              <w:t>790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firstLine="3"/>
        <w:spacing w:after="0" w:line="217" w:lineRule="auto"/>
        <w:tabs>
          <w:tab w:leader="none" w:pos="79"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Dawson Creek, British Columbia, Canada; Hayward, WI; Houlton, ME; Sagola, MI; and Swan Valley, Manitoba, Canada plants are used in the operations of our Siding segment but can also produce commodity OSB when market conditions warrant.</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3"/>
          <w:szCs w:val="13"/>
          <w:color w:val="auto"/>
        </w:rPr>
        <w:t>We own a logging operation in Maniwaki, Ontario, Canada, which supports our OSB operations at that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involved in a number of environmental proceedings and activities and may be wholly or partially responsible for known or unknown contamination existing at a number of sites at which we have conducted operations or disposed of waste. Based on the information currently available, management does not believe that any fines, penalties, or other costs or losses resulting from these matters could reasonably be expected to have a material adverse effect on our financial position, results of operations, cash flows, or liquidity.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PROCEEDINGS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CONTINGENCY RESERVES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maintain reserves for the estimated cost of the legal and environmental matters referred to above. However, as with any estimate, the uncertainty of predicting the outcomes of claims, litigation and environmental investigations and remediation efforts could cause actual costs to vary materially from current estimates. Due to various uncertainties, we cannot predict to what actual degree payments will exceed the recorded liabilities related to these matters. However, it is possible that, in either the near term or the longer term, revised estimates or actual payments will significantly exceed the recorded liabilities.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information regarding our financial statement reserves for the estimated costs of the environmental and legal matters referred to above, see “Note 12 - Commitments and Contingencies” of the Notes to the Consolidated Financial Statements included in Item 8 in this annual report on Form 10-K.</w:t>
      </w:r>
    </w:p>
    <w:p>
      <w:pPr>
        <w:spacing w:after="0" w:line="1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common stock of LP is listed on the New York Stock Exchange with the ticker symbol “LPX.” As of February 13, 2026, there were approximately 3,085 stockholders of record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paid quarterly cash dividends of $0.28 per share for each quarter of 2025. We paid quarterly cash dividends of $0.26 per share for each quarter of 2024. On February 13, 2026, we declared a quarterly dividend of $0.30 per share, payable on March 13, 2026, to stockholders of record as of the close of business on February 27, 2026. We will continue to review our ability to pay cash dividends on an ongoing basis, and the payment of dividends in the future is subject to the discretion of LP’s Board of Directors and is dependent upon, among other factors, our financial condition, general market and business conditions, and legal and contractual restrictions on the payment of dividends, including compliance with the terms of our Amended Credit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December 31, 2025. As of December 31, 2025, LP had $177 million of repurchase authorization remaining under the 2024 Share Repurchase Program. LP may initiate, discontinue, or resume purchases of its common stock under the 2024 Share Repurchase Program in the open market, in block transactions, or in privately negotiated transactions, including under Rule 10b5-1 plans, at times and in such amounts as management deems appropriate without prior notice, subject to market and business conditions, regulatory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1" w:name="page32"/>
    <w:bookmarkEnd w:id="31"/>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including dividends paid (assuming reinvestment of dividends) and appreciation or depreciation in stock price, from a $100 investment in LP common stock for the period from December 31, 2020 through December 31, 2025, to the cumulative total stockholder return from a $100 investment in the Standard &amp; Poor’s 500 Stock Index and Standard &amp; Poor’s Building Products Index for the same period. Stockholders are cautioned that the graph shows the returns to investors as of the dates noted and may not be representative of the returns for any other past 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55880</wp:posOffset>
            </wp:positionV>
            <wp:extent cx="4592320" cy="2816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92320" cy="281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7"/>
          <w:szCs w:val="17"/>
          <w:b w:val="1"/>
          <w:bCs w:val="1"/>
          <w:color w:val="auto"/>
        </w:rPr>
        <w:t>The graph is not deemed to be “soliciting material” and is “furnished” and shall not be deemed to be “filed” with the SEC or incorporated by reference in any filing under Exchange Act or the Securities Act, except as shall be expressly set forth by specific reference in any such filing.</w:t>
      </w:r>
    </w:p>
    <w:p>
      <w:pPr>
        <w:spacing w:after="0" w:line="1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3"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in our annual report on Form 10-K for our fiscal year ended December 31, 2024, filed with the SEC on February 19, 2025, which provides a discussion of our financial condition and results of operations for fiscal year 2024 compared to fiscal year 2023. The changes to our reportable segments in the current year did not have a material impact on our previously reported consolidated results of operations or financial position. Prior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period segment information has been recast to conform to the current period presentation.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“Cautionary Statement Regarding Forward-Looking Statements” and “Risk Factors” above. Our historical results are not necessarily indicative of the results that may be expected for any period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To serve these markets, we operate in two reportable segments: Siding and OSB.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2025, net sales dropped year over year by $233 million to $2.7 billion. Siding revenue increased by $131 million, or 8%, to $1.7 billion, attributable to 4% higher sales volumes and a 4% increase in prices. OSB revenue fell by $352 million to $832 million, primarily due to lower prices and sales volumes.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Net income declined year over year by $275 million to $146 million ($2.08 per diluted share). The primary drivers behind this decrease were a $252 million reduction in Adjusted EBITDA, and increases of $38 million in impairment charges, $24 million in foreign currency losses, $19 million in depreciation expense, and $10 million in stock-based compensation. Additionally, the absence of $14 million in business exit credits recognized in 2024 and a $7 million decrease in investment income contributed to the overall decline. These impacts were partially offset by a $90 million reduction in the tax provision. The year-over-year decrease in Adjusted EBITDA was driven by several factors, including a $292 million adverse effect from lower OSB prices and reduced sales volumes, partially offset by $91 million from higher Siding sales volumes and improved sales mix. In addition to price and volume impacts, the change in Adjusted EBITDA included increases of $11 million in marketing investments, $9 million in selling, general, and administrative expenses, $7 million of mill overhead and inventory absorption, and $8 million in tariff costs. The remaining decrease in Adjusted EBITDA relates to a decline of $15 million in Other Adjusted EBITDA, which primarily includes LPSA, corporate, and other minor products and services. Adjusted EBITDA is a non-GAAP Financial measure. Please see "Non-GAAP Financial Measures" below for more information about our use of non-GAAP financial measures in this annual report on Form 10-K and the reconciliation of Adjusted EBITDA to net income.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Demand for Building Products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Demand for our products correlates positively with new home construction and repair and remodeling activity in North America, which historically have been characterized by significant cyclicality. The U.S. Census Bureau published actual U.S. housing starts data on January 9, 2026. The U.S. Census Bureau reported on January 9, 2026, that 2025 actual single-family housing starts were 6% lower than those in 2024. Actual multi-family housing starts in 2025 were about 18% higher than those in 2024. Repair and remodeling activity is difficult to reasonably measure, but many indications suggest that repair and remodeling activity has declined modestly year-over-year.</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chart below, which is based on data published by U.S. Census Bureau, provides a graphical summary of new housing starts for single- and multi-family in the U.S., showing actual and rolling five- and ten-year averages for housing starts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41275</wp:posOffset>
            </wp:positionV>
            <wp:extent cx="4592320" cy="237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9232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November and December 2025 housing starts have not yet been published by the U.S. Census Bureau, and therefore, for the purpose of the chart above, we have used October 2025 housing starts previously published by the U.S. Census Bureau as the November and December 2025 actual housing starts.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and Demand for Siding</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Siding products are specialty building materials and are subject to competition from various siding technologies, including vinyl, stucco, wood, fiber cement, brick, and others. We believe we are the largest manufacturer of engineered wood siding in North America and South America. The global siding market is estimated to be approximately $120 billion of annual expenditure. We have consistently grown our Siding business above the underlying market growth rates. Our Siding business is generally less sensitive to new housing market cyclicality since a majority of its demand comes from other markets, including off-site structure producers and repair and remodel. Our growth in this market depends upon the continued displacement of vinyl, stucco, wood, fiber cement, brick, and other alternatives, our product innovation and our technological expertise in wood and wood composites to address the needs of our customers.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and Demand for OSB</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increase or decrease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ESTIMATES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are based upon our Consolidated Financial Statements, which have been prepared in accordance with U.S. GAAP. The preparation of these financial statements requires management to make informed estimates and judgments that affect the reported amounts of assets, liabilities, revenues and expenses, and related disclosure of contingent assets and liabilities. Our financial position and/or results of operations may be materially different when reported under different conditions or when using different assumptions in the application of such policies. In the event estimates or assumptions prove to be different from actual amounts, adjustments are made in subsequent periods to reflect more current information. Our significant accounting policies are disclosed in “Note 1 - Summary of Significant Accounting Policies” of the Notes to the Consolidated Financial Statements and included in Item 8 of this annual report on Form 10-K. The following discussion addresses our most critical accounting policies, which are those that are both important to the portrayal of our financial condition and results of operations and that require significant judgment or use of complex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Property, plant and equipment, and long-lived assets (including amortizable identifiable intangible assets) are tested for recoverability whenever events or changes in circumstances indicate that their carrying amount may not be recoverable, including but not limited to facility curtailments and asset abandonments. When such events occur, we group long-lived assets with other assets and liabilities at the lowest level for which identifiable cash flows exist.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The significant assumptions used to determine estimated cash flows are the cash inflows and outflows directly resulting from the use of those assets in operations, including sales volume, product pricing, support costs, and other costs to operate. We recognize an impairment loss if the amount of the asset’s carrying value exceeds the asset’s estimated fair value. Fair value is estimated primarily using discounted expected future cash flows on a market-participant basis. If we recognize an impairment loss, the adjusted carrying amount of the asset becomes its new cost basis. For a depreciable long-lived asset, the new cost basis is depreciated (amortized) over the remaining estimated useful life of that asset.</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impairment loss calculations contain uncertainties because they require management to make assumptions and to apply judgment to estimate future cash flows and asset fair values. We have not made any material changes in our impairment loss assessment methodology in the periods presented. We do not believe a material change in the estimates or assumptions that we use to calculate long-lived asset impairments is likely. However, if actual results are not consistent with our estimates and assumptions used in estimating future cash flows and asset fair values, we may be exposed to losses that could be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 Including Customer Program Costs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Revenue is recognized when obligations under the terms of a contract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purchase orders) with our customers are satisfied; generally, this occurs with the transfer of control of our products to the customer at a point in time. Revenue is measured as the amount of consideration we expect to receive in exchange for transferring goods. The shipping cost incurred by us to deliver products to our customers is recorded in cost of sales.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believe we can reasonably estimate customer volumes and support and the related customer payments at interim periods, it is possible that actual results could be different from previously estimated amounts. At the end of each year, a significant portion of the actual volume and support activity is known. Thus, we do not currently believe that a material change in the amounts recorded as customer program costs payable is reasonably likely. We had $50 million and $48 million accrued as customer rebates as of December 31, 2025 and 2024, respectively.</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annual report on Form 10-K, we disclose net income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net income, excluding loss on impairment,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and net income attributed to noncontrolling interest, and adjusting for a normalized tax rate, as Adjusted Income (Adjusted Income), which is a non-GAAP financial measure. In addition, we disclose Adjusted Diluted EPS, calculated as Adjusted Income divided by diluted shares outstanding (Adjusted Diluted EPS), which is a non-GAAP financial measure.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and net income per share of common stock - diluted, respectively, are presented below.</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significant items and reconciles net income to Adjusted EBITDA (dollar amounts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6340" w:type="dxa"/>
            <w:vAlign w:val="bottom"/>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146</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420</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178</w:t>
            </w:r>
          </w:p>
        </w:tc>
      </w:tr>
      <w:tr>
        <w:trPr>
          <w:trHeight w:val="20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 (deduct):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impairment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operating credits and charges, net</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Product-line discontinuance charges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Business exit credits and charges</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Pension settlement charges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Investment income</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3"/>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non-operating expense (income)</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26"/>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10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0"/>
        </w:trPr>
        <w:tc>
          <w:tcPr>
            <w:tcW w:w="6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6"/>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Siding</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OSB</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100" w:type="dxa"/>
            <w:vAlign w:val="bottom"/>
            <w:tcBorders>
              <w:top w:val="single" w:sz="8" w:color="auto"/>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436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688</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478</w:t>
            </w:r>
          </w:p>
        </w:tc>
      </w:tr>
      <w:tr>
        <w:trPr>
          <w:trHeight w:val="20"/>
        </w:trPr>
        <w:tc>
          <w:tcPr>
            <w:tcW w:w="6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reconciliation of net income to Adjusted Income (dollar amounts in millions, except earnings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per share of common stock - diluted</w:t>
            </w: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w:t>
            </w:r>
          </w:p>
        </w:tc>
      </w:tr>
      <w:tr>
        <w:trPr>
          <w:trHeight w:val="142"/>
        </w:trPr>
        <w:tc>
          <w:tcPr>
            <w:tcW w:w="6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146</w:t>
            </w:r>
          </w:p>
        </w:tc>
        <w:tc>
          <w:tcPr>
            <w:tcW w:w="4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178</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 (deduct):</w:t>
            </w: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impairment</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operating credits and charges, net</w:t>
            </w:r>
          </w:p>
        </w:tc>
        <w:tc>
          <w:tcPr>
            <w:tcW w:w="1080" w:type="dxa"/>
            <w:vAlign w:val="bottom"/>
          </w:tcPr>
          <w:p>
            <w:pPr>
              <w:spacing w:after="0"/>
              <w:rPr>
                <w:sz w:val="17"/>
                <w:szCs w:val="17"/>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Product-line discontinuance charges</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Business exit credits and charges</w:t>
            </w:r>
          </w:p>
        </w:tc>
        <w:tc>
          <w:tcPr>
            <w:tcW w:w="1080" w:type="dxa"/>
            <w:vAlign w:val="bottom"/>
          </w:tcPr>
          <w:p>
            <w:pPr>
              <w:spacing w:after="0"/>
              <w:rPr>
                <w:sz w:val="17"/>
                <w:szCs w:val="17"/>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Pension settlement charges</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3"/>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Reported tax provision</w:t>
            </w: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202"/>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Adjusted income before tax</w:t>
            </w: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r>
      <w:tr>
        <w:trPr>
          <w:trHeight w:val="206"/>
        </w:trPr>
        <w:tc>
          <w:tcPr>
            <w:tcW w:w="6340" w:type="dxa"/>
            <w:vAlign w:val="bottom"/>
            <w:tcBorders>
              <w:bottom w:val="single" w:sz="8" w:color="CCEEFF"/>
            </w:tcBorders>
          </w:tcPr>
          <w:p>
            <w:pPr>
              <w:ind w:left="140"/>
              <w:spacing w:after="0" w:line="207" w:lineRule="exact"/>
              <w:rPr>
                <w:sz w:val="20"/>
                <w:szCs w:val="20"/>
                <w:color w:val="auto"/>
              </w:rPr>
            </w:pPr>
            <w:r>
              <w:rPr>
                <w:rFonts w:ascii="Times New Roman" w:cs="Times New Roman" w:eastAsia="Times New Roman" w:hAnsi="Times New Roman"/>
                <w:sz w:val="15"/>
                <w:szCs w:val="15"/>
                <w:color w:val="auto"/>
              </w:rPr>
              <w:t>Normalized tax provision at 25%</w:t>
            </w:r>
            <w:r>
              <w:rPr>
                <w:rFonts w:ascii="Times New Roman" w:cs="Times New Roman" w:eastAsia="Times New Roman" w:hAnsi="Times New Roman"/>
                <w:sz w:val="20"/>
                <w:szCs w:val="20"/>
                <w:color w:val="auto"/>
                <w:vertAlign w:val="superscript"/>
              </w:rPr>
              <w:t>1</w:t>
            </w: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99"/>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Adjusted Income</w:t>
            </w: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233</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Diluted shares outstanding</w:t>
            </w: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26"/>
        </w:trPr>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Adjusted Diluted EPS</w:t>
            </w: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We estimate a normalized effective tax rate of approximately 25%, reflecting the blended federal, state, and generally higher foreign tax rates applicable to our operations, though this rate may vary depending on our actual geographic mix of income and any unforeseen factors such as changes in tax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OPERATING RESULTS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conducts business through three operating segments: Siding, OSB, and LP South America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 See “Note 15 - Segment Information” of the Notes to the Consolidated Financial Statements included in Item 8 of this annual report on Form 10-K for further information regarding our reportable segments. The results of operations for each of our reporting segments are discussed below, as are results of operations for Other.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Siding</w:t>
      </w:r>
    </w:p>
    <w:p>
      <w:pPr>
        <w:spacing w:after="0" w:line="1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The Siding segment serves diverse end markets with a broad product portfolio of engineered wood siding, trim, soffit, and fascia. Our Siding is offered primed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LP BuilderSeries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Lap Siding,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Outdoor Building Solutions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pre-finished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ExpertFinish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to meet the needs of builders and installers in new construction and repair and remodeling applications.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net sales and Adjusted EBITDA for this segment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Increase</w:t>
            </w:r>
          </w:p>
        </w:tc>
      </w:tr>
      <w:tr>
        <w:trPr>
          <w:trHeight w:val="201"/>
        </w:trPr>
        <w:tc>
          <w:tcPr>
            <w:tcW w:w="6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2025 - 2024</w:t>
            </w:r>
          </w:p>
        </w:tc>
      </w:tr>
      <w:tr>
        <w:trPr>
          <w:trHeight w:val="20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1,558</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8 %</w:t>
            </w:r>
          </w:p>
        </w:tc>
      </w:tr>
      <w:tr>
        <w:trPr>
          <w:trHeight w:val="201"/>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in this segment by product line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Increase</w:t>
            </w:r>
          </w:p>
        </w:tc>
      </w:tr>
      <w:tr>
        <w:trPr>
          <w:trHeight w:val="201"/>
        </w:trPr>
        <w:tc>
          <w:tcPr>
            <w:tcW w:w="6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2025 - 2024</w:t>
            </w:r>
          </w:p>
        </w:tc>
      </w:tr>
      <w:tr>
        <w:trPr>
          <w:trHeight w:val="20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1,549</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8 %</w:t>
            </w:r>
          </w:p>
        </w:tc>
      </w:tr>
      <w:tr>
        <w:trPr>
          <w:trHeight w:val="20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8 %</w:t>
            </w:r>
          </w:p>
        </w:tc>
      </w:tr>
      <w:tr>
        <w:trPr>
          <w:trHeight w:val="224"/>
        </w:trPr>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1,558</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changes in average net sales price and unit shipments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308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5"/>
                <w:szCs w:val="15"/>
                <w:b w:val="1"/>
                <w:bCs w:val="1"/>
                <w:color w:val="auto"/>
              </w:rPr>
              <w:t>2025 versus 2024</w:t>
            </w:r>
          </w:p>
        </w:tc>
        <w:tc>
          <w:tcPr>
            <w:tcW w:w="380" w:type="dxa"/>
            <w:vAlign w:val="bottom"/>
            <w:tcBorders>
              <w:bottom w:val="single" w:sz="8" w:color="auto"/>
            </w:tcBorders>
          </w:tcPr>
          <w:p>
            <w:pPr>
              <w:spacing w:after="0"/>
              <w:rPr>
                <w:sz w:val="17"/>
                <w:szCs w:val="17"/>
                <w:color w:val="auto"/>
              </w:rPr>
            </w:pPr>
          </w:p>
        </w:tc>
      </w:tr>
      <w:tr>
        <w:trPr>
          <w:trHeight w:val="150"/>
        </w:trPr>
        <w:tc>
          <w:tcPr>
            <w:tcW w:w="7780" w:type="dxa"/>
            <w:vAlign w:val="bottom"/>
          </w:tcPr>
          <w:p>
            <w:pPr>
              <w:spacing w:after="0"/>
              <w:rPr>
                <w:sz w:val="13"/>
                <w:szCs w:val="13"/>
                <w:color w:val="auto"/>
              </w:rPr>
            </w:pPr>
          </w:p>
        </w:tc>
        <w:tc>
          <w:tcPr>
            <w:tcW w:w="1320" w:type="dxa"/>
            <w:vAlign w:val="bottom"/>
          </w:tcPr>
          <w:p>
            <w:pPr>
              <w:jc w:val="center"/>
              <w:ind w:left="263"/>
              <w:spacing w:after="0" w:line="151" w:lineRule="exact"/>
              <w:rPr>
                <w:sz w:val="20"/>
                <w:szCs w:val="20"/>
                <w:color w:val="auto"/>
              </w:rPr>
            </w:pPr>
            <w:r>
              <w:rPr>
                <w:rFonts w:ascii="Times New Roman" w:cs="Times New Roman" w:eastAsia="Times New Roman" w:hAnsi="Times New Roman"/>
                <w:sz w:val="15"/>
                <w:szCs w:val="15"/>
                <w:b w:val="1"/>
                <w:bCs w:val="1"/>
                <w:color w:val="auto"/>
              </w:rPr>
              <w:t>Average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323"/>
              <w:spacing w:after="0" w:line="151" w:lineRule="exact"/>
              <w:rPr>
                <w:sz w:val="20"/>
                <w:szCs w:val="20"/>
                <w:color w:val="auto"/>
              </w:rPr>
            </w:pPr>
            <w:r>
              <w:rPr>
                <w:rFonts w:ascii="Times New Roman" w:cs="Times New Roman" w:eastAsia="Times New Roman" w:hAnsi="Times New Roman"/>
                <w:sz w:val="15"/>
                <w:szCs w:val="15"/>
                <w:b w:val="1"/>
                <w:bCs w:val="1"/>
                <w:color w:val="auto"/>
              </w:rPr>
              <w:t>Unit</w:t>
            </w:r>
          </w:p>
        </w:tc>
        <w:tc>
          <w:tcPr>
            <w:tcW w:w="380" w:type="dxa"/>
            <w:vAlign w:val="bottom"/>
          </w:tcPr>
          <w:p>
            <w:pPr>
              <w:spacing w:after="0"/>
              <w:rPr>
                <w:sz w:val="13"/>
                <w:szCs w:val="13"/>
                <w:color w:val="auto"/>
              </w:rPr>
            </w:pPr>
          </w:p>
        </w:tc>
      </w:tr>
      <w:tr>
        <w:trPr>
          <w:trHeight w:val="205"/>
        </w:trPr>
        <w:tc>
          <w:tcPr>
            <w:tcW w:w="77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Selling Price</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5"/>
                <w:szCs w:val="15"/>
                <w:b w:val="1"/>
                <w:bCs w:val="1"/>
                <w:color w:val="auto"/>
              </w:rPr>
              <w:t>Shipments</w:t>
            </w:r>
          </w:p>
        </w:tc>
        <w:tc>
          <w:tcPr>
            <w:tcW w:w="380" w:type="dxa"/>
            <w:vAlign w:val="bottom"/>
            <w:tcBorders>
              <w:bottom w:val="single" w:sz="8" w:color="auto"/>
            </w:tcBorders>
          </w:tcPr>
          <w:p>
            <w:pPr>
              <w:spacing w:after="0"/>
              <w:rPr>
                <w:sz w:val="17"/>
                <w:szCs w:val="17"/>
                <w:color w:val="auto"/>
              </w:rPr>
            </w:pPr>
          </w:p>
        </w:tc>
      </w:tr>
      <w:tr>
        <w:trPr>
          <w:trHeight w:val="200"/>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Siding net sales increased for the year ended December 31, 2025 due to higher sales volumes and selling prices. Increases in the average sales price were primarily due to a combination of list price increases and favorable mix. ExpertFinish accounted for 10% of sales volume and 16% of net sales for the year ended December 31, 2025, contributing significantly to this favorable mix.</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2025, Adjusted EBITDA increased $54 million compared to prior-year. This growth was driven by higher sales volume and higher selling prices of $91 million, partially offset by strategic investments in sales and marketing of $11 million, a $9 million increase of selling, general, and administrative expenses, $7 million of mill overhead and inventory absorption, and $7 million of tariff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OSB</w:t>
      </w:r>
    </w:p>
    <w:p>
      <w:pPr>
        <w:spacing w:after="0" w:line="11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Structural Solutions (which includes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FlameBlock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Fire-Rated Sheathing, LP WeatherLogic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Air &amp; Water Barrier,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Radiant Barrier, LP Legacy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Premium Sub-Flooring,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TopNotch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350 Durable Sub-Flooring). Significant cost inputs to produce OSB (including approximate breakdown percentages for 2025) were as follows: wood fiber (26%), resin and wax (20%), labor and burden (20%), utilities (5%), and other manufacturing costs (29%).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net sales and Adjusted EBITDA for this segment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Decrease</w:t>
            </w:r>
          </w:p>
        </w:tc>
      </w:tr>
      <w:tr>
        <w:trPr>
          <w:trHeight w:val="201"/>
        </w:trPr>
        <w:tc>
          <w:tcPr>
            <w:tcW w:w="6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2025 - 2024</w:t>
            </w:r>
          </w:p>
        </w:tc>
      </w:tr>
      <w:tr>
        <w:trPr>
          <w:trHeight w:val="20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1,184</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1"/>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Adjusted EBITDA</w:t>
            </w:r>
          </w:p>
        </w:tc>
        <w:tc>
          <w:tcPr>
            <w:tcW w:w="1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in this segment by product line were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Decrease</w:t>
            </w:r>
          </w:p>
        </w:tc>
      </w:tr>
      <w:tr>
        <w:trPr>
          <w:trHeight w:val="201"/>
        </w:trPr>
        <w:tc>
          <w:tcPr>
            <w:tcW w:w="6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2025 - 2024</w:t>
            </w:r>
          </w:p>
        </w:tc>
      </w:tr>
      <w:tr>
        <w:trPr>
          <w:trHeight w:val="20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OSB - Structural Solutions</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3"/>
        </w:trPr>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OSB - Commodity</w:t>
            </w:r>
          </w:p>
        </w:tc>
        <w:tc>
          <w:tcPr>
            <w:tcW w:w="1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96"/>
        </w:trPr>
        <w:tc>
          <w:tcPr>
            <w:tcW w:w="62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1,184</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6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changes in average net sales prices and unit shipments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302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5"/>
                <w:szCs w:val="15"/>
                <w:b w:val="1"/>
                <w:bCs w:val="1"/>
                <w:color w:val="auto"/>
              </w:rPr>
              <w:t>2025 versus 2024</w:t>
            </w:r>
          </w:p>
        </w:tc>
        <w:tc>
          <w:tcPr>
            <w:tcW w:w="440" w:type="dxa"/>
            <w:vAlign w:val="bottom"/>
            <w:tcBorders>
              <w:bottom w:val="single" w:sz="8" w:color="auto"/>
            </w:tcBorders>
          </w:tcPr>
          <w:p>
            <w:pPr>
              <w:spacing w:after="0"/>
              <w:rPr>
                <w:sz w:val="17"/>
                <w:szCs w:val="17"/>
                <w:color w:val="auto"/>
              </w:rPr>
            </w:pPr>
          </w:p>
        </w:tc>
      </w:tr>
      <w:tr>
        <w:trPr>
          <w:trHeight w:val="150"/>
        </w:trPr>
        <w:tc>
          <w:tcPr>
            <w:tcW w:w="7780" w:type="dxa"/>
            <w:vAlign w:val="bottom"/>
          </w:tcPr>
          <w:p>
            <w:pPr>
              <w:spacing w:after="0"/>
              <w:rPr>
                <w:sz w:val="13"/>
                <w:szCs w:val="13"/>
                <w:color w:val="auto"/>
              </w:rPr>
            </w:pPr>
          </w:p>
        </w:tc>
        <w:tc>
          <w:tcPr>
            <w:tcW w:w="1260" w:type="dxa"/>
            <w:vAlign w:val="bottom"/>
          </w:tcPr>
          <w:p>
            <w:pPr>
              <w:jc w:val="center"/>
              <w:ind w:left="323"/>
              <w:spacing w:after="0" w:line="151" w:lineRule="exact"/>
              <w:rPr>
                <w:sz w:val="20"/>
                <w:szCs w:val="20"/>
                <w:color w:val="auto"/>
              </w:rPr>
            </w:pPr>
            <w:r>
              <w:rPr>
                <w:rFonts w:ascii="Times New Roman" w:cs="Times New Roman" w:eastAsia="Times New Roman" w:hAnsi="Times New Roman"/>
                <w:sz w:val="15"/>
                <w:szCs w:val="15"/>
                <w:b w:val="1"/>
                <w:bCs w:val="1"/>
                <w:color w:val="auto"/>
              </w:rPr>
              <w:t>Average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383"/>
              <w:spacing w:after="0" w:line="151" w:lineRule="exact"/>
              <w:rPr>
                <w:sz w:val="20"/>
                <w:szCs w:val="20"/>
                <w:color w:val="auto"/>
              </w:rPr>
            </w:pPr>
            <w:r>
              <w:rPr>
                <w:rFonts w:ascii="Times New Roman" w:cs="Times New Roman" w:eastAsia="Times New Roman" w:hAnsi="Times New Roman"/>
                <w:sz w:val="15"/>
                <w:szCs w:val="15"/>
                <w:b w:val="1"/>
                <w:bCs w:val="1"/>
                <w:color w:val="auto"/>
              </w:rPr>
              <w:t>Unit</w:t>
            </w:r>
          </w:p>
        </w:tc>
        <w:tc>
          <w:tcPr>
            <w:tcW w:w="440" w:type="dxa"/>
            <w:vAlign w:val="bottom"/>
          </w:tcPr>
          <w:p>
            <w:pPr>
              <w:spacing w:after="0"/>
              <w:rPr>
                <w:sz w:val="13"/>
                <w:szCs w:val="13"/>
                <w:color w:val="auto"/>
              </w:rPr>
            </w:pPr>
          </w:p>
        </w:tc>
      </w:tr>
      <w:tr>
        <w:trPr>
          <w:trHeight w:val="205"/>
        </w:trPr>
        <w:tc>
          <w:tcPr>
            <w:tcW w:w="77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5"/>
                <w:szCs w:val="15"/>
                <w:b w:val="1"/>
                <w:bCs w:val="1"/>
                <w:color w:val="auto"/>
              </w:rPr>
              <w:t>Selling Price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Shipments</w:t>
            </w:r>
          </w:p>
        </w:tc>
        <w:tc>
          <w:tcPr>
            <w:tcW w:w="440" w:type="dxa"/>
            <w:vAlign w:val="bottom"/>
            <w:tcBorders>
              <w:bottom w:val="single" w:sz="8" w:color="auto"/>
            </w:tcBorders>
          </w:tcPr>
          <w:p>
            <w:pPr>
              <w:spacing w:after="0"/>
              <w:rPr>
                <w:sz w:val="17"/>
                <w:szCs w:val="17"/>
                <w:color w:val="auto"/>
              </w:rPr>
            </w:pPr>
          </w:p>
        </w:tc>
      </w:tr>
      <w:tr>
        <w:trPr>
          <w:trHeight w:val="20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OSB - Structural Solutions</w:t>
            </w: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1"/>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OSB - Commodity</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bl>
    <w:p>
      <w:pPr>
        <w:spacing w:after="0" w:line="1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2025, net sales decreased by $352 million due to a $260 million decrease in OSB prices and an $84 million decrease in sales volumes.</w:t>
      </w:r>
    </w:p>
    <w:p>
      <w:pPr>
        <w:spacing w:after="0" w:line="48" w:lineRule="exact"/>
        <w:rPr>
          <w:sz w:val="20"/>
          <w:szCs w:val="20"/>
          <w:color w:val="auto"/>
        </w:rPr>
      </w:pPr>
    </w:p>
    <w:p>
      <w:pPr>
        <w:ind w:right="1040"/>
        <w:spacing w:after="0" w:line="379" w:lineRule="auto"/>
        <w:rPr>
          <w:sz w:val="20"/>
          <w:szCs w:val="20"/>
          <w:color w:val="auto"/>
        </w:rPr>
      </w:pPr>
      <w:r>
        <w:rPr>
          <w:rFonts w:ascii="Times New Roman" w:cs="Times New Roman" w:eastAsia="Times New Roman" w:hAnsi="Times New Roman"/>
          <w:sz w:val="17"/>
          <w:szCs w:val="17"/>
          <w:color w:val="auto"/>
        </w:rPr>
        <w:t xml:space="preserve">Adjusted EBITDA for the year ended December 31, 2025 decreased year-over-year by $291 million, due to lower average prices and sales volumes. </w:t>
      </w:r>
      <w:r>
        <w:rPr>
          <w:rFonts w:ascii="Times New Roman" w:cs="Times New Roman" w:eastAsia="Times New Roman" w:hAnsi="Times New Roman"/>
          <w:sz w:val="17"/>
          <w:szCs w:val="17"/>
          <w:b w:val="1"/>
          <w:bCs w:val="1"/>
          <w:color w:val="auto"/>
        </w:rPr>
        <w:t>Other</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other operations include our LPSA business that manufactures and distributes OSB structural panels and siding products in South America and certain export markets. Previously, all LPSA activity was presented as a separate reportable segment. Financial information related to LPSA is now included in Other. Additionally, Other includes unallocated corporate expenses, such as general administrative costs and stock-based compensation, along with other minor products, services, and closed operations that do not meet the criteria for discontinued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2025, net sales and Adjusted EBITDA decreased year over year by $12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CORPORATE AND OTHER EXPENSE, NET</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General corporate and other expenses are primarily comprised of corporate overhead unrelated to business activities such as wages and benefits, professional fees, insurance, and other expenses for corporate functions, including executive officers, public company activities, tax, internal audits, and other corporate functions. General corporate and other expense, net, was $51 million in 2025, as compared to $46 million in 2024. This increase was driven by an increase in stock compensation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ON IMPAIRMENTS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During 2025, we recorded $44 million of non-cash, pre-tax impairment charges. These charges included $24 million related to equipment that will not be utilized in future operations, $13 million related to the expiration and non-renewal of certain timber licenses, $4 million related to property, plant, and equipment associated with a facility closure, and $2 million primarily related to an operating lease asset associated with a previously closed facility. During 2024, we recorded $5 million of non-cash, pre-tax impairment charges related to property, plant, and equipment that will not be utilized in future operations. See further discussion in “Note 11 - Impairment of Long-Lived Assets” and “Note 1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Summary of Significant Accounting Policies” of the Notes to the Consolidated Financial Statements included in Item 8 of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OPERATING CREDITS AND CHARGES, NET</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a discussion of other operating credits and charges, net, see “Note 10 - Other Operating and Non-Operating Income (Expense)” of the Notes to the Consolidated Financial Statements included in Item 8 of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NON-OPERATING INCOME (EXPENSE)</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a discussion of non-operating income (expense), see “Note 10 - Other Operating and Non-Operating Income (Expense)” of the Notes to the Consolidated Financial Statements included in Item 8 of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recognized a tax provision of $50 million in 2025, as compared to $140 million in 2024. For 2025, the primary differences between the U.S. statutory rate of 21% and the effective rate was related to state and foreign income taxes, partially offset by changes in uncertain tax positions. For 2024, the primary difference between the U.S. statutory rate of 21% and the effective tax rate was related to state and foreign income taxes. See “Note 6 – Income Taxes” of the Notes to the Consolidated Financial Statements included in Item 8 of this annual report on Form 10-K for further discussion. We paid $42 million and $124 million of income taxes net of refunds in 2025 and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ENVIRONMENTAL MATTERS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a discussion of legal and environmental matters involving us and the potential impact thereof on our financial position, results of operations, and cash flows, see Item 3 in this annual report on Form 10-K as well as “Note 12 - Commitments and Contingencies” 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2025, we generated $382 million of cash from operations, as compared to $605 million in 2024. The decrease in cash provided by operations was primarily related to lower net income. At December 31, 2025 and 2024, we had working capital of $227 million and $216 million,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2025, net cash used for investing activities was $291 million, as compared to $183 million in 2024. Capital expenditures for the year ended December 31, 2025, and 2024, were $291 million and $183 million, respectively, primarily related to siding conversion expenditures and growth and maintenance capital.</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2024, we received $16 million in proceeds from our share of the sale of certain assets from an equity method investment. We also paid $17 million for an equity method investment in South America.</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Capital expenditures in 2026 are expected to be approximately $400 million. We expect to fund our short-term and long-term capital expenditures in 2026 through cash on hand, cash generated from operations, and available borrowing under our Amended Credit Facility, as necessary.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2025, cash used in financing activities was $141 million. We paid cash dividends of $78 million and $61 million to repurchase shares of LP common stock under the 2024 Share Repurchase Program during the year ended December 31, 2025. The remaining financing activities were primarily related to income tax withholding requirements associated with our employee stock-based compensation plans.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2024, cash used in financing activities was $292 million. We paid cash dividends of $74 million and $212 million to repurchase shares of LP common stock under the share repurchase programs authorized by LP's Board of Directors in 2022 and 2024, respectively, during the year ended December 31, 2024. The remaining financing activities were primarily related to income tax withholding requirements associated with our employee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FACILITIES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On March 26, 2025, LP entered into the First Amendment to Second Amended and Restated Credit Agreement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(the Amended Credit Facility) from $550 million to $750 million,</w:t>
      </w:r>
    </w:p>
    <w:p>
      <w:pPr>
        <w:spacing w:after="0" w:line="2" w:lineRule="exact"/>
        <w:rPr>
          <w:sz w:val="20"/>
          <w:szCs w:val="20"/>
          <w:color w:val="auto"/>
        </w:rPr>
      </w:pPr>
    </w:p>
    <w:p>
      <w:pPr>
        <w:jc w:val="both"/>
        <w:ind w:firstLine="3"/>
        <w:spacing w:after="0" w:line="266" w:lineRule="auto"/>
        <w:tabs>
          <w:tab w:leader="none" w:pos="2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sub-limit for letters of credit from $60 million to $75 million, (3) change the interest rate for revolving borrowing, (4) change the capitalization ratio limit, and (5) extend the maturity date to March 26, 2032. As of December 31, 2025, we had no outstanding borrowings pursuant to the Amended Credit Facility.</w:t>
      </w:r>
    </w:p>
    <w:p>
      <w:pPr>
        <w:spacing w:after="0" w:line="2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Amended Credit Agreement contains various restrictive covenants and customary events of default, the occurrence of which could result in the acceleration of our obligation to repay the indebtedness outstanding thereunder. The Amended Credit Agreement also contains certain financial covenants that, among other things, require us and our consolidated subsidiaries to have, as of the end of each fiscal quarter, a capitalization ratio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funded debt less unrestricted cash to total capitalization) of no more than 65%. As of December 31, 2025, we were in compliance with all financial covenants under the Amended Credit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 As of December 31, 2025, we were in compliance with all financial covenants under the Letter of Credit Facility.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LIQUIDITY MATTERS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2029 Senior Notes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March 2021, we issued the 3.625% Senior Notes due in 2029 in the aggregate principal amount of $350 million, which mature on March 15, 2029 (the 2029 Senior Notes). As of December 31, 2025, future interest payments associated with the 2029 Senior Notes totaled $41 million, with $13 million payable within 12 months of such date. For additional information regarding the 2029 Senior Notes, please see “Note 8 - Long-Term Debt” of the Notes to the Consolidated Financial Statements included in Item 8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Contingency Reserves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Contingency reserves, which represent an estimate of future cash needs for various contingencies (principally, environmental reserves), totaled $27 million at December 31, 2025, of which $1 million is estimated to be payable within one year of such date. There is inherent uncertainty concerning the reliability and precision of such estimates, and as such, the amounts ultimately paid in resolving these contingencies could exceed the current reserves by a material amount.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lease arrangements for real estate, mobile equipment at our manufacturing facilities, rail cars to transport our products, and a fleet of vehicles. As of December 31, 2025, we had fixed lease payment obligations of $32 million, with $10 million payable within 12 months of such date.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Purchase Obligations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other purchase obligations primarily consist of obligations related to information technology infrastructure. As of December 31, 2025, we had other purchase obligations of $39 million, with $22 million payable within 12 months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we had standby letters of credit of $14 million outstanding related to collateral for environmental impact on owned properties, a deposit for forestry license, and insurance collateral, including workers’ compensation.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Impairments</w:t>
      </w:r>
    </w:p>
    <w:p>
      <w:pPr>
        <w:spacing w:after="0" w:line="1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For a discussion of potential impairments, see “Note 11 - Impairment of Long-Lived Assets” and “Note 1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Summary of Significant Accounting Policies” of the Notes to the Consolidated Financial Statements included in Item 8 of this annual report on Form 10-K.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PROSPECTIVE ACCOUNTING PRONOUNCEMENTS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a discussion of prospective accounting pronouncements, see “Note 2 - Present and Prospective Accounting Pronouncements” of the Notes to the Consolidated Financial Statements included in Item 8 of this annual report on Form 10-K.</w:t>
      </w:r>
    </w:p>
    <w:p>
      <w:pPr>
        <w:spacing w:after="0" w:line="1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fluctuations in foreign currency exchange rates, commodity prices and interest rates which could impact our results of operations and financial condition.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4.1 billion square feet (3/8” basis) or 3.5 billion square feet (7/16” basis), a $1 change in the annual average price per thousand square feet on 7/16” basis would change annual pre-tax profits by approximately $4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historically have not entered into material commodity futures and swaps, although we may do so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could be exposed to market risk associated with changes in interest rates on our variable rate credit facility. As of December 31, 2025, there were no outstanding borrowings pursuant to the Amended Credit Facility. We do not currently have any derivative or hedging arrangements, or other known exposures, to changes in interest rates. Based on our current amounts outstanding, a 100-basis point increase or decrease in market interest rates over a 12-month period would not result in a change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Louisiana-Pacific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Louisiana-Pacific Corporation and subsidiaries (the “Company”) as of December 31, 2025 and 2024, the related consolidated statements of income, comprehensive income, cash flows, and stockholders’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17, 2026, expressed an unqualified opinion on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 Refer to Note 3 to the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revenue consists of product sales and is recognized when obligations under the terms of a contract (i.e., purchase order) with the Company’s customers are satisfied. Revenue is measured as the amount of consideration the Company expects to receive in exchange for transferring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Auditing revenue required a significant extent of effort and the involvement of professionals with expertise in information technology (“IT”) necessary for us to identify, test, and evaluate the Company’s system and automated controls.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Company’s revenue transactions included the following, among others:</w:t>
      </w:r>
    </w:p>
    <w:p>
      <w:pPr>
        <w:spacing w:after="0" w:line="217"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IT specialists, we:</w:t>
      </w:r>
    </w:p>
    <w:p>
      <w:pPr>
        <w:spacing w:after="0" w:line="49" w:lineRule="exact"/>
        <w:rPr>
          <w:rFonts w:ascii="Times New Roman" w:cs="Times New Roman" w:eastAsia="Times New Roman" w:hAnsi="Times New Roman"/>
          <w:sz w:val="17"/>
          <w:szCs w:val="17"/>
          <w:color w:val="auto"/>
        </w:rPr>
      </w:pPr>
    </w:p>
    <w:p>
      <w:pPr>
        <w:ind w:left="1240" w:hanging="309"/>
        <w:spacing w:after="0" w:line="269" w:lineRule="auto"/>
        <w:tabs>
          <w:tab w:leader="none" w:pos="123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Identified the significant system used to process revenue transactions and tested the general IT controls over the system, including testing of user access controls, change management controls, and IT operations controls.</w:t>
      </w:r>
    </w:p>
    <w:p>
      <w:pPr>
        <w:ind w:left="1240" w:hanging="309"/>
        <w:spacing w:after="0" w:line="276" w:lineRule="auto"/>
        <w:tabs>
          <w:tab w:leader="none" w:pos="123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Performed testing of automated controls within the relevant revenue streams, as well as the controls designated to ensure the accuracy and completeness of revenue.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operating effectiveness of internal controls within the relevant revenue business processes.</w:t>
      </w:r>
    </w:p>
    <w:p>
      <w:pPr>
        <w:spacing w:after="0" w:line="49" w:lineRule="exact"/>
        <w:rPr>
          <w:rFonts w:ascii="Times New Roman" w:cs="Times New Roman" w:eastAsia="Times New Roman" w:hAnsi="Times New Roman"/>
          <w:sz w:val="17"/>
          <w:szCs w:val="17"/>
          <w:color w:val="auto"/>
        </w:rPr>
      </w:pPr>
    </w:p>
    <w:p>
      <w:pPr>
        <w:ind w:left="620" w:hanging="307"/>
        <w:spacing w:after="0" w:line="26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data specialists, we created data visualizations to evaluate recorded revenue and evaluate trends in the transactional revenue data.</w:t>
      </w:r>
    </w:p>
    <w:p>
      <w:pPr>
        <w:spacing w:after="0" w:line="224"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sample of revenue transactions, we performed detail transaction testing by agreeing the amounts recognized to source documents and testing the mathematical accuracy of the recorded revenue.</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data specialists, we performed a reconciliation of all automated revenue transactions recorded in the system, and for a sample of revenue transactions within the population, traced the transaction from the testing performed to the respective journal entry data.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Deloitte &amp; Touche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Nashville, Tennessee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4320"/>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Amounts in millions, except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2,708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2,941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2,581</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Cost of sales</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(1,988)</w:t>
            </w: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Gross profit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impairments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operating credits and charges, net</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from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287</w:t>
            </w: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Investment income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non-operating (expense) income</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248</w:t>
            </w: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in unconsolidated affiliates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73"/>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0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420</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per share of common stock:</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2.47</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100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2.08</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5.89</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Average shares of common stock used to compute net income per share:</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Other comprehensive income (loss), net of tax</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Changes in defined benefit pension plans</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32"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7"/>
          <w:szCs w:val="17"/>
          <w:color w:val="auto"/>
        </w:rPr>
        <w:t>Amounts in millions</w:t>
      </w:r>
    </w:p>
    <w:p>
      <w:pPr>
        <w:spacing w:after="0" w:line="1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1" w:lineRule="exact"/>
        <w:rPr>
          <w:sz w:val="20"/>
          <w:szCs w:val="20"/>
          <w:color w:val="auto"/>
        </w:rPr>
      </w:pPr>
    </w:p>
    <w:tbl>
      <w:tblPr>
        <w:tblLayout w:type="fixed"/>
        <w:tblInd w:w="2620" w:type="dxa"/>
        <w:tblCellMar>
          <w:top w:w="0" w:type="dxa"/>
          <w:left w:w="0" w:type="dxa"/>
          <w:bottom w:w="0" w:type="dxa"/>
          <w:right w:w="0" w:type="dxa"/>
        </w:tblCellMar>
      </w:tblPr>
      <w:tr>
        <w:trPr>
          <w:trHeight w:val="204"/>
        </w:trPr>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7"/>
        </w:trPr>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146</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420</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178</w:t>
            </w:r>
          </w:p>
        </w:tc>
      </w:tr>
      <w:tr>
        <w:trPr>
          <w:trHeight w:val="409"/>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r>
      <w:tr>
        <w:trPr>
          <w:trHeight w:val="206"/>
        </w:trPr>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-527685</wp:posOffset>
            </wp:positionV>
            <wp:extent cx="7122160" cy="139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-257810</wp:posOffset>
            </wp:positionV>
            <wp:extent cx="7122160" cy="130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00" w:space="720"/>
            <w:col w:w="7500"/>
          </w:cols>
          <w:pgMar w:left="340" w:top="1357" w:right="339" w:bottom="1440" w:gutter="0" w:footer="0" w:header="0"/>
        </w:sectPr>
      </w:pPr>
    </w:p>
    <w:tbl>
      <w:tblPr>
        <w:tblLayout w:type="fixed"/>
        <w:tblInd w:w="0" w:type="dxa"/>
        <w:tblCellMar>
          <w:top w:w="0" w:type="dxa"/>
          <w:left w:w="0" w:type="dxa"/>
          <w:bottom w:w="0" w:type="dxa"/>
          <w:right w:w="0" w:type="dxa"/>
        </w:tblCellMar>
      </w:tblPr>
      <w:tr>
        <w:trPr>
          <w:trHeight w:val="205"/>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r>
      <w:tr>
        <w:trPr>
          <w:trHeight w:val="198"/>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6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170</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5"/>
                <w:szCs w:val="15"/>
                <w:b w:val="1"/>
                <w:bCs w:val="1"/>
                <w:color w:val="auto"/>
              </w:rPr>
              <w:t>388</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187</w:t>
            </w:r>
          </w:p>
        </w:tc>
      </w:tr>
      <w:tr>
        <w:trPr>
          <w:trHeight w:val="20"/>
        </w:trPr>
        <w:tc>
          <w:tcPr>
            <w:tcW w:w="6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57" w:right="339" w:bottom="1440" w:gutter="0" w:footer="0" w:header="0"/>
          <w:type w:val="continuous"/>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Amounts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01"/>
        </w:trPr>
        <w:tc>
          <w:tcPr>
            <w:tcW w:w="79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4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Receivables, net of allowance for doubtful accounts of $1 at December 31, 2025 and 2024</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98"/>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855</w:t>
            </w:r>
          </w:p>
        </w:tc>
      </w:tr>
      <w:tr>
        <w:trPr>
          <w:trHeight w:val="91"/>
        </w:trPr>
        <w:tc>
          <w:tcPr>
            <w:tcW w:w="7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1,579</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Timber and timberlands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Operating lease assets, net</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Goodwill and intangible assets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Investments in and advances to affiliates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3"/>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Deferred tax assets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26"/>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94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2,627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2,556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7"/>
        </w:trPr>
        <w:tc>
          <w:tcPr>
            <w:tcW w:w="7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94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taxes payable</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299</w:t>
            </w:r>
          </w:p>
        </w:tc>
      </w:tr>
      <w:tr>
        <w:trPr>
          <w:trHeight w:val="91"/>
        </w:trPr>
        <w:tc>
          <w:tcPr>
            <w:tcW w:w="79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Long-term debt</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income taxes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203"/>
        </w:trPr>
        <w:tc>
          <w:tcPr>
            <w:tcW w:w="7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9"/>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Contingency reserves, excluding current portion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3"/>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2"/>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901180" cy="130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01180" cy="130810"/>
                    </a:xfrm>
                    <a:prstGeom prst="rect">
                      <a:avLst/>
                    </a:prstGeom>
                    <a:noFill/>
                  </pic:spPr>
                </pic:pic>
              </a:graphicData>
            </a:graphic>
          </wp:anchor>
        </w:drawing>
      </w:r>
    </w:p>
    <w:p>
      <w:pPr>
        <w:sectPr>
          <w:pgSz w:w="11900" w:h="16838" w:orient="portrait"/>
          <w:cols w:equalWidth="0" w:num="1">
            <w:col w:w="10900"/>
          </w:cols>
          <w:pgMar w:left="500" w:top="854" w:right="49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Commitments and contingencies (Note 12)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901180" cy="130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01180" cy="1308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Preferred stock, $1 par value; 15 shares authorized, no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01180" cy="229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1180" cy="229235"/>
                    </a:xfrm>
                    <a:prstGeom prst="rect">
                      <a:avLst/>
                    </a:prstGeom>
                    <a:noFill/>
                  </pic:spPr>
                </pic:pic>
              </a:graphicData>
            </a:graphic>
          </wp:anchor>
        </w:drawing>
      </w:r>
    </w:p>
    <w:p>
      <w:pPr>
        <w:spacing w:after="0" w:line="14" w:lineRule="exact"/>
        <w:rPr>
          <w:sz w:val="20"/>
          <w:szCs w:val="20"/>
          <w:color w:val="auto"/>
        </w:rPr>
      </w:pPr>
    </w:p>
    <w:p>
      <w:pPr>
        <w:ind w:right="520"/>
        <w:spacing w:after="0" w:line="251" w:lineRule="auto"/>
        <w:rPr>
          <w:sz w:val="20"/>
          <w:szCs w:val="20"/>
          <w:color w:val="auto"/>
        </w:rPr>
      </w:pPr>
      <w:r>
        <w:rPr>
          <w:rFonts w:ascii="Times New Roman" w:cs="Times New Roman" w:eastAsia="Times New Roman" w:hAnsi="Times New Roman"/>
          <w:sz w:val="15"/>
          <w:szCs w:val="15"/>
          <w:color w:val="auto"/>
        </w:rPr>
        <w:t>Common stock, $1 par value; 200 shares authorized; 85 shares issued, and 70 shares issued and outstanding, respectively, as of December 31, 2025; 86 shares issued and 70 shares issued and outstanding, respectively,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5"/>
          <w:szCs w:val="15"/>
          <w:color w:val="auto"/>
        </w:rPr>
        <w:t>85</w:t>
      </w:r>
      <w:r>
        <w:rPr>
          <w:sz w:val="20"/>
          <w:szCs w:val="20"/>
          <w:color w:val="auto"/>
        </w:rPr>
        <w:tab/>
      </w:r>
      <w:r>
        <w:rPr>
          <w:rFonts w:ascii="Times New Roman" w:cs="Times New Roman" w:eastAsia="Times New Roman" w:hAnsi="Times New Roman"/>
          <w:sz w:val="15"/>
          <w:szCs w:val="15"/>
          <w:color w:val="auto"/>
        </w:rPr>
        <w:t>86</w:t>
      </w:r>
    </w:p>
    <w:p>
      <w:pPr>
        <w:spacing w:after="0" w:line="111" w:lineRule="exact"/>
        <w:rPr>
          <w:sz w:val="20"/>
          <w:szCs w:val="20"/>
          <w:color w:val="auto"/>
        </w:rPr>
      </w:pPr>
    </w:p>
    <w:p>
      <w:pPr>
        <w:sectPr>
          <w:pgSz w:w="11900" w:h="16838" w:orient="portrait"/>
          <w:cols w:equalWidth="0" w:num="2">
            <w:col w:w="8380" w:space="720"/>
            <w:col w:w="1800"/>
          </w:cols>
          <w:pgMar w:left="500" w:top="854" w:right="49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w:t>
            </w: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5"/>
                <w:szCs w:val="15"/>
                <w:color w:val="auto"/>
              </w:rPr>
              <w:t>Treasury stock, 15 shares and 16 shares at cost as of December 31, 2025 and 2024, respectively</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comprehensive loss</w:t>
            </w: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97"/>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1,731</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1,671</w:t>
            </w:r>
          </w:p>
        </w:tc>
      </w:tr>
      <w:tr>
        <w:trPr>
          <w:trHeight w:val="152"/>
        </w:trPr>
        <w:tc>
          <w:tcPr>
            <w:tcW w:w="7900" w:type="dxa"/>
            <w:vAlign w:val="bottom"/>
          </w:tcPr>
          <w:p>
            <w:pPr>
              <w:ind w:left="320"/>
              <w:spacing w:after="0" w:line="151" w:lineRule="exact"/>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40" w:type="dxa"/>
            <w:vAlign w:val="bottom"/>
          </w:tcPr>
          <w:p>
            <w:pPr>
              <w:jc w:val="right"/>
              <w:ind w:right="383"/>
              <w:spacing w:after="0" w:line="151"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2,627</w:t>
            </w:r>
          </w:p>
        </w:tc>
        <w:tc>
          <w:tcPr>
            <w:tcW w:w="100" w:type="dxa"/>
            <w:vAlign w:val="bottom"/>
          </w:tcPr>
          <w:p>
            <w:pPr>
              <w:spacing w:after="0"/>
              <w:rPr>
                <w:sz w:val="13"/>
                <w:szCs w:val="13"/>
                <w:color w:val="auto"/>
              </w:rPr>
            </w:pPr>
          </w:p>
        </w:tc>
        <w:tc>
          <w:tcPr>
            <w:tcW w:w="560" w:type="dxa"/>
            <w:vAlign w:val="bottom"/>
          </w:tcPr>
          <w:p>
            <w:pPr>
              <w:jc w:val="right"/>
              <w:ind w:right="383"/>
              <w:spacing w:after="0" w:line="151"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2,556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901180" cy="155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01180" cy="1555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-67310</wp:posOffset>
            </wp:positionV>
            <wp:extent cx="18827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500" w:top="854" w:right="49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146</w:t>
            </w:r>
          </w:p>
        </w:tc>
        <w:tc>
          <w:tcPr>
            <w:tcW w:w="4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r>
      <w:tr>
        <w:trPr>
          <w:trHeight w:val="203"/>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Adjustments to net income:</w:t>
            </w: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Impairment of goodwill and long-lived assets</w:t>
            </w:r>
          </w:p>
        </w:tc>
        <w:tc>
          <w:tcPr>
            <w:tcW w:w="106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Pension loss due to settlement</w:t>
            </w:r>
          </w:p>
        </w:tc>
        <w:tc>
          <w:tcPr>
            <w:tcW w:w="106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taxes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Foreign currency remeasurement and transaction losses</w:t>
            </w:r>
          </w:p>
        </w:tc>
        <w:tc>
          <w:tcPr>
            <w:tcW w:w="106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adjustments, net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3"/>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Changes in assets and liabilities (net of acquisitions and divestitures):</w:t>
            </w: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Receivables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taxes payable, net of receivables</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98"/>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382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316</w:t>
            </w:r>
          </w:p>
        </w:tc>
      </w:tr>
      <w:tr>
        <w:trPr>
          <w:trHeight w:val="187"/>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Property, plant, and equipment additions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Acquisition of facility assets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106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 in affiliates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Other investing activities, net</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2"/>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Net cash used in investing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(376)</w:t>
            </w:r>
          </w:p>
        </w:tc>
      </w:tr>
      <w:tr>
        <w:trPr>
          <w:trHeight w:val="185"/>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Borrowing of long-term debt</w:t>
            </w:r>
          </w:p>
        </w:tc>
        <w:tc>
          <w:tcPr>
            <w:tcW w:w="106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 of cash dividends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03"/>
        </w:trPr>
        <w:tc>
          <w:tcPr>
            <w:tcW w:w="20" w:type="dxa"/>
            <w:vAlign w:val="bottom"/>
          </w:tcPr>
          <w:p>
            <w:pPr>
              <w:spacing w:after="0"/>
              <w:rPr>
                <w:sz w:val="17"/>
                <w:szCs w:val="17"/>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 of stock</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98"/>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(77)</w:t>
            </w:r>
          </w:p>
        </w:tc>
      </w:tr>
      <w:tr>
        <w:trPr>
          <w:trHeight w:val="20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ON CASH, CASH EQUIVALENTS, AND RESTRICTED CASH</w:t>
            </w:r>
          </w:p>
        </w:tc>
        <w:tc>
          <w:tcPr>
            <w:tcW w:w="10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6"/>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20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w:t>
            </w:r>
          </w:p>
        </w:tc>
      </w:tr>
      <w:tr>
        <w:trPr>
          <w:trHeight w:val="198"/>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292</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40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income taxes, net</w:t>
            </w:r>
          </w:p>
        </w:tc>
        <w:tc>
          <w:tcPr>
            <w:tcW w:w="39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3"/>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Cash paid for interest, net</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4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Unpaid capital expenditures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w:t>
            </w:r>
          </w:p>
        </w:tc>
        <w:tc>
          <w:tcPr>
            <w:tcW w:w="4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Balance as of December 31, 2022 </w:t>
      </w:r>
      <w:r>
        <w:rPr>
          <w:rFonts w:ascii="Times New Roman" w:cs="Times New Roman" w:eastAsia="Times New Roman" w:hAnsi="Times New Roman"/>
          <w:sz w:val="15"/>
          <w:szCs w:val="15"/>
          <w:color w:val="auto"/>
        </w:rPr>
        <w:t>Net income</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Cash dividends on common stock paid ($0.24 per share quarterly)</w:t>
      </w:r>
    </w:p>
    <w:p>
      <w:pPr>
        <w:spacing w:after="0"/>
        <w:rPr>
          <w:sz w:val="20"/>
          <w:szCs w:val="20"/>
          <w:color w:val="auto"/>
        </w:rPr>
      </w:pPr>
      <w:r>
        <w:rPr>
          <w:rFonts w:ascii="Times New Roman" w:cs="Times New Roman" w:eastAsia="Times New Roman" w:hAnsi="Times New Roman"/>
          <w:sz w:val="15"/>
          <w:szCs w:val="15"/>
          <w:color w:val="auto"/>
        </w:rPr>
        <w:t>Issuance of shares under stock plans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Taxes paid on net settlement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Purchase of stock</w:t>
      </w:r>
    </w:p>
    <w:p>
      <w:pPr>
        <w:spacing w:after="0" w:line="3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Compensation expense associated with stock-based compensation</w:t>
      </w:r>
    </w:p>
    <w:p>
      <w:pPr>
        <w:ind w:right="280"/>
        <w:spacing w:after="0" w:line="295" w:lineRule="auto"/>
        <w:rPr>
          <w:sz w:val="20"/>
          <w:szCs w:val="20"/>
          <w:color w:val="auto"/>
        </w:rPr>
      </w:pPr>
      <w:r>
        <w:rPr>
          <w:rFonts w:ascii="Times New Roman" w:cs="Times New Roman" w:eastAsia="Times New Roman" w:hAnsi="Times New Roman"/>
          <w:sz w:val="15"/>
          <w:szCs w:val="15"/>
          <w:color w:val="auto"/>
        </w:rPr>
        <w:t xml:space="preserve">Other comprehensive income </w:t>
      </w:r>
      <w:r>
        <w:rPr>
          <w:rFonts w:ascii="Times New Roman" w:cs="Times New Roman" w:eastAsia="Times New Roman" w:hAnsi="Times New Roman"/>
          <w:sz w:val="15"/>
          <w:szCs w:val="15"/>
          <w:b w:val="1"/>
          <w:bCs w:val="1"/>
          <w:color w:val="auto"/>
        </w:rPr>
        <w:t>Balance as of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Cash dividends on common stock paid ($0.26 per share quarterly)</w:t>
      </w:r>
    </w:p>
    <w:p>
      <w:pPr>
        <w:spacing w:after="0"/>
        <w:rPr>
          <w:sz w:val="20"/>
          <w:szCs w:val="20"/>
          <w:color w:val="auto"/>
        </w:rPr>
      </w:pPr>
      <w:r>
        <w:rPr>
          <w:rFonts w:ascii="Times New Roman" w:cs="Times New Roman" w:eastAsia="Times New Roman" w:hAnsi="Times New Roman"/>
          <w:sz w:val="15"/>
          <w:szCs w:val="15"/>
          <w:color w:val="auto"/>
        </w:rPr>
        <w:t>Issuance of shares under stock plans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Taxes paid on net settlement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Purchase of stock</w:t>
      </w:r>
    </w:p>
    <w:p>
      <w:pPr>
        <w:spacing w:after="0" w:line="3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Compensation expense associated with stock-based compensation</w:t>
      </w:r>
    </w:p>
    <w:p>
      <w:pPr>
        <w:ind w:right="280"/>
        <w:spacing w:after="0" w:line="295" w:lineRule="auto"/>
        <w:rPr>
          <w:sz w:val="20"/>
          <w:szCs w:val="20"/>
          <w:color w:val="auto"/>
        </w:rPr>
      </w:pPr>
      <w:r>
        <w:rPr>
          <w:rFonts w:ascii="Times New Roman" w:cs="Times New Roman" w:eastAsia="Times New Roman" w:hAnsi="Times New Roman"/>
          <w:sz w:val="15"/>
          <w:szCs w:val="15"/>
          <w:color w:val="auto"/>
        </w:rPr>
        <w:t xml:space="preserve">Other comprehensive loss </w:t>
      </w:r>
      <w:r>
        <w:rPr>
          <w:rFonts w:ascii="Times New Roman" w:cs="Times New Roman" w:eastAsia="Times New Roman" w:hAnsi="Times New Roman"/>
          <w:sz w:val="15"/>
          <w:szCs w:val="15"/>
          <w:b w:val="1"/>
          <w:bCs w:val="1"/>
          <w:color w:val="auto"/>
        </w:rPr>
        <w:t>Balance as of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Cash dividends on common stock paid ($0.28 per share quarterly)</w:t>
      </w:r>
    </w:p>
    <w:p>
      <w:pPr>
        <w:spacing w:after="0"/>
        <w:rPr>
          <w:sz w:val="20"/>
          <w:szCs w:val="20"/>
          <w:color w:val="auto"/>
        </w:rPr>
      </w:pPr>
      <w:r>
        <w:rPr>
          <w:rFonts w:ascii="Times New Roman" w:cs="Times New Roman" w:eastAsia="Times New Roman" w:hAnsi="Times New Roman"/>
          <w:sz w:val="15"/>
          <w:szCs w:val="15"/>
          <w:color w:val="auto"/>
        </w:rPr>
        <w:t>Issuance of shares under stock plans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Taxes paid on net settlement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Purchase of stock</w:t>
      </w:r>
    </w:p>
    <w:p>
      <w:pPr>
        <w:spacing w:after="0" w:line="3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5"/>
          <w:szCs w:val="15"/>
          <w:color w:val="auto"/>
        </w:rPr>
        <w:t>Compensation expense associated with stock-based compensation</w:t>
      </w:r>
    </w:p>
    <w:p>
      <w:pPr>
        <w:ind w:right="280"/>
        <w:spacing w:after="0" w:line="342" w:lineRule="auto"/>
        <w:rPr>
          <w:sz w:val="20"/>
          <w:szCs w:val="20"/>
          <w:color w:val="auto"/>
        </w:rPr>
      </w:pPr>
      <w:r>
        <w:rPr>
          <w:rFonts w:ascii="Times New Roman" w:cs="Times New Roman" w:eastAsia="Times New Roman" w:hAnsi="Times New Roman"/>
          <w:sz w:val="15"/>
          <w:szCs w:val="15"/>
          <w:color w:val="auto"/>
        </w:rPr>
        <w:t xml:space="preserve">Other comprehensive income </w:t>
      </w:r>
      <w:r>
        <w:rPr>
          <w:rFonts w:ascii="Times New Roman" w:cs="Times New Roman" w:eastAsia="Times New Roman" w:hAnsi="Times New Roman"/>
          <w:sz w:val="15"/>
          <w:szCs w:val="15"/>
          <w:b w:val="1"/>
          <w:bCs w:val="1"/>
          <w:color w:val="auto"/>
        </w:rPr>
        <w:t>Balance as of December 31, 2025</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32"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7"/>
          <w:szCs w:val="17"/>
          <w:color w:val="auto"/>
        </w:rPr>
        <w:t>Amounts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4"/>
                <w:szCs w:val="4"/>
                <w:color w:val="auto"/>
              </w:rPr>
            </w:pPr>
          </w:p>
        </w:tc>
        <w:tc>
          <w:tcPr>
            <w:tcW w:w="1160" w:type="dxa"/>
            <w:vAlign w:val="bottom"/>
            <w:vMerge w:val="restart"/>
          </w:tcPr>
          <w:p>
            <w:pPr>
              <w:jc w:val="center"/>
              <w:ind w:right="83"/>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
        </w:trPr>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160" w:type="dxa"/>
            <w:vAlign w:val="bottom"/>
          </w:tcPr>
          <w:p>
            <w:pPr>
              <w:spacing w:after="0"/>
              <w:rPr>
                <w:sz w:val="10"/>
                <w:szCs w:val="10"/>
                <w:color w:val="auto"/>
              </w:rPr>
            </w:pPr>
          </w:p>
        </w:tc>
        <w:tc>
          <w:tcPr>
            <w:tcW w:w="1160" w:type="dxa"/>
            <w:vAlign w:val="bottom"/>
            <w:vMerge w:val="restart"/>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79"/>
        </w:trPr>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88</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88</w:t>
            </w:r>
          </w:p>
        </w:tc>
        <w:tc>
          <w:tcPr>
            <w:tcW w:w="80" w:type="dxa"/>
            <w:vAlign w:val="bottom"/>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16</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(388)</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462</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1,371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1,433</w:t>
            </w:r>
          </w:p>
        </w:tc>
        <w:tc>
          <w:tcPr>
            <w:tcW w:w="0" w:type="dxa"/>
            <w:vAlign w:val="bottom"/>
          </w:tcPr>
          <w:p>
            <w:pPr>
              <w:spacing w:after="0"/>
              <w:rPr>
                <w:sz w:val="1"/>
                <w:szCs w:val="1"/>
                <w:color w:val="auto"/>
              </w:rPr>
            </w:pPr>
          </w:p>
        </w:tc>
      </w:tr>
      <w:tr>
        <w:trPr>
          <w:trHeight w:val="203"/>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8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88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88</w:t>
            </w:r>
          </w:p>
        </w:tc>
        <w:tc>
          <w:tcPr>
            <w:tcW w:w="80" w:type="dxa"/>
            <w:vAlign w:val="bottom"/>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16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1,479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1,557</w:t>
            </w:r>
          </w:p>
        </w:tc>
        <w:tc>
          <w:tcPr>
            <w:tcW w:w="0" w:type="dxa"/>
            <w:vAlign w:val="bottom"/>
          </w:tcPr>
          <w:p>
            <w:pPr>
              <w:spacing w:after="0"/>
              <w:rPr>
                <w:sz w:val="1"/>
                <w:szCs w:val="1"/>
                <w:color w:val="auto"/>
              </w:rPr>
            </w:pPr>
          </w:p>
        </w:tc>
      </w:tr>
      <w:tr>
        <w:trPr>
          <w:trHeight w:val="203"/>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6"/>
        </w:trPr>
        <w:tc>
          <w:tcPr>
            <w:tcW w:w="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8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0"/>
        </w:trPr>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86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86</w:t>
            </w:r>
          </w:p>
        </w:tc>
        <w:tc>
          <w:tcPr>
            <w:tcW w:w="80" w:type="dxa"/>
            <w:vAlign w:val="bottom"/>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16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1,615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1,671</w:t>
            </w:r>
          </w:p>
        </w:tc>
        <w:tc>
          <w:tcPr>
            <w:tcW w:w="0" w:type="dxa"/>
            <w:vAlign w:val="bottom"/>
          </w:tcPr>
          <w:p>
            <w:pPr>
              <w:spacing w:after="0"/>
              <w:rPr>
                <w:sz w:val="1"/>
                <w:szCs w:val="1"/>
                <w:color w:val="auto"/>
              </w:rPr>
            </w:pPr>
          </w:p>
        </w:tc>
      </w:tr>
      <w:tr>
        <w:trPr>
          <w:trHeight w:val="203"/>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6"/>
        </w:trPr>
        <w:tc>
          <w:tcPr>
            <w:tcW w:w="7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84"/>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86"/>
        </w:trPr>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1"/>
        </w:trPr>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85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85</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1,621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1,731</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-3928745</wp:posOffset>
            </wp:positionV>
            <wp:extent cx="7122160" cy="139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-3658870</wp:posOffset>
            </wp:positionV>
            <wp:extent cx="7122160" cy="229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2160" cy="22923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-3298190</wp:posOffset>
            </wp:positionV>
            <wp:extent cx="7122160" cy="130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-3036570</wp:posOffset>
            </wp:positionV>
            <wp:extent cx="7122160" cy="229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2160" cy="22923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-2676525</wp:posOffset>
            </wp:positionV>
            <wp:extent cx="712216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-2406015</wp:posOffset>
            </wp:positionV>
            <wp:extent cx="7122160" cy="229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2160" cy="22923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-2045970</wp:posOffset>
            </wp:positionV>
            <wp:extent cx="7122160" cy="130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-1783715</wp:posOffset>
            </wp:positionV>
            <wp:extent cx="7122160" cy="229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2160" cy="22923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-1423670</wp:posOffset>
            </wp:positionV>
            <wp:extent cx="7122160" cy="139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-1153795</wp:posOffset>
            </wp:positionV>
            <wp:extent cx="7122160" cy="229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2160" cy="22923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-793750</wp:posOffset>
            </wp:positionV>
            <wp:extent cx="7122160" cy="130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-531495</wp:posOffset>
            </wp:positionV>
            <wp:extent cx="7122160" cy="229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2160" cy="22923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-171450</wp:posOffset>
            </wp:positionV>
            <wp:extent cx="7122160" cy="155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1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32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2420" w:space="320"/>
            <w:col w:w="8460"/>
          </w:cols>
          <w:pgMar w:left="360" w:top="73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INDEX TO THE NOTES TO THE CONSOLIDATED FINANCIAL STATEMENTS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7"/>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6200" w:type="dxa"/>
            <w:vAlign w:val="bottom"/>
            <w:tcBorders>
              <w:top w:val="single" w:sz="8" w:color="auto"/>
            </w:tcBorders>
            <w:gridSpan w:val="12"/>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ind w:left="574"/>
              <w:spacing w:after="0"/>
              <w:rPr>
                <w:sz w:val="20"/>
                <w:szCs w:val="20"/>
                <w:color w:val="auto"/>
              </w:rPr>
            </w:pPr>
            <w:r>
              <w:rPr>
                <w:rFonts w:ascii="Times New Roman" w:cs="Times New Roman" w:eastAsia="Times New Roman" w:hAnsi="Times New Roman"/>
                <w:sz w:val="17"/>
                <w:szCs w:val="17"/>
                <w:b w:val="1"/>
                <w:bCs w:val="1"/>
                <w:color w:val="auto"/>
              </w:rPr>
              <w:t>Page No.</w:t>
            </w:r>
          </w:p>
        </w:tc>
      </w:tr>
      <w:tr>
        <w:trPr>
          <w:trHeight w:val="20"/>
        </w:trPr>
        <w:tc>
          <w:tcPr>
            <w:tcW w:w="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51</w:t>
            </w:r>
          </w:p>
        </w:tc>
        <w:tc>
          <w:tcPr>
            <w:tcW w:w="240" w:type="dxa"/>
            <w:vAlign w:val="bottom"/>
          </w:tcPr>
          <w:p>
            <w:pPr>
              <w:spacing w:after="0"/>
              <w:rPr>
                <w:sz w:val="17"/>
                <w:szCs w:val="17"/>
                <w:color w:val="auto"/>
              </w:rPr>
            </w:pPr>
          </w:p>
        </w:tc>
      </w:tr>
      <w:tr>
        <w:trPr>
          <w:trHeight w:val="20"/>
        </w:trPr>
        <w:tc>
          <w:tcPr>
            <w:tcW w:w="156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2</w:t>
            </w:r>
          </w:p>
        </w:tc>
        <w:tc>
          <w:tcPr>
            <w:tcW w:w="3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Present and Prospective Accounting Pronouncements</w:t>
            </w:r>
          </w:p>
        </w:tc>
        <w:tc>
          <w:tcPr>
            <w:tcW w:w="396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58</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3</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Revenue</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58</w:t>
            </w:r>
          </w:p>
        </w:tc>
        <w:tc>
          <w:tcPr>
            <w:tcW w:w="240" w:type="dxa"/>
            <w:vAlign w:val="bottom"/>
          </w:tcPr>
          <w:p>
            <w:pPr>
              <w:spacing w:after="0"/>
              <w:rPr>
                <w:sz w:val="17"/>
                <w:szCs w:val="17"/>
                <w:color w:val="auto"/>
              </w:rPr>
            </w:pPr>
          </w:p>
        </w:tc>
      </w:tr>
      <w:tr>
        <w:trPr>
          <w:trHeight w:val="20"/>
        </w:trPr>
        <w:tc>
          <w:tcPr>
            <w:tcW w:w="156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4</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Earnings Per Share</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60</w:t>
            </w:r>
          </w:p>
        </w:tc>
        <w:tc>
          <w:tcPr>
            <w:tcW w:w="240" w:type="dxa"/>
            <w:vAlign w:val="bottom"/>
          </w:tcPr>
          <w:p>
            <w:pPr>
              <w:spacing w:after="0"/>
              <w:rPr>
                <w:sz w:val="17"/>
                <w:szCs w:val="17"/>
                <w:color w:val="auto"/>
              </w:rPr>
            </w:pPr>
          </w:p>
        </w:tc>
      </w:tr>
      <w:tr>
        <w:trPr>
          <w:trHeight w:val="20"/>
        </w:trPr>
        <w:tc>
          <w:tcPr>
            <w:tcW w:w="156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5</w:t>
            </w:r>
          </w:p>
        </w:tc>
        <w:tc>
          <w:tcPr>
            <w:tcW w:w="2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Business Exit Credits and Charges</w:t>
            </w:r>
          </w:p>
        </w:tc>
        <w:tc>
          <w:tcPr>
            <w:tcW w:w="5380" w:type="dxa"/>
            <w:vAlign w:val="bottom"/>
            <w:gridSpan w:val="6"/>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6</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Income Taxes</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61</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7</w:t>
            </w:r>
          </w:p>
        </w:tc>
        <w:tc>
          <w:tcPr>
            <w:tcW w:w="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Leases</w:t>
            </w:r>
          </w:p>
        </w:tc>
        <w:tc>
          <w:tcPr>
            <w:tcW w:w="480" w:type="dxa"/>
            <w:vAlign w:val="bottom"/>
            <w:tcBorders>
              <w:top w:val="single" w:sz="8" w:color="0000FF"/>
            </w:tcBorders>
            <w:gridSpan w:val="4"/>
          </w:tcPr>
          <w:p>
            <w:pPr>
              <w:spacing w:after="0"/>
              <w:rPr>
                <w:sz w:val="17"/>
                <w:szCs w:val="17"/>
                <w:color w:val="auto"/>
              </w:rPr>
            </w:pPr>
          </w:p>
        </w:tc>
        <w:tc>
          <w:tcPr>
            <w:tcW w:w="6800" w:type="dxa"/>
            <w:vAlign w:val="bottom"/>
            <w:gridSpan w:val="12"/>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66</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8</w:t>
            </w: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Long-Term Debt</w:t>
            </w:r>
          </w:p>
        </w:tc>
        <w:tc>
          <w:tcPr>
            <w:tcW w:w="6440" w:type="dxa"/>
            <w:vAlign w:val="bottom"/>
            <w:gridSpan w:val="10"/>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67</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9</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Stockholders’ Equity</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69</w:t>
            </w:r>
          </w:p>
        </w:tc>
        <w:tc>
          <w:tcPr>
            <w:tcW w:w="240" w:type="dxa"/>
            <w:vAlign w:val="bottom"/>
          </w:tcPr>
          <w:p>
            <w:pPr>
              <w:spacing w:after="0"/>
              <w:rPr>
                <w:sz w:val="17"/>
                <w:szCs w:val="17"/>
                <w:color w:val="auto"/>
              </w:rPr>
            </w:pPr>
          </w:p>
        </w:tc>
      </w:tr>
      <w:tr>
        <w:trPr>
          <w:trHeight w:val="20"/>
        </w:trPr>
        <w:tc>
          <w:tcPr>
            <w:tcW w:w="1560" w:type="dxa"/>
            <w:vAlign w:val="bottom"/>
            <w:gridSpan w:val="2"/>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10</w:t>
            </w:r>
          </w:p>
        </w:tc>
        <w:tc>
          <w:tcPr>
            <w:tcW w:w="3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Other Operating and Non-Operating Income (Expense)</w:t>
            </w:r>
          </w:p>
        </w:tc>
        <w:tc>
          <w:tcPr>
            <w:tcW w:w="396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71</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11</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Impairment of Long-Lived Assets</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72</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12</w:t>
            </w:r>
          </w:p>
        </w:tc>
        <w:tc>
          <w:tcPr>
            <w:tcW w:w="23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Commitments and Contingencies</w:t>
            </w:r>
          </w:p>
        </w:tc>
        <w:tc>
          <w:tcPr>
            <w:tcW w:w="40" w:type="dxa"/>
            <w:vAlign w:val="bottom"/>
            <w:tcBorders>
              <w:top w:val="single" w:sz="8" w:color="0000FF"/>
            </w:tcBorders>
          </w:tcPr>
          <w:p>
            <w:pPr>
              <w:spacing w:after="0"/>
              <w:rPr>
                <w:sz w:val="17"/>
                <w:szCs w:val="17"/>
                <w:color w:val="auto"/>
              </w:rPr>
            </w:pPr>
          </w:p>
        </w:tc>
        <w:tc>
          <w:tcPr>
            <w:tcW w:w="5420" w:type="dxa"/>
            <w:vAlign w:val="bottom"/>
            <w:gridSpan w:val="7"/>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73</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13</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Product Warranties</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75</w:t>
            </w:r>
          </w:p>
        </w:tc>
        <w:tc>
          <w:tcPr>
            <w:tcW w:w="240" w:type="dxa"/>
            <w:vAlign w:val="bottom"/>
          </w:tcPr>
          <w:p>
            <w:pPr>
              <w:spacing w:after="0"/>
              <w:rPr>
                <w:sz w:val="17"/>
                <w:szCs w:val="17"/>
                <w:color w:val="auto"/>
              </w:rPr>
            </w:pPr>
          </w:p>
        </w:tc>
      </w:tr>
      <w:tr>
        <w:trPr>
          <w:trHeight w:val="20"/>
        </w:trPr>
        <w:tc>
          <w:tcPr>
            <w:tcW w:w="1560" w:type="dxa"/>
            <w:vAlign w:val="bottom"/>
            <w:gridSpan w:val="2"/>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14</w:t>
            </w:r>
          </w:p>
        </w:tc>
        <w:tc>
          <w:tcPr>
            <w:tcW w:w="7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Retirement Plans and Post-Retirement Benefits</w:t>
            </w:r>
          </w:p>
        </w:tc>
        <w:tc>
          <w:tcPr>
            <w:tcW w:w="1080" w:type="dxa"/>
            <w:vAlign w:val="bottom"/>
            <w:gridSpan w:val="3"/>
          </w:tcPr>
          <w:p>
            <w:pPr>
              <w:jc w:val="center"/>
              <w:ind w:left="814"/>
              <w:spacing w:after="0"/>
              <w:rPr>
                <w:sz w:val="20"/>
                <w:szCs w:val="20"/>
                <w:color w:val="auto"/>
              </w:rPr>
            </w:pPr>
            <w:r>
              <w:rPr>
                <w:rFonts w:ascii="Times New Roman" w:cs="Times New Roman" w:eastAsia="Times New Roman" w:hAnsi="Times New Roman"/>
                <w:sz w:val="17"/>
                <w:szCs w:val="17"/>
                <w:color w:val="0000FF"/>
              </w:rPr>
              <w:t>75</w:t>
            </w:r>
          </w:p>
        </w:tc>
        <w:tc>
          <w:tcPr>
            <w:tcW w:w="240" w:type="dxa"/>
            <w:vAlign w:val="bottom"/>
          </w:tcPr>
          <w:p>
            <w:pPr>
              <w:spacing w:after="0"/>
              <w:rPr>
                <w:sz w:val="17"/>
                <w:szCs w:val="17"/>
                <w:color w:val="auto"/>
              </w:rPr>
            </w:pPr>
          </w:p>
        </w:tc>
      </w:tr>
      <w:tr>
        <w:trPr>
          <w:trHeight w:val="199"/>
        </w:trPr>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15</w:t>
            </w:r>
          </w:p>
        </w:tc>
        <w:tc>
          <w:tcPr>
            <w:tcW w:w="32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Segment Information</w:t>
            </w:r>
          </w:p>
        </w:tc>
        <w:tc>
          <w:tcPr>
            <w:tcW w:w="4520" w:type="dxa"/>
            <w:vAlign w:val="bottom"/>
            <w:gridSpan w:val="4"/>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76</w:t>
            </w:r>
          </w:p>
        </w:tc>
        <w:tc>
          <w:tcPr>
            <w:tcW w:w="24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40"/>
          </w:cols>
          <w:pgMar w:left="400" w:top="1349" w:right="859" w:bottom="1440" w:gutter="0" w:footer="0" w:header="0"/>
        </w:sectPr>
      </w:pPr>
    </w:p>
    <w:bookmarkStart w:id="52" w:name="page53"/>
    <w:bookmarkEnd w:id="52"/>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Operations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The Company operates more than 20 manufacturing facilities across North and South America, and operates an additional facility through a joint venture. References to “LP,” the “Company,” “we,” “our,” and “us” refer to Louisiana-Pacific Corporation and its consolidated subsidiaries as a whole.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15 - Segment Information” below for information regarding our products and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GAAP. The preparation of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LP and our controlled subsidiaries. All intercompany transactions, profits, and balances have been eliminated. All dollar amounts are in millions except per share amounts.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reclassifications have been made to prior years to conform to the current year presentation.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include cash on hand and short-term investments of three months or less when purchased. These investments are stated at cost, which approximates market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Receivables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Receivables consisted of the following (dollar amounts in millions):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201"/>
        </w:trPr>
        <w:tc>
          <w:tcPr>
            <w:tcW w:w="79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receivables</w:t>
            </w: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receivables</w:t>
            </w:r>
          </w:p>
        </w:tc>
        <w:tc>
          <w:tcPr>
            <w:tcW w:w="104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26"/>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Receivables</w:t>
            </w:r>
          </w:p>
        </w:tc>
        <w:tc>
          <w:tcPr>
            <w:tcW w:w="104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Trade receivables are primarily generated by sales of our products to our wholesale and retail customers. Other receivables at December 31, 2025 and 2024 primarily consisted of sales tax receivables and other miscellaneous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(1) recurring, measured on a periodic basis, and (2) non-recurring, measured on an as-needed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three levels of inputs that may be used to measure fair value: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Level 1</w:t>
        <w:tab/>
        <w:t>Unadjusted quoted prices in active markets that are accessible at the measurement date for identical, unrestricted assets or liabilities.</w:t>
      </w:r>
    </w:p>
    <w:p>
      <w:pPr>
        <w:spacing w:after="0" w:line="114" w:lineRule="exact"/>
        <w:rPr>
          <w:sz w:val="20"/>
          <w:szCs w:val="20"/>
          <w:color w:val="auto"/>
        </w:rPr>
      </w:pPr>
    </w:p>
    <w:p>
      <w:pPr>
        <w:jc w:val="both"/>
        <w:ind w:left="700" w:hanging="927"/>
        <w:spacing w:after="0" w:line="287" w:lineRule="auto"/>
        <w:tabs>
          <w:tab w:leader="none" w:pos="680" w:val="left"/>
        </w:tabs>
        <w:rPr>
          <w:sz w:val="20"/>
          <w:szCs w:val="20"/>
          <w:color w:val="auto"/>
        </w:rPr>
      </w:pPr>
      <w:r>
        <w:rPr>
          <w:rFonts w:ascii="Times New Roman" w:cs="Times New Roman" w:eastAsia="Times New Roman" w:hAnsi="Times New Roman"/>
          <w:sz w:val="17"/>
          <w:szCs w:val="17"/>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48" w:lineRule="exact"/>
        <w:rPr>
          <w:sz w:val="20"/>
          <w:szCs w:val="20"/>
          <w:color w:val="auto"/>
        </w:rPr>
      </w:pPr>
    </w:p>
    <w:p>
      <w:pPr>
        <w:jc w:val="both"/>
        <w:ind w:left="760" w:hanging="927"/>
        <w:spacing w:after="0" w:line="287" w:lineRule="auto"/>
        <w:tabs>
          <w:tab w:leader="none" w:pos="740" w:val="left"/>
        </w:tabs>
        <w:rPr>
          <w:sz w:val="20"/>
          <w:szCs w:val="20"/>
          <w:color w:val="auto"/>
        </w:rPr>
      </w:pPr>
      <w:r>
        <w:rPr>
          <w:rFonts w:ascii="Times New Roman" w:cs="Times New Roman" w:eastAsia="Times New Roman" w:hAnsi="Times New Roman"/>
          <w:sz w:val="17"/>
          <w:szCs w:val="17"/>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 See “Note 8 - Long Term Debt” below for further information regarding the fair value of long-term debt instruments.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Trading securities consist of rabbi trust financial assets, which are recorded in other assets in our Consolidated Balance Sheets. The rabbi trust holds assets attributable to the elections of certain management employees to defer the receipt of a portion of their compensation. The assets of the rabbi trust are invested in mutual funds and are reported at fair value based on active market quotations, which represent Level 1 inputs.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Inventories are valued at the lower of cost or net realizable value. Inventory costs include materials, labor, and operating overhead. The FIFO (first-in, first-out) or average cost methods are used to value our inventories as of December 31, 2025. Inventories include a lower of cost or market adjustment of $23 million and $9 million as of December 31, 2025, and 2024, respectively. Inventory consisted of the following (dollar amounts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201"/>
        </w:trPr>
        <w:tc>
          <w:tcPr>
            <w:tcW w:w="80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Logs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raw materials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Semi-finished inventory</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Finished products</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w:t>
            </w:r>
          </w:p>
        </w:tc>
      </w:tr>
      <w:tr>
        <w:trPr>
          <w:trHeight w:val="226"/>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Inventories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including capitalized interest, are recorded at cost and consisted of the following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201"/>
        </w:trPr>
        <w:tc>
          <w:tcPr>
            <w:tcW w:w="80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Land, land improvements, and logging roads, net of road amortization</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Buildings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Machinery and equipment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2,457</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w:t>
            </w:r>
          </w:p>
        </w:tc>
      </w:tr>
      <w:tr>
        <w:trPr>
          <w:trHeight w:val="202"/>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3,650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3,419</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(1,840)</w:t>
            </w:r>
          </w:p>
        </w:tc>
      </w:tr>
      <w:tr>
        <w:trPr>
          <w:trHeight w:val="226"/>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Property, plant, and equipment, net</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1,579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is calculated on a straight-line basis over the estimated useful lives of the assets, which typically range from 5 to 20 years for buildings and land improvements, 3 to 15 years for machinery and equipment, and the shorter of the lease terms or estimated useful lives for leasehold improvements.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on property, plant, and equipment was included in our Consolidated Statements of Income as noted below (dollar amounts in millions):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9"/>
        </w:trPr>
        <w:tc>
          <w:tcPr>
            <w:tcW w:w="6280" w:type="dxa"/>
            <w:vAlign w:val="bottom"/>
          </w:tcPr>
          <w:p>
            <w:pPr>
              <w:spacing w:after="0"/>
              <w:rPr>
                <w:sz w:val="18"/>
                <w:szCs w:val="18"/>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31"/>
        </w:trPr>
        <w:tc>
          <w:tcPr>
            <w:tcW w:w="6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4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w:t>
            </w:r>
          </w:p>
        </w:tc>
      </w:tr>
      <w:tr>
        <w:trPr>
          <w:trHeight w:val="20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r>
      <w:tr>
        <w:trPr>
          <w:trHeight w:val="226"/>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depreciation and amortization</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Logging road construction costs are capitalized and included in land and land improvements. These costs are amortized as the timber volume adjacent to the road system is harvested.</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Long-lived assets to be held and used (primarily property, plant, and equipment and timber and timberlands) are reviewed for impairment when events or changes in circumstances indicate that the carrying amount of the assets may not be recoverable. When impairment is indicated, the book values of the assets are written down to their estimated fair value as calculated by the expected discounted cash flow or estimated net sales price. See “Note 11 - Impairment of Long-Lived Assets” below for a discussion of charges related to impairments of property, plant, and equipment.</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Long-lived assets that are held for sale are written down to the estimated sales proceeds less cost to sell unless the estimated net proceeds exceed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Intangible Assets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Goodwill and indefinite-lived intangible assets are assessed annually for impairment during the fourth quarter or earlier upon the occurrence of certain events or substantive changes in circumstances. In accordance with Accounting Standards Codification (ASC) 350, Intangibles – Goodwill and Other,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Impairment is evaluated by applying a fair value-based test. Impairment losses would be recognized when the quantitative assessment concludes that the carrying amount exceeds the fair value of the reporting unit, limited to the carrying amount of goodwill. No impairment charges were recognized for the year ended December 31, 2025, 2024, and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goodwill and intangible assets for the years ended December 31, 2025 and 2024, are provided in the following table (dollar amounts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tcPr>
          <w:p>
            <w:pPr>
              <w:spacing w:after="0"/>
              <w:rPr>
                <w:sz w:val="15"/>
                <w:szCs w:val="15"/>
                <w:color w:val="auto"/>
              </w:rPr>
            </w:pPr>
          </w:p>
        </w:tc>
        <w:tc>
          <w:tcPr>
            <w:tcW w:w="12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Developed Technology</w:t>
            </w:r>
          </w:p>
        </w:tc>
        <w:tc>
          <w:tcPr>
            <w:tcW w:w="1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Total Goodwill and</w:t>
            </w:r>
          </w:p>
        </w:tc>
        <w:tc>
          <w:tcPr>
            <w:tcW w:w="0" w:type="dxa"/>
            <w:vAlign w:val="bottom"/>
          </w:tcPr>
          <w:p>
            <w:pPr>
              <w:spacing w:after="0"/>
              <w:rPr>
                <w:sz w:val="1"/>
                <w:szCs w:val="1"/>
                <w:color w:val="auto"/>
              </w:rPr>
            </w:pPr>
          </w:p>
        </w:tc>
      </w:tr>
      <w:tr>
        <w:trPr>
          <w:trHeight w:val="123"/>
        </w:trPr>
        <w:tc>
          <w:tcPr>
            <w:tcW w:w="6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b w:val="1"/>
                <w:bCs w:val="1"/>
                <w:color w:val="auto"/>
              </w:rPr>
              <w:t>Intangibles</w:t>
            </w:r>
          </w:p>
        </w:tc>
        <w:tc>
          <w:tcPr>
            <w:tcW w:w="0" w:type="dxa"/>
            <w:vAlign w:val="bottom"/>
          </w:tcPr>
          <w:p>
            <w:pPr>
              <w:spacing w:after="0"/>
              <w:rPr>
                <w:sz w:val="1"/>
                <w:szCs w:val="1"/>
                <w:color w:val="auto"/>
              </w:rPr>
            </w:pPr>
          </w:p>
        </w:tc>
      </w:tr>
      <w:tr>
        <w:trPr>
          <w:trHeight w:val="82"/>
        </w:trPr>
        <w:tc>
          <w:tcPr>
            <w:tcW w:w="638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b w:val="1"/>
                <w:bCs w:val="1"/>
                <w:color w:val="auto"/>
              </w:rPr>
              <w:t>27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12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4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12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b w:val="1"/>
                <w:bCs w:val="1"/>
                <w:color w:val="auto"/>
              </w:rPr>
              <w:t>26</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12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4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12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26"/>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122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4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b w:val="1"/>
                <w:bCs w:val="1"/>
                <w:color w:val="auto"/>
              </w:rPr>
              <w:t>22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Timber licenses are included in timber and timberlands on the Consolidated Balance Sheets.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Due to a facility closure in the second quarter of 2025, the Company revised its estimate of the useful lives of its developed technology to better reflect the period over which the asset is expected to be utilized. The developed technology previously had a remaining useful life of ten years and is now being amortized over a revised useful life of one year. This revision in estimate resulted in a quarterly increase of $2 million in amortization expense beginning in the second quarter of 2025. Amortization of the developed technology is expected to be fully recognized in 2026, resulting in $3 million of amortization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Timber and Timberlands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Timber and timberlands are comprised of timber deeds and allocations of the purchase price to Canadian timber harvesting licenses. Timber deeds are transactions in which we purchase timber but not the underlying land. The cost of timber deeds is capitalized in timber and timberlands and charged to the cost of timber harvested as the volume is removed. Timber that has been severed but has not yet been delivered to a facility is included in timber and timberlands. We had timber and timberlands of $5 million and $6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Timber licenses have a life of 20 to 25 years and are amortized on a straight-line basis over the life of the agreement. As of December 31, 2025 and 2024, we had timber licenses of $8 million and $23 million, respectively. Certain Canadian timber harvesting licenses also include future requirements for reforestation. The future estimated reforestation obligation is accrued and recognized in cost of sales based on the volume of timber harvested. The obligation is determined by estimating future costs based on various assumptions and judgments, the specific nature of which varies considering the particular facts and circumstances surrounding each reforestation obligation. Subsequent changes to estimates resulting from the passage of time and revisions to calculations are recognized in earnings as they occur. Amortization of timber licenses is expected to be $1 million in 2026 and in each of the subsequent four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timber licenses for the years ended December 31, 2025 and 2024, are provided in the following table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r>
      <w:tr>
        <w:trPr>
          <w:trHeight w:val="201"/>
        </w:trPr>
        <w:tc>
          <w:tcPr>
            <w:tcW w:w="80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r>
      <w:tr>
        <w:trPr>
          <w:trHeight w:val="20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w:t>
            </w:r>
          </w:p>
        </w:tc>
      </w:tr>
      <w:tr>
        <w:trPr>
          <w:trHeight w:val="203"/>
        </w:trPr>
        <w:tc>
          <w:tcPr>
            <w:tcW w:w="8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11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Amortization</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2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10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Included in the balance of timber licenses are values allocated to Canadian forest licenses whose initial value of $35 million is amortized over the estimated useful life of 20 to 25 years. For the year ended December 31, 2025, we recognized $13 million of non-cash, pre-tax impairment charges related to the expiration and non-renewal of certain timber licenses.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71717"/>
        </w:rPr>
        <w:t>Investments in Affiliates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171717"/>
        </w:rPr>
        <w:t>We account for investments in affiliates when we do not have a controlling financial interest using the equity method under which LP’s share of earnings and losses of the affiliate is reflected in earnings, and dividends are credited against the investment in the affiliate when declared.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restricted cash accounts generally secure outstanding letters of credit. There were no restricted cash balances as of December 31, 2025 and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Payable and Accrued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 were as follows (dollar amounts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201"/>
        </w:trPr>
        <w:tc>
          <w:tcPr>
            <w:tcW w:w="79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accounts payable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Salaries and wages payable</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80</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customer incentives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Taxes other than income taxes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w:t>
            </w:r>
          </w:p>
        </w:tc>
      </w:tr>
      <w:tr>
        <w:trPr>
          <w:trHeight w:val="20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r>
      <w:tr>
        <w:trPr>
          <w:trHeight w:val="226"/>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Accounts payable and accrued liabilities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287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accrued liabilities at December 31, 2025 and 2024, primarily consisted of accrued interest, the short-term portion of warranty reserves, the short-term portion of workers’ compensation liabilities, and other items. Additionally, trade accounts payable included $33 million and $32 million related to capital expenditures that had not yet been paid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long-term liabilities were as follows (dollar amounts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201"/>
        </w:trPr>
        <w:tc>
          <w:tcPr>
            <w:tcW w:w="79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0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Post-retirement obligations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Uncertain tax positions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Warranty reserves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Pension benefit obligation</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r>
      <w:tr>
        <w:trPr>
          <w:trHeight w:val="20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w:t>
            </w:r>
          </w:p>
        </w:tc>
      </w:tr>
      <w:tr>
        <w:trPr>
          <w:trHeight w:val="226"/>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Other long-term liabilities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long-term liabilities at December 31, 2025 and 2024, consisted primarily of the long-term portion of workers’ compensation liabilities. Other long-term liabilities at December 31, 2024 previously included $14 million of investment tax incentives associated with property, plant, and equipment that was reclassified from other long-term liabilities to property, plant, and equipment in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 Retirement Obligations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record the fair value of the legal and conditional obligations to retire and remove long-lived assets in the periods in which the obligations are incurred. These obligations primarily consist of monitoring costs on closed landfills, timber reforestation obligations associated with our timber licenses in Canada, and site restoration costs. When the related liability is initially recorded, we capitalize the cost by increasing the carrying amount of the related long-lived asset. Over time, the liability is accreted to its settlement value, and the capitalized cost is depreciated over the useful life of the related asset. Upon settlement of the liability, we recognize a gain or loss for any difference between the settlement amount and the liability recorded.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activity in our asset retirement obligation liability for 2025 and 2024 is summarized in the following table (dollar amounts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r>
      <w:tr>
        <w:trPr>
          <w:trHeight w:val="209"/>
        </w:trPr>
        <w:tc>
          <w:tcPr>
            <w:tcW w:w="7940" w:type="dxa"/>
            <w:vAlign w:val="bottom"/>
          </w:tcPr>
          <w:p>
            <w:pPr>
              <w:spacing w:after="0"/>
              <w:rPr>
                <w:sz w:val="18"/>
                <w:szCs w:val="18"/>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Pr>
          <w:p>
            <w:pPr>
              <w:spacing w:after="0"/>
              <w:rPr>
                <w:sz w:val="18"/>
                <w:szCs w:val="18"/>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w:t>
            </w:r>
          </w:p>
        </w:tc>
      </w:tr>
      <w:tr>
        <w:trPr>
          <w:trHeight w:val="203"/>
        </w:trPr>
        <w:tc>
          <w:tcPr>
            <w:tcW w:w="79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Accretion expense</w:t>
            </w:r>
          </w:p>
        </w:tc>
        <w:tc>
          <w:tcPr>
            <w:tcW w:w="1100" w:type="dxa"/>
            <w:vAlign w:val="bottom"/>
          </w:tcPr>
          <w:p>
            <w:pPr>
              <w:spacing w:after="0"/>
              <w:rPr>
                <w:sz w:val="17"/>
                <w:szCs w:val="17"/>
                <w:color w:val="auto"/>
              </w:rPr>
            </w:pPr>
          </w:p>
        </w:tc>
        <w:tc>
          <w:tcPr>
            <w:tcW w:w="4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Adjusted to expense (cost of sales and other operating credits and charges, net)</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w:t>
            </w:r>
          </w:p>
        </w:tc>
      </w:tr>
      <w:tr>
        <w:trPr>
          <w:trHeight w:val="20"/>
        </w:trPr>
        <w:tc>
          <w:tcPr>
            <w:tcW w:w="7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consider all expected future events other than the enactment of changes in tax laws or rates. The effect on deferred tax assets and liabilities of a change in tax rates will be recognized as income or expense in the period that includes the enactment date. Additionally, deferred tax assets are reduced by a valuation allowance when it is more likely than not that some portion of the deferred tax assets will not be realized.</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classify interest related to income tax liabilities or uncertain tax positions as interest expense or interest income and, if applicable, penalties are recognized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subject to global intangible low-taxed income, an incremental tax on foreign income. We have made an accounting election to record this tax in the period the tax arises.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stock award plans covering certain key employees and directors, which provide for awards of restricted stock units, performance stock units, stock-settled stock appreciation rights (SSARS), and stock options. In addition, we offer an employee stock purchase plan to employees.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our restricted stock and restricted stock units is the closing stock price of LP’s common stock the day preceding the grant date. The fair value of our performance stock units is estimated using the Monte Carlo simulation pricing model. The key assumptions used in this model include expected volatility, risk-free rate, and average and grant date stock prices. The estimate of expected volatility for performance stock units is based upon historical stock price volatility and the length of the performance period. The risk-free interest rate is based on zero-coupon U.S. Treasury bonds. The beginning average stock price equals the average closing value stock price over the defined period of trading days with the assumption that dividends distributed during the period were reinvested.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functional currency for our Canadian subsidiaries is the U.S. dollar. The books and records for these subsidiaries are maintained in the Canadian dollar. The financial statements of these foreign subsidiaries are remeasured into U.S. dollars using the historical exchange rate for property, plant, and equipment, timber and timberlands (related depreciation and amortization on both property, plant, and equipment and timber and timberlands), goodwill, and certain other non-monetary assets. We use the exchange rate at the balance sheet date for the remaining assets and liabilities, including deferred taxes. A weighted average exchange rate is used for each period for revenues and expenses. These transaction gains or losses are recorded in other non-operating income (expense) on the Consolidated Statements of Income.</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functional currencies of our Chilean, Brazilian, Colombian, Peruvian, Paraguayan, and Mexican subsidiaries are their respective local currencies. Assets and liabilities are translated into U.S. dollars using rates of exchange at the balance sheet date. Translation adjustments, which are based upon the exchange rate at the balance sheet date for assets and liabilities and the weighted average rate for the income statement, are recorded in accumulated comprehensive loss in stockholders’ equity on the Consolidated Balance Sheets. Our Argentine subsidiary operates under a highly inflationary economy and uses the Chilean Peso as the functional currency. Transaction gains and losses are recorded in other non-operating items on the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Costs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Advertising costs of $40 million, $37 million, and $25 million in 2025, 2024, and 2023, respectively, are principally expensed as incurred and included as part of selling, general, and administrative expenses within our Consolidated Statements of Income. Advertising costs include product displays, media production costs, agency fees, sponsorships, and cooperating advertising.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Operating Credits and Charges, Net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classify amounts unrelated to ongoing core operating activities as other operating credits and charges, net in the Consolidated Statements of Income. Such items include, but are not limited to, restructuring charges (including severance charges), business exit credits and charges, charges to establish and maintain litigation or environmental reserves, product reserves, gains or losses from settlements with governmental or other organizations, and gains or losses on the sale or disposal of long-lived assets. Due to the nature of these items, amounts in the income statement can fluctuate from year to year. The determination of which items are considered significant and unrelated to core operations is based upon management’s judgment.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Benefits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are required to use actuarial methods and assumptions in the valuation of defined benefit obligations and the determination of expense. Actuarial gains or losses, curtailments, prior service costs or credits, and transition obligations not previously recognized are recorded as a component of accumulated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Comprehensive income consists of net income and other gains and losses affecting stockholders’ equity that are excluded from net income, including foreign currency translation adjustments and costs associated with pension or other post-retirement benefits that have not been recognized as components of net periodic benefit costs and is presented in the accompanying Consolidated Statements of Comprehensive Income.</w:t>
      </w:r>
    </w:p>
    <w:p>
      <w:pPr>
        <w:spacing w:after="0" w:line="58" w:lineRule="exact"/>
        <w:rPr>
          <w:sz w:val="20"/>
          <w:szCs w:val="20"/>
          <w:color w:val="auto"/>
        </w:rPr>
      </w:pPr>
    </w:p>
    <w:p>
      <w:pPr>
        <w:ind w:right="5460" w:firstLine="3"/>
        <w:spacing w:after="0" w:line="379" w:lineRule="auto"/>
        <w:tabs>
          <w:tab w:leader="none" w:pos="301"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PRESENT AND PROSPECTIVE ACCOUNTING PRONOUNCEMENTS Recently Adopted Accounting Pronouncements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 (Topic 740): Improvements to Income Tax Disclosures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Income Taxes (Topic 740): Improvements to Income Tax Disclosures, which focuses on the rate reconciliation and income taxes paid. ASU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This pronouncement is effective for fiscal years beginning after December 15, 2024, with early adoption permitted. We have adopted ASU 2023-09 for the year ended December 31, 2025, on a prospective basis. See “Note 6 - Income Taxes” of the Notes to the Consolidated Financial Statements included in Item 8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Pronouncements Not Yet Adopted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Statement (Subtopic 220-40): Disaggregation of Income Statement Expenses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which requires entities to provide more detailed disaggregation of expenses in the income statement, focusing on the nature of the expenses rather than their function. ASU 2024-03 will require entities to separately present expenses for significant line items, including but not limited to, depreciation, amortization, and employee compensation.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This pronouncement is effective for fiscal years beginning after December 15, 2026, and interim periods within fiscal years beginning after December 15, 2027, with early adoption permitted. We are currently evaluating the impact of adopting this ASU on our consolidated financial statements and related disclosures.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Intangibles - Goodwill and Other-Internal-Use Software (Subtopic 350-40): Targeted Improvements to the Accounting for Internal-Use Software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modernizes the accounting for costs related to internal-use software by removing all references to project stages and clarifying the threshold entities apply to begin capitalizing costs. The guidance is effective for annual reporting periods beginning after December 15, 2027, and interim reporting periods within those annual reporting periods, and may be applied using a prospective, retrospective or modified transition approach. Early adoption is permitted as of the beginning of an annual reporting period. We are currently evaluating the impact of adopting this ASU on our consolidated financial statements and related disclosures.</w:t>
      </w:r>
    </w:p>
    <w:p>
      <w:pPr>
        <w:spacing w:after="0" w:line="1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REVENUE</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conducts business through three operating segments: Siding, OSB and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 See “Note 15 - Segment Information” of the Notes to the Consolidated Financial Statements included in Item 8 of this annual report on Form 10-K for further information regarding our reportable segments.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revenues disaggregated by revenue source (dollar amounts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Siding</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w:t>
            </w:r>
          </w:p>
        </w:tc>
      </w:tr>
      <w:tr>
        <w:trPr>
          <w:trHeight w:val="203"/>
        </w:trPr>
        <w:tc>
          <w:tcPr>
            <w:tcW w:w="6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 attributable to Siding</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1,558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1,328</w:t>
            </w: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OSB - Structural Solutions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r>
      <w:tr>
        <w:trPr>
          <w:trHeight w:val="20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OSB - Commodity</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w:t>
            </w:r>
          </w:p>
        </w:tc>
      </w:tr>
      <w:tr>
        <w:trPr>
          <w:trHeight w:val="203"/>
        </w:trPr>
        <w:tc>
          <w:tcPr>
            <w:tcW w:w="6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 attributable to OSB</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1,026</w:t>
            </w:r>
          </w:p>
        </w:tc>
      </w:tr>
      <w:tr>
        <w:trPr>
          <w:trHeight w:val="203"/>
        </w:trPr>
        <w:tc>
          <w:tcPr>
            <w:tcW w:w="6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w:t>
            </w:r>
          </w:p>
        </w:tc>
      </w:tr>
      <w:tr>
        <w:trPr>
          <w:trHeight w:val="22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Sales</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2,941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2,581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Revenue is recognized when obligations under the terms of a contract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2025, 2024, and 2023, our top ten customers accounted for approximately 47%, 49%, and 50% of our sales, respectively, in the aggregate. No individual customer exceeded 10% of our sales in 2025, 2024, or 2023.</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 As of December 31, 2025 and 2024, we accrued $50 million and $48 million, respectively, for customer rebates recorded in accounts payable and accrued liabilities on our Consolidated Balance Sheets.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 The amount of consignment inventory as of December 31, 2025 and 2024, was $18 million and $23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24" w:lineRule="exact"/>
        <w:rPr>
          <w:sz w:val="20"/>
          <w:szCs w:val="20"/>
          <w:color w:val="auto"/>
        </w:rPr>
      </w:pPr>
    </w:p>
    <w:p>
      <w:pPr>
        <w:ind w:left="340" w:hanging="337"/>
        <w:spacing w:after="0"/>
        <w:tabs>
          <w:tab w:leader="none" w:pos="3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Basic earnings per share is based on the weighted average number of shares of common stock outstanding. Diluted earnings per share is based upon the weighted 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SSARs, restricted stock or units, and performance stock units) be excluded from the calculation of diluted earnings per share for the periods in which losses from continuing operations are reported because the effect is anti-dilutive.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(dollar and share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06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4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258"/>
        </w:trPr>
        <w:tc>
          <w:tcPr>
            <w:tcW w:w="6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Dilutive effect of employee stock plans</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4"/>
        </w:trPr>
        <w:tc>
          <w:tcPr>
            <w:tcW w:w="6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Shares used for diluted earnings per share</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Net income per share of common stock:</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38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Basic</w:t>
            </w:r>
          </w:p>
        </w:tc>
        <w:tc>
          <w:tcPr>
            <w:tcW w:w="106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196"/>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1060" w:type="dxa"/>
            <w:vAlign w:val="bottom"/>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48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40" w:hanging="337"/>
        <w:spacing w:after="0"/>
        <w:tabs>
          <w:tab w:leader="none" w:pos="3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EXIT CREDITS AND CHARGES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second quarter of 2023, we ceased the manufacturing operations of Entekra, an off-site framing operation previously reported within Other, which comprises other products that are not individually significant. During 2024, the equity method investment held by Entekra sold substantially all of its net assets resulting in a $16 million distribution to LP and a gain of $11 million, which was recorded within equity in unconsolidated affiliate on the Consolidated Statements of Income. Business exit credits and charges, net consisted of the following (dollar amounts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5"/>
                <w:szCs w:val="15"/>
                <w:color w:val="auto"/>
              </w:rPr>
              <w:t>Impairment of property, plant and equipment, operating lease assets, and other intangible assets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6"/>
        </w:trPr>
        <w:tc>
          <w:tcPr>
            <w:tcW w:w="638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Gain on sale of assets from an equity method investment</w:t>
            </w:r>
            <w:r>
              <w:rPr>
                <w:rFonts w:ascii="Times New Roman" w:cs="Times New Roman" w:eastAsia="Times New Roman" w:hAnsi="Times New Roman"/>
                <w:sz w:val="20"/>
                <w:szCs w:val="20"/>
                <w:color w:val="auto"/>
                <w:vertAlign w:val="superscript"/>
              </w:rPr>
              <w:t>2</w:t>
            </w:r>
          </w:p>
        </w:tc>
        <w:tc>
          <w:tcPr>
            <w:tcW w:w="114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Restructuring and other related charges:</w:t>
            </w: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63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Inventory write-down</w:t>
            </w:r>
            <w:r>
              <w:rPr>
                <w:rFonts w:ascii="Times New Roman" w:cs="Times New Roman" w:eastAsia="Times New Roman" w:hAnsi="Times New Roman"/>
                <w:sz w:val="20"/>
                <w:szCs w:val="20"/>
                <w:color w:val="auto"/>
                <w:vertAlign w:val="superscript"/>
              </w:rPr>
              <w:t>3</w:t>
            </w:r>
          </w:p>
        </w:tc>
        <w:tc>
          <w:tcPr>
            <w:tcW w:w="114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6"/>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Other operating credits and charges including personnel-related costs such as severance</w:t>
            </w:r>
            <w:r>
              <w:rPr>
                <w:rFonts w:ascii="Times New Roman" w:cs="Times New Roman" w:eastAsia="Times New Roman" w:hAnsi="Times New Roman"/>
                <w:sz w:val="20"/>
                <w:szCs w:val="20"/>
                <w:color w:val="auto"/>
                <w:vertAlign w:val="superscript"/>
              </w:rPr>
              <w:t>4</w:t>
            </w:r>
          </w:p>
        </w:tc>
        <w:tc>
          <w:tcPr>
            <w:tcW w:w="1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business exit credits and charges</w:t>
            </w:r>
          </w:p>
        </w:tc>
        <w:tc>
          <w:tcPr>
            <w:tcW w:w="114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20"/>
        </w:trPr>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80" w:hanging="77"/>
        <w:spacing w:after="0"/>
        <w:tabs>
          <w:tab w:leader="none" w:pos="8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loss on impairments on the Consolidated Statements of Income.</w:t>
      </w:r>
    </w:p>
    <w:p>
      <w:pPr>
        <w:ind w:left="80" w:hanging="77"/>
        <w:spacing w:after="0" w:line="209" w:lineRule="auto"/>
        <w:tabs>
          <w:tab w:leader="none" w:pos="8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equity in unconsolidated affiliates on the Consolidated Statements of Income.</w:t>
      </w:r>
    </w:p>
    <w:p>
      <w:pPr>
        <w:spacing w:after="0" w:line="16" w:lineRule="exact"/>
        <w:rPr>
          <w:rFonts w:ascii="Times New Roman" w:cs="Times New Roman" w:eastAsia="Times New Roman" w:hAnsi="Times New Roman"/>
          <w:sz w:val="18"/>
          <w:szCs w:val="18"/>
          <w:color w:val="auto"/>
          <w:vertAlign w:val="superscript"/>
        </w:rPr>
      </w:pPr>
    </w:p>
    <w:p>
      <w:pPr>
        <w:spacing w:after="0" w:line="205"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 xml:space="preserve"> Included within cost of sales on the Consolidated Statements of Income.</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4</w:t>
      </w:r>
      <w:r>
        <w:rPr>
          <w:rFonts w:ascii="Times New Roman" w:cs="Times New Roman" w:eastAsia="Times New Roman" w:hAnsi="Times New Roman"/>
          <w:sz w:val="14"/>
          <w:szCs w:val="14"/>
          <w:color w:val="auto"/>
        </w:rPr>
        <w:t xml:space="preserve"> Included within other operating credits and charges, net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2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INCOME TAXES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income from continuing operations before income taxes, including equity in unconsolidated affiliates, were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Domestic</w:t>
            </w: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163</w:t>
            </w:r>
          </w:p>
        </w:tc>
        <w:tc>
          <w:tcPr>
            <w:tcW w:w="4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26"/>
        </w:trPr>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0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our income tax provision (benefit) from continuing operations were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Current tax provision (benefit):</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 federal</w:t>
            </w: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State and local</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2"/>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Net current tax provision</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r>
      <w:tr>
        <w:trPr>
          <w:trHeight w:val="205"/>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Deferred tax provision (benefit):</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federal</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and local</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valuation allowance increase (decrease)</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deferred tax provision (benefit)</w:t>
            </w:r>
          </w:p>
        </w:tc>
        <w:tc>
          <w:tcPr>
            <w:tcW w:w="1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r>
      <w:tr>
        <w:trPr>
          <w:trHeight w:val="198"/>
        </w:trPr>
        <w:tc>
          <w:tcPr>
            <w:tcW w:w="63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income tax provision</w:t>
            </w:r>
          </w:p>
        </w:tc>
        <w:tc>
          <w:tcPr>
            <w:tcW w:w="110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74</w:t>
            </w:r>
          </w:p>
        </w:tc>
      </w:tr>
      <w:tr>
        <w:trPr>
          <w:trHeight w:val="20"/>
        </w:trPr>
        <w:tc>
          <w:tcPr>
            <w:tcW w:w="6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tax effects of significant temporary differences creating deferred tax assets and liabilities were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201"/>
        </w:trPr>
        <w:tc>
          <w:tcPr>
            <w:tcW w:w="80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assets:</w:t>
            </w:r>
          </w:p>
        </w:tc>
        <w:tc>
          <w:tcPr>
            <w:tcW w:w="1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Benefit relating to capital loss, operating loss, and credit carryforwards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Inventories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Currency remeasurement loss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revenue</w:t>
            </w:r>
          </w:p>
        </w:tc>
        <w:tc>
          <w:tcPr>
            <w:tcW w:w="10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expenditures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deferred tax assets</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2"/>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deferred tax assets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w:t>
            </w:r>
          </w:p>
        </w:tc>
      </w:tr>
      <w:tr>
        <w:trPr>
          <w:trHeight w:val="20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Valuation allowance</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26"/>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deferred tax asset net of valuation allowance</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8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Deferred tax liabilities: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Unremitted foreign earnings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deferred tax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8"/>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Total deferred tax liabilities</w:t>
            </w: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(222)</w:t>
            </w:r>
          </w:p>
        </w:tc>
      </w:tr>
      <w:tr>
        <w:trPr>
          <w:trHeight w:val="22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deferred tax liabilities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8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sheet classification:</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80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Long-term deferred tax asset</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9"/>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Long-term deferred tax liability</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198"/>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deferred tax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(169)</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benefit relating to capital loss, operating loss, and credit carryforwards included in the above table at December 31, 2025, consisted of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Benefit 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Valuation Allowance</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Expiration Beginning</w:t>
            </w:r>
          </w:p>
        </w:tc>
        <w:tc>
          <w:tcPr>
            <w:tcW w:w="0" w:type="dxa"/>
            <w:vAlign w:val="bottom"/>
          </w:tcPr>
          <w:p>
            <w:pPr>
              <w:spacing w:after="0"/>
              <w:rPr>
                <w:sz w:val="1"/>
                <w:szCs w:val="1"/>
                <w:color w:val="auto"/>
              </w:rPr>
            </w:pPr>
          </w:p>
        </w:tc>
      </w:tr>
      <w:tr>
        <w:trPr>
          <w:trHeight w:val="123"/>
        </w:trPr>
        <w:tc>
          <w:tcPr>
            <w:tcW w:w="48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in</w:t>
            </w:r>
          </w:p>
        </w:tc>
        <w:tc>
          <w:tcPr>
            <w:tcW w:w="0" w:type="dxa"/>
            <w:vAlign w:val="bottom"/>
          </w:tcPr>
          <w:p>
            <w:pPr>
              <w:spacing w:after="0"/>
              <w:rPr>
                <w:sz w:val="1"/>
                <w:szCs w:val="1"/>
                <w:color w:val="auto"/>
              </w:rPr>
            </w:pPr>
          </w:p>
        </w:tc>
      </w:tr>
      <w:tr>
        <w:trPr>
          <w:trHeight w:val="82"/>
        </w:trPr>
        <w:tc>
          <w:tcPr>
            <w:tcW w:w="484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Federal credit carryforwards</w:t>
            </w:r>
          </w:p>
        </w:tc>
        <w:tc>
          <w:tcPr>
            <w:tcW w:w="130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30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No expiration</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credit carryforwards</w:t>
            </w:r>
          </w:p>
        </w:tc>
        <w:tc>
          <w:tcPr>
            <w:tcW w:w="13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2034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Canadian capital loss carryforwards</w:t>
            </w:r>
          </w:p>
        </w:tc>
        <w:tc>
          <w:tcPr>
            <w:tcW w:w="1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No expiration</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Chile foreign tax credit carryforwards</w:t>
            </w:r>
          </w:p>
        </w:tc>
        <w:tc>
          <w:tcPr>
            <w:tcW w:w="13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 expiration</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operating loss carryforwards</w:t>
            </w:r>
          </w:p>
        </w:tc>
        <w:tc>
          <w:tcPr>
            <w:tcW w:w="1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2030</w:t>
            </w:r>
          </w:p>
        </w:tc>
        <w:tc>
          <w:tcPr>
            <w:tcW w:w="0" w:type="dxa"/>
            <w:vAlign w:val="bottom"/>
          </w:tcPr>
          <w:p>
            <w:pPr>
              <w:spacing w:after="0"/>
              <w:rPr>
                <w:sz w:val="1"/>
                <w:szCs w:val="1"/>
                <w:color w:val="auto"/>
              </w:rPr>
            </w:pPr>
          </w:p>
        </w:tc>
      </w:tr>
      <w:tr>
        <w:trPr>
          <w:trHeight w:val="198"/>
        </w:trPr>
        <w:tc>
          <w:tcPr>
            <w:tcW w:w="4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0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5"/>
                <w:szCs w:val="15"/>
                <w:b w:val="1"/>
                <w:bCs w:val="1"/>
                <w:color w:val="auto"/>
              </w:rPr>
              <w:t>(8)</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periodically review the need for valuation allowances against deferred tax assets and recognize these deferred tax assets to the extent that their realization is more likely than not. As part of our review, we consider all positive and negative evidence, including earnings history, the future reversal of deferred tax liabilities, and the relevant expirations of carryforwards. We believe that the valuation allowances provided are appropriate. If future years’ earnings differ from the estimates used to establish these valuation allowances, or other objective positive or negative evidence arises, we may record an adjustment to the valuation allowance resulting in an impact on tax provision (benefit) for that period.</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2023 we made the determination that a substantial portion of unremitted foreign earnings was no longer indefinitely reinvested and as of December 31, 2023, we recorded a deferred tax liability of $21 million related to the taxes expected to be imposed upon the repatriation of such foreign earnings to the United States. As of December 31, 2025, and 2024, the deferred tax liability related to unremitted foreign earnings was $25 million and $19 million, respectively.</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(OECD) announced an Inclusive Framework on Base Erosion and Profit Shifting, including the Pillar Two Model Rules (Pillar Two), applicable to large multinational corporations. These rules establish a global per-country minimum tax of 15%. Although, the United States has not enacted legislation to adopt the Pillar Two framework, and future adoption remains uncertain, certain countries where our operations are conducted have enacted such legislation.</w:t>
      </w:r>
    </w:p>
    <w:p>
      <w:pPr>
        <w:spacing w:after="0" w:line="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Specifically, the Canadian and Brazilian governments enacted legislation in 2024 implementing certain aspects of the OECD’s minimum tax rules under the Pillar Two Framework. To date, no other jurisdictions in which LP operates have enacted Pillar Two legislation. At this time, Pillar Two legislation is not expected to have a material impact on the Company’s effective tax rate, consolidated results of operations, financial position, or cash flows. The Company will continue to monitor future developments related to Pillar Two legislation to assess any potential impact in the relevant jurisdictions.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July 4, 2025, H.R. 1, a bill to provide for reconciliation pursuant to title II of H. Con. Res. 14, informally known as the One Big Beautiful Bill Act (“The Tax Act”), was enacted in the U.S., introducing a series of corporate tax changes in the U.S., including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thereafter through 2027. The provisions of The Tax Act effective in 2025 include 100% bonus depreciation on qualified property and full expensing for research and experimental expenditures. The impacts of The Tax Act are reflected in our results for the year ended December 31, 2025, and have no material impact on our income tax expense or effective tax rate. Certain provisions of The Tax Act decreased cash taxes paid during the year and may change the timing of cash tax payments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the U.S. Federal Statutory Rate to the Effective Rate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further described in “Note 2 - Present and Prospective Accounting Pronouncements,” the Company has elected to prospectively adopt the guidance in ASU 2023-09, Income Taxes (Topic 740): Improvements to Income Taxes Disclosures. The following table is a reconciliation of the U.S. federal statutory tax rate to the total effective tax rates from continuing operations for the year ended December 31, 2025 in accordance with the guidance in ASU 2023-09 (dollar amounts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940" w:type="dxa"/>
            <w:vAlign w:val="bottom"/>
            <w:tcBorders>
              <w:bottom w:val="single" w:sz="8" w:color="auto"/>
            </w:tcBorders>
            <w:gridSpan w:val="4"/>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r>
      <w:tr>
        <w:trPr>
          <w:trHeight w:val="201"/>
        </w:trPr>
        <w:tc>
          <w:tcPr>
            <w:tcW w:w="79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auto"/>
            </w:tcBorders>
          </w:tcPr>
          <w:p>
            <w:pPr>
              <w:spacing w:after="0"/>
              <w:rPr>
                <w:sz w:val="17"/>
                <w:szCs w:val="17"/>
                <w:color w:val="auto"/>
              </w:rPr>
            </w:pPr>
          </w:p>
        </w:tc>
      </w:tr>
      <w:tr>
        <w:trPr>
          <w:trHeight w:val="199"/>
        </w:trPr>
        <w:tc>
          <w:tcPr>
            <w:tcW w:w="79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Amount ($)</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b w:val="1"/>
                <w:bCs w:val="1"/>
                <w:color w:val="auto"/>
              </w:rPr>
              <w:t>Percent (%)</w:t>
            </w:r>
          </w:p>
        </w:tc>
        <w:tc>
          <w:tcPr>
            <w:tcW w:w="400" w:type="dxa"/>
            <w:vAlign w:val="bottom"/>
            <w:tcBorders>
              <w:bottom w:val="single" w:sz="8" w:color="auto"/>
            </w:tcBorders>
          </w:tcPr>
          <w:p>
            <w:pPr>
              <w:spacing w:after="0"/>
              <w:rPr>
                <w:sz w:val="17"/>
                <w:szCs w:val="17"/>
                <w:color w:val="auto"/>
              </w:rPr>
            </w:pPr>
          </w:p>
        </w:tc>
      </w:tr>
      <w:tr>
        <w:trPr>
          <w:trHeight w:val="20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U.S. federal statutory tax rate</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41</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21 %</w:t>
            </w:r>
          </w:p>
        </w:tc>
      </w:tr>
      <w:tr>
        <w:trPr>
          <w:trHeight w:val="206"/>
        </w:trPr>
        <w:tc>
          <w:tcPr>
            <w:tcW w:w="790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b w:val="1"/>
                <w:bCs w:val="1"/>
                <w:color w:val="auto"/>
              </w:rPr>
              <w:t>State and local income taxes</w:t>
            </w:r>
            <w:r>
              <w:rPr>
                <w:rFonts w:ascii="Times New Roman" w:cs="Times New Roman" w:eastAsia="Times New Roman" w:hAnsi="Times New Roman"/>
                <w:sz w:val="20"/>
                <w:szCs w:val="20"/>
                <w:b w:val="1"/>
                <w:bCs w:val="1"/>
                <w:color w:val="auto"/>
                <w:vertAlign w:val="superscript"/>
              </w:rPr>
              <w:t>1</w:t>
            </w:r>
          </w:p>
        </w:tc>
        <w:tc>
          <w:tcPr>
            <w:tcW w:w="1240" w:type="dxa"/>
            <w:vAlign w:val="bottom"/>
          </w:tcPr>
          <w:p>
            <w:pPr>
              <w:spacing w:after="0"/>
              <w:rPr>
                <w:sz w:val="17"/>
                <w:szCs w:val="17"/>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w:t>
            </w: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Foreign tax effects</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3"/>
        </w:trPr>
        <w:tc>
          <w:tcPr>
            <w:tcW w:w="7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Chile</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9"/>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Unremitted foreign earnings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w:t>
            </w:r>
          </w:p>
        </w:tc>
      </w:tr>
      <w:tr>
        <w:trPr>
          <w:trHeight w:val="203"/>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Inflationary adjustments</w:t>
            </w:r>
          </w:p>
        </w:tc>
        <w:tc>
          <w:tcPr>
            <w:tcW w:w="1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Canada</w:t>
            </w:r>
          </w:p>
        </w:tc>
        <w:tc>
          <w:tcPr>
            <w:tcW w:w="1240" w:type="dxa"/>
            <w:vAlign w:val="bottom"/>
          </w:tcPr>
          <w:p>
            <w:pPr>
              <w:spacing w:after="0"/>
              <w:rPr>
                <w:sz w:val="17"/>
                <w:szCs w:val="17"/>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Argentina</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3"/>
        </w:trPr>
        <w:tc>
          <w:tcPr>
            <w:tcW w:w="79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valuation allowances</w:t>
            </w:r>
          </w:p>
        </w:tc>
        <w:tc>
          <w:tcPr>
            <w:tcW w:w="1240" w:type="dxa"/>
            <w:vAlign w:val="bottom"/>
          </w:tcPr>
          <w:p>
            <w:pPr>
              <w:spacing w:after="0"/>
              <w:rPr>
                <w:sz w:val="17"/>
                <w:szCs w:val="17"/>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7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foreign jurisdictions</w:t>
            </w:r>
          </w:p>
        </w:tc>
        <w:tc>
          <w:tcPr>
            <w:tcW w:w="1240" w:type="dxa"/>
            <w:vAlign w:val="bottom"/>
          </w:tcPr>
          <w:p>
            <w:pPr>
              <w:spacing w:after="0"/>
              <w:rPr>
                <w:sz w:val="17"/>
                <w:szCs w:val="17"/>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U.S. Tax credits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3"/>
        </w:trPr>
        <w:tc>
          <w:tcPr>
            <w:tcW w:w="7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Research and development tax credits</w:t>
            </w:r>
          </w:p>
        </w:tc>
        <w:tc>
          <w:tcPr>
            <w:tcW w:w="1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U.S. Nontaxable or nondeductible items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03"/>
        </w:trPr>
        <w:tc>
          <w:tcPr>
            <w:tcW w:w="7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Nondeductible compensation</w:t>
            </w:r>
          </w:p>
        </w:tc>
        <w:tc>
          <w:tcPr>
            <w:tcW w:w="1240" w:type="dxa"/>
            <w:vAlign w:val="bottom"/>
          </w:tcPr>
          <w:p>
            <w:pPr>
              <w:spacing w:after="0"/>
              <w:rPr>
                <w:sz w:val="17"/>
                <w:szCs w:val="17"/>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Changes in unrecognized tax benefits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w:t>
            </w:r>
          </w:p>
        </w:tc>
      </w:tr>
      <w:tr>
        <w:trPr>
          <w:trHeight w:val="227"/>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Provision for income taxes</w:t>
            </w:r>
          </w:p>
        </w:tc>
        <w:tc>
          <w:tcPr>
            <w:tcW w:w="1240" w:type="dxa"/>
            <w:vAlign w:val="bottom"/>
            <w:tcBorders>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State taxes in Arizona, California, Georgia, Indiana, Maine, Minnesota, North Carolina, and Pennsylvania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is a reconciliation of the U.S. federal statutory tax rate to the total effective tax rates from continuing operations for the years ended December 31, 2024 and 2023 in accordance with the guidance prior to the adoption of ASU 2023-09 (dollar amounts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01"/>
        </w:trPr>
        <w:tc>
          <w:tcPr>
            <w:tcW w:w="45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9"/>
        </w:trPr>
        <w:tc>
          <w:tcPr>
            <w:tcW w:w="45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 ($)</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Percent (%)</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Amount ($)</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Percent (%)</w:t>
            </w:r>
          </w:p>
        </w:tc>
        <w:tc>
          <w:tcPr>
            <w:tcW w:w="160" w:type="dxa"/>
            <w:vAlign w:val="bottom"/>
            <w:tcBorders>
              <w:bottom w:val="single" w:sz="8" w:color="auto"/>
            </w:tcBorders>
          </w:tcPr>
          <w:p>
            <w:pPr>
              <w:spacing w:after="0"/>
              <w:rPr>
                <w:sz w:val="17"/>
                <w:szCs w:val="17"/>
                <w:color w:val="auto"/>
              </w:rPr>
            </w:pPr>
          </w:p>
        </w:tc>
      </w:tr>
      <w:tr>
        <w:trPr>
          <w:trHeight w:val="20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Federal tax rate</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and local income taxes</w:t>
            </w: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7"/>
                <w:szCs w:val="17"/>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foreign tax rates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8"/>
                <w:szCs w:val="18"/>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Uncertain tax positions</w:t>
            </w: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7"/>
                <w:szCs w:val="17"/>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Unremitted foreign earnings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8"/>
                <w:szCs w:val="18"/>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 deductible compensation</w:t>
            </w: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Pr>
          <w:p>
            <w:pPr>
              <w:spacing w:after="0"/>
              <w:rPr>
                <w:sz w:val="17"/>
                <w:szCs w:val="17"/>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credits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8"/>
                <w:szCs w:val="18"/>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Prior year changes in tax laws and positions</w:t>
            </w:r>
          </w:p>
        </w:tc>
        <w:tc>
          <w:tcPr>
            <w:tcW w:w="1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7"/>
                <w:szCs w:val="17"/>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Revisions to prior year estimates</w:t>
            </w:r>
          </w:p>
        </w:tc>
        <w:tc>
          <w:tcPr>
            <w:tcW w:w="11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3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CEEFF"/>
          </w:tcPr>
          <w:p>
            <w:pPr>
              <w:spacing w:after="0"/>
              <w:rPr>
                <w:sz w:val="18"/>
                <w:szCs w:val="18"/>
                <w:color w:val="auto"/>
              </w:rPr>
            </w:pPr>
          </w:p>
        </w:tc>
      </w:tr>
      <w:tr>
        <w:trPr>
          <w:trHeight w:val="20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items, net</w:t>
            </w:r>
          </w:p>
        </w:tc>
        <w:tc>
          <w:tcPr>
            <w:tcW w:w="1180" w:type="dxa"/>
            <w:vAlign w:val="bottom"/>
          </w:tcPr>
          <w:p>
            <w:pPr>
              <w:spacing w:after="0"/>
              <w:rPr>
                <w:sz w:val="17"/>
                <w:szCs w:val="17"/>
                <w:color w:val="auto"/>
              </w:rPr>
            </w:pPr>
          </w:p>
        </w:tc>
        <w:tc>
          <w:tcPr>
            <w:tcW w:w="1700" w:type="dxa"/>
            <w:vAlign w:val="bottom"/>
            <w:gridSpan w:val="3"/>
          </w:tcPr>
          <w:p>
            <w:pPr>
              <w:jc w:val="right"/>
              <w:ind w:right="13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7"/>
                <w:szCs w:val="17"/>
                <w:color w:val="auto"/>
              </w:rPr>
            </w:pPr>
          </w:p>
        </w:tc>
      </w:tr>
      <w:tr>
        <w:trPr>
          <w:trHeight w:val="226"/>
        </w:trPr>
        <w:tc>
          <w:tcPr>
            <w:tcW w:w="4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Provision for income taxes</w:t>
            </w: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29 %</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subject to U.S. federal income tax as well as income taxes of multiple state jurisdictions. Our foreign subsidiaries are subject to income tax in Canada, Chile, Brazil, Peru, Colombia, Argentina, Paraguay, and Mexico.</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generally remain subject to U.S. federal and state examinations for tax years 2018 and subsequent. In addition to the U.S., we have tax years that remain open and subject to examination by tax authorities in the following major tax jurisdictions: Brazil and Chile for tax years 2017 and subsequent; and Canada for tax years 2020 and subsequent. Our tax returns are currently under examination by tax authorities in the U.S. for years 2022 and 2023, Canada for year 2022, and in Chile for years 2016 and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summary of income taxes paid (net of refunds) by jurisdiction pursuant to the disclosure requirements of ASU 2023-09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(dollar amounts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1"/>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0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Federal</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3"/>
        </w:trPr>
        <w:tc>
          <w:tcPr>
            <w:tcW w:w="9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3"/>
        </w:trPr>
        <w:tc>
          <w:tcPr>
            <w:tcW w:w="9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Canada</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9"/>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Chile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3"/>
        </w:trPr>
        <w:tc>
          <w:tcPr>
            <w:tcW w:w="9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Brazil</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9"/>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9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Tax Payments</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w:t>
            </w:r>
          </w:p>
        </w:tc>
      </w:tr>
      <w:tr>
        <w:trPr>
          <w:trHeight w:val="20"/>
        </w:trPr>
        <w:tc>
          <w:tcPr>
            <w:tcW w:w="9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paid income taxes, net of refunds, of $42 million, $124 million, and $65 million during 2025, 2024, and 2023, respectively. Included in our Consolidated Balance Sheet at December 31, 2025 is a net income tax receivable of $11 million, compared to $1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 Tax Positions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tabular reconciliation of the total amount of unrecognized tax benefits at the beginning and end of the years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4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Increases: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Tax positions taken in current year</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Tax positions taken in prior years</w:t>
            </w:r>
          </w:p>
        </w:tc>
        <w:tc>
          <w:tcPr>
            <w:tcW w:w="1140" w:type="dxa"/>
            <w:vAlign w:val="bottom"/>
          </w:tcPr>
          <w:p>
            <w:pPr>
              <w:spacing w:after="0"/>
              <w:rPr>
                <w:sz w:val="17"/>
                <w:szCs w:val="17"/>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Decreases: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Settlements with taxing authorities in current year</w:t>
            </w:r>
          </w:p>
        </w:tc>
        <w:tc>
          <w:tcPr>
            <w:tcW w:w="1140" w:type="dxa"/>
            <w:vAlign w:val="bottom"/>
          </w:tcPr>
          <w:p>
            <w:pPr>
              <w:spacing w:after="0"/>
              <w:rPr>
                <w:sz w:val="17"/>
                <w:szCs w:val="17"/>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Lapse of statute in current year</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140" w:type="dxa"/>
            <w:vAlign w:val="bottom"/>
            <w:tcBorders>
              <w:top w:val="single" w:sz="8" w:color="auto"/>
              <w:bottom w:val="single" w:sz="8" w:color="auto"/>
            </w:tcBorders>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r>
      <w:tr>
        <w:trPr>
          <w:trHeight w:val="20"/>
        </w:trPr>
        <w:tc>
          <w:tcPr>
            <w:tcW w:w="6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Included within other long-term liabilities on our Consolidated Balance Sheets at December 31, 2025, are $4 million of tax benefits that, if recognized, would affect our effective tax rate. We accrued and paid no interest during 2025 or 2024.</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LEASES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lease portfolio consists primarily of real estate, mobile equipment at our manufacturing facilities, rail cars to transport our products, and a fleet of vehicles. We determine if an arrangement is a lease at contract inception. A lease exists when a contract conveys to the customer the right to control the use of identified property, plant, or equipment for a period of time in exchange for consideration.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used our incremental borrowing rate based on the information available at the commencement date in determining the present value of lease payments. The lease term for all our leases includes the non-cancellable period of the lease plus any additional periods covered by either an option to extend (or not to terminate) the lease that we are reasonably certain to exercise, or an option to extend (or not to terminate) the lease controlled by the lessor.</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the years ended December 31, 2025 and 2024, our weighted average discount rate was 4%, and our weighted average remaining lease term was five years for operating leases.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leases are included in our Consolidated Balance Sheets and Consolidated Statements of Income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tcPr>
          <w:p>
            <w:pPr>
              <w:spacing w:after="0"/>
              <w:rPr>
                <w:sz w:val="17"/>
                <w:szCs w:val="17"/>
                <w:color w:val="auto"/>
              </w:rPr>
            </w:pPr>
          </w:p>
        </w:tc>
        <w:tc>
          <w:tcPr>
            <w:tcW w:w="3880" w:type="dxa"/>
            <w:vAlign w:val="bottom"/>
            <w:gridSpan w:val="2"/>
          </w:tcPr>
          <w:p>
            <w:pPr>
              <w:ind w:left="960"/>
              <w:spacing w:after="0"/>
              <w:rPr>
                <w:sz w:val="20"/>
                <w:szCs w:val="20"/>
                <w:color w:val="auto"/>
              </w:rPr>
            </w:pPr>
            <w:r>
              <w:rPr>
                <w:rFonts w:ascii="Times New Roman" w:cs="Times New Roman" w:eastAsia="Times New Roman" w:hAnsi="Times New Roman"/>
                <w:sz w:val="15"/>
                <w:szCs w:val="15"/>
                <w:b w:val="1"/>
                <w:bCs w:val="1"/>
                <w:color w:val="auto"/>
              </w:rPr>
              <w:t>Balance Sheet Classification</w:t>
            </w:r>
          </w:p>
        </w:tc>
        <w:tc>
          <w:tcPr>
            <w:tcW w:w="360" w:type="dxa"/>
            <w:vAlign w:val="bottom"/>
          </w:tcPr>
          <w:p>
            <w:pPr>
              <w:spacing w:after="0"/>
              <w:rPr>
                <w:sz w:val="17"/>
                <w:szCs w:val="17"/>
                <w:color w:val="auto"/>
              </w:rPr>
            </w:pPr>
          </w:p>
        </w:tc>
        <w:tc>
          <w:tcPr>
            <w:tcW w:w="120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87"/>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3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Operating lease assets</w:t>
            </w: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Operating lease assets, net</w:t>
            </w: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26"/>
        </w:trPr>
        <w:tc>
          <w:tcPr>
            <w:tcW w:w="4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lease assets</w:t>
            </w:r>
          </w:p>
        </w:tc>
        <w:tc>
          <w:tcPr>
            <w:tcW w:w="3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6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Current operating lease liability</w:t>
            </w: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Non-current operating lease liability</w:t>
            </w: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26"/>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Total lease liabilities</w:t>
            </w:r>
          </w:p>
        </w:tc>
        <w:tc>
          <w:tcPr>
            <w:tcW w:w="3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years ended December 31, 2025 and 2024, we incurred operating lease expenses of $9 million and $8 million, respectively, included within costs of sales and selling, general and administrative expenses. We made cash payments of $9 million and $7 million during the years ended December 31, 2025 and 2024, respectively, related to our operating leases. We further incurred operating lease expense of $2 million and $5 million related to short-term rent expense for the years ended December 31, 2025 and 2024, respectively.</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obtained right of use (ROU) assets in exchange for new operating lease liabilities of $5 million and $7 million for the years ended December 31, 2025 and 2024, respectively. We did not enter into any financing leases during 2025 or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minimum operating lease payments that are expected to be made in each of the years indicated (dollar amounts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2026</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2027</w:t>
            </w: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3"/>
        </w:trPr>
        <w:tc>
          <w:tcPr>
            <w:tcW w:w="9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2028</w:t>
            </w:r>
          </w:p>
        </w:tc>
        <w:tc>
          <w:tcPr>
            <w:tcW w:w="9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2029</w:t>
            </w: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9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2030</w:t>
            </w:r>
          </w:p>
        </w:tc>
        <w:tc>
          <w:tcPr>
            <w:tcW w:w="9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2031 and thereafter</w:t>
            </w:r>
          </w:p>
        </w:tc>
        <w:tc>
          <w:tcPr>
            <w:tcW w:w="9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6"/>
        </w:trPr>
        <w:tc>
          <w:tcPr>
            <w:tcW w:w="9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operating lease payments</w:t>
            </w:r>
          </w:p>
        </w:tc>
        <w:tc>
          <w:tcPr>
            <w:tcW w:w="9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Interest</w:t>
            </w:r>
          </w:p>
        </w:tc>
        <w:tc>
          <w:tcPr>
            <w:tcW w:w="9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8"/>
        </w:trPr>
        <w:tc>
          <w:tcPr>
            <w:tcW w:w="9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operating lease liabilities</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r>
      <w:tr>
        <w:trPr>
          <w:trHeight w:val="20"/>
        </w:trPr>
        <w:tc>
          <w:tcPr>
            <w:tcW w:w="9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7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LONG-TERM DEBT</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(Dollar amounts in millions)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Debentures:</w:t>
      </w:r>
    </w:p>
    <w:p>
      <w:pPr>
        <w:spacing w:after="0" w:line="38" w:lineRule="exact"/>
        <w:rPr>
          <w:sz w:val="20"/>
          <w:szCs w:val="20"/>
          <w:color w:val="auto"/>
        </w:rPr>
      </w:pPr>
    </w:p>
    <w:p>
      <w:pPr>
        <w:ind w:left="20" w:right="100"/>
        <w:spacing w:after="0" w:line="251" w:lineRule="auto"/>
        <w:rPr>
          <w:sz w:val="20"/>
          <w:szCs w:val="20"/>
          <w:color w:val="auto"/>
        </w:rPr>
      </w:pPr>
      <w:r>
        <w:rPr>
          <w:rFonts w:ascii="Times New Roman" w:cs="Times New Roman" w:eastAsia="Times New Roman" w:hAnsi="Times New Roman"/>
          <w:sz w:val="15"/>
          <w:szCs w:val="15"/>
          <w:color w:val="auto"/>
        </w:rPr>
        <w:t>Senior unsecured notes, maturing 2029, interest rates fixed</w:t>
      </w:r>
    </w:p>
    <w:p>
      <w:pPr>
        <w:ind w:left="20"/>
        <w:spacing w:after="0" w:line="253" w:lineRule="auto"/>
        <w:rPr>
          <w:sz w:val="20"/>
          <w:szCs w:val="20"/>
          <w:color w:val="auto"/>
        </w:rPr>
      </w:pPr>
      <w:r>
        <w:rPr>
          <w:rFonts w:ascii="Times New Roman" w:cs="Times New Roman" w:eastAsia="Times New Roman" w:hAnsi="Times New Roman"/>
          <w:sz w:val="15"/>
          <w:szCs w:val="15"/>
          <w:color w:val="auto"/>
        </w:rPr>
        <w:t>Amended Credit Facility, maturing 2028, interest rates variable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Interest Rate</w:t>
            </w:r>
          </w:p>
        </w:tc>
        <w:tc>
          <w:tcPr>
            <w:tcW w:w="140" w:type="dxa"/>
            <w:vAlign w:val="bottom"/>
          </w:tcPr>
          <w:p>
            <w:pPr>
              <w:spacing w:after="0"/>
              <w:rPr>
                <w:sz w:val="13"/>
                <w:szCs w:val="13"/>
                <w:color w:val="auto"/>
              </w:rPr>
            </w:pPr>
          </w:p>
        </w:tc>
        <w:tc>
          <w:tcPr>
            <w:tcW w:w="7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Principal</w:t>
            </w:r>
          </w:p>
        </w:tc>
        <w:tc>
          <w:tcPr>
            <w:tcW w:w="120" w:type="dxa"/>
            <w:vAlign w:val="bottom"/>
          </w:tcPr>
          <w:p>
            <w:pPr>
              <w:spacing w:after="0"/>
              <w:rPr>
                <w:sz w:val="13"/>
                <w:szCs w:val="13"/>
                <w:color w:val="auto"/>
              </w:rPr>
            </w:pPr>
          </w:p>
        </w:tc>
        <w:tc>
          <w:tcPr>
            <w:tcW w:w="1380" w:type="dxa"/>
            <w:vAlign w:val="bottom"/>
            <w:gridSpan w:val="3"/>
          </w:tcPr>
          <w:p>
            <w:pPr>
              <w:jc w:val="right"/>
              <w:ind w:right="180"/>
              <w:spacing w:after="0" w:line="151" w:lineRule="exact"/>
              <w:rPr>
                <w:sz w:val="20"/>
                <w:szCs w:val="20"/>
                <w:color w:val="auto"/>
              </w:rPr>
            </w:pPr>
            <w:r>
              <w:rPr>
                <w:rFonts w:ascii="Times New Roman" w:cs="Times New Roman" w:eastAsia="Times New Roman" w:hAnsi="Times New Roman"/>
                <w:sz w:val="15"/>
                <w:szCs w:val="15"/>
                <w:color w:val="auto"/>
              </w:rPr>
              <w:t>Unamortized Debt</w:t>
            </w:r>
          </w:p>
        </w:tc>
        <w:tc>
          <w:tcPr>
            <w:tcW w:w="18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Principal</w:t>
            </w:r>
          </w:p>
        </w:tc>
        <w:tc>
          <w:tcPr>
            <w:tcW w:w="80" w:type="dxa"/>
            <w:vAlign w:val="bottom"/>
          </w:tcPr>
          <w:p>
            <w:pPr>
              <w:spacing w:after="0"/>
              <w:rPr>
                <w:sz w:val="13"/>
                <w:szCs w:val="13"/>
                <w:color w:val="auto"/>
              </w:rPr>
            </w:pPr>
          </w:p>
        </w:tc>
        <w:tc>
          <w:tcPr>
            <w:tcW w:w="136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5"/>
                <w:szCs w:val="15"/>
                <w:color w:val="auto"/>
              </w:rPr>
              <w:t>Unamortized Debt</w:t>
            </w:r>
          </w:p>
        </w:tc>
        <w:tc>
          <w:tcPr>
            <w:tcW w:w="200" w:type="dxa"/>
            <w:vAlign w:val="bottom"/>
          </w:tcPr>
          <w:p>
            <w:pPr>
              <w:spacing w:after="0"/>
              <w:rPr>
                <w:sz w:val="13"/>
                <w:szCs w:val="13"/>
                <w:color w:val="auto"/>
              </w:rPr>
            </w:pPr>
          </w:p>
        </w:tc>
        <w:tc>
          <w:tcPr>
            <w:tcW w:w="68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22"/>
        </w:trPr>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5"/>
                <w:szCs w:val="15"/>
                <w:color w:val="auto"/>
              </w:rPr>
              <w:t>Costs</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Costs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7"/>
        </w:trPr>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3.625%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40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0" w:type="dxa"/>
            <w:vAlign w:val="bottom"/>
          </w:tcPr>
          <w:p>
            <w:pPr>
              <w:spacing w:after="0"/>
              <w:rPr>
                <w:sz w:val="1"/>
                <w:szCs w:val="1"/>
                <w:color w:val="auto"/>
              </w:rPr>
            </w:pPr>
          </w:p>
        </w:tc>
      </w:tr>
      <w:tr>
        <w:trPr>
          <w:trHeight w:val="361"/>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varies</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-535940</wp:posOffset>
            </wp:positionV>
            <wp:extent cx="7138670" cy="130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-175895</wp:posOffset>
            </wp:positionV>
            <wp:extent cx="7138670" cy="229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3400" w:space="80"/>
            <w:col w:w="7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350</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348</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350</w:t>
            </w:r>
          </w:p>
        </w:tc>
        <w:tc>
          <w:tcPr>
            <w:tcW w:w="12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348</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8"/>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Less: current portion</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44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Long-term portion</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20" w:type="dxa"/>
            <w:vAlign w:val="bottom"/>
          </w:tcPr>
          <w:p>
            <w:pPr>
              <w:spacing w:after="0"/>
              <w:rPr>
                <w:sz w:val="17"/>
                <w:szCs w:val="17"/>
                <w:color w:val="auto"/>
              </w:rPr>
            </w:pP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2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20" w:type="dxa"/>
            <w:vAlign w:val="bottom"/>
          </w:tcPr>
          <w:p>
            <w:pPr>
              <w:spacing w:after="0"/>
              <w:rPr>
                <w:sz w:val="17"/>
                <w:szCs w:val="17"/>
                <w:color w:val="auto"/>
              </w:rPr>
            </w:pPr>
          </w:p>
        </w:tc>
        <w:tc>
          <w:tcPr>
            <w:tcW w:w="60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9" w:name="page70"/>
    <w:bookmarkEnd w:id="69"/>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Notes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March 2021, we issued $350 million of 3.625% Senior Notes due in 2029 (the 2029 Senior Notes). Since March 15, 2024, we have had the option, on one or more occasions, to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our ability to grant liens to secure indebtedness, engage in sale and leaseback transactions, merge or consolidate or sell all or substantially all of our assets. If we are subject to a “change of control,” as defined in the indenture governing the 2029 Senior Notes, we are required to offer to repurchase the 2029 Senior Notes at a purchase price equal to 101% of the principal amount thereof plus accrued and unpaid interest, if any, thereon up to, but not including, the date of purchase. The indenture governing the 2029 Senior Notes contains customary events of default, including failure to make required payments on the 2029 Senior Notes, failure to comply with certain agreements or covenants contained in the indenture governing the 2029 Senior Notes,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income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Facilities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On March 26, 2025, LP entered into the First Amendment to Second Amended and Restated Credit Agreement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(the Amended Credit Facility) from $550 million to $750 million,</w:t>
      </w:r>
    </w:p>
    <w:p>
      <w:pPr>
        <w:spacing w:after="0" w:line="2" w:lineRule="exact"/>
        <w:rPr>
          <w:sz w:val="20"/>
          <w:szCs w:val="20"/>
          <w:color w:val="auto"/>
        </w:rPr>
      </w:pPr>
    </w:p>
    <w:p>
      <w:pPr>
        <w:ind w:firstLine="3"/>
        <w:spacing w:after="0" w:line="266" w:lineRule="auto"/>
        <w:tabs>
          <w:tab w:leader="none" w:pos="2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sub-limit for letters of credit from $60 million to $75 million, (3) change the interest rate for revolving borrowing, (4) change the capitalization ratio limit, and (5) extend the maturity date to March 26, 2032.</w:t>
      </w:r>
    </w:p>
    <w:p>
      <w:pPr>
        <w:spacing w:after="0" w:line="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were no outstanding borrowings pursuant to the Amended Credit Facility as of December 31, 2025. Revolving borrowings under the Amended Credit Facility accrue interest, at our option, at either (a) a “base rate” plus a margin of 0.500% to 1.500% or (b) Adjusted Term SOFR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Term SOFR Rate plus an adjustment of 0.10%) plus a margin of 1.500% to 2.500%. The Amended Credit Facility also includes an unused commitment fee, due quarterly, ranging from 0.200% to 0.425%. The applicable margins and fees within these ranges are based on our ratio of consolidated earnings before interest, taxes, depreciation and amortization (EBITDA) to cash interest charges. The “base rate” is the highest of (i) the federal funds rate plus 0.5%, (ii) the U.S. prime rate, and (iii) one-month Adjusted Term SOFR plus 1.0%.</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Amended Credit Agreement contains various restrictive covenants and customary events of default, the occurrence of which could result in the acceleration of our obligation to repay the indebtedness outstanding thereunder. The Amended Credit Agreement also contains financial covenants that, among other things, require us and our consolidated subsidiaries to have, as of the end of each fiscal quarter, a capitalization ratio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funded debt less unrestricted cash to total capitalization) of no more than 65%.</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we were in compliance with all financial covenants under the 2029 Senior Notes, the Amended Credit Agreement and the LOC Facility Agreement.</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Deferred debt costs are amortized over the life of the related debt using a straight-line basis, which approximates the effective interest method. Included in such amortized amounts are deferred debt costs associated with our Amended Credit Facility of $4 million, which are recorded within other assets on our Consolidated Balance Sheets. We amortized deferred debt costs of $1 million for each of the years ended December 31, 2025, 2024, and 2023.</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weighted average interest rate for all long-term debt at December 31, 2025 and 2024 was approximately 3.6%. Required repayment of principal for long-term debt is as follows (dollar amounts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9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2026</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9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2027</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9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2028</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9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2029</w:t>
            </w: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r>
      <w:tr>
        <w:trPr>
          <w:trHeight w:val="209"/>
        </w:trPr>
        <w:tc>
          <w:tcPr>
            <w:tcW w:w="9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2031 and thereafter</w:t>
            </w: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95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350</w:t>
            </w:r>
          </w:p>
        </w:tc>
      </w:tr>
      <w:tr>
        <w:trPr>
          <w:trHeight w:val="20"/>
        </w:trPr>
        <w:tc>
          <w:tcPr>
            <w:tcW w:w="9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estimated the 2029 Senior Notes to have a fair value of $341 million and $323 million at December 31, 2025 and 2024, respectively, based upon market quotations. Fair values were based on trading activity among the Company’s lenders and the average bid and ask price as determined using published rates (Level 1 in the U.S. GAAP fair value hierarchy).</w:t>
      </w:r>
    </w:p>
    <w:p>
      <w:pPr>
        <w:spacing w:after="0" w:line="16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STOCKHOLDERS’ EQUITY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authorized to issue up to 15,000,000 shares of preferred stock at $1.00 par value. At December 31, 2025, no shares of preferred stock have been issued.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Award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 stock-based compensation plan under which stock options, SSARs, restricted stock, restricted stock units, and performance stock units may be granted.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2025, approximately four million shares were available under the current plan for these awards.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4"/>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(Dollar amounts in millions)</w:t>
            </w: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stock-based compensation expense (cost of sales and selling, general and administrative)</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benefit related to stock-based compensation</w:t>
            </w:r>
          </w:p>
        </w:tc>
        <w:tc>
          <w:tcPr>
            <w:tcW w:w="1140" w:type="dxa"/>
            <w:vAlign w:val="bottom"/>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Impact on cash flow due to taxes paid related to net share settlement of equity awards</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bl>
    <w:p>
      <w:pPr>
        <w:spacing w:after="0" w:line="164" w:lineRule="exact"/>
        <w:rPr>
          <w:sz w:val="20"/>
          <w:szCs w:val="20"/>
          <w:color w:val="auto"/>
        </w:rPr>
      </w:pPr>
    </w:p>
    <w:p>
      <w:pPr>
        <w:ind w:right="400"/>
        <w:spacing w:after="0" w:line="379" w:lineRule="auto"/>
        <w:rPr>
          <w:sz w:val="20"/>
          <w:szCs w:val="20"/>
          <w:color w:val="auto"/>
        </w:rPr>
      </w:pPr>
      <w:r>
        <w:rPr>
          <w:rFonts w:ascii="Times New Roman" w:cs="Times New Roman" w:eastAsia="Times New Roman" w:hAnsi="Times New Roman"/>
          <w:sz w:val="17"/>
          <w:szCs w:val="17"/>
          <w:color w:val="auto"/>
        </w:rPr>
        <w:t xml:space="preserve">We recognize the compensation costs on a straight-line basis over the requisite service period of the award, which is generally the vesting term of three years. </w:t>
      </w:r>
      <w:r>
        <w:rPr>
          <w:rFonts w:ascii="Times New Roman" w:cs="Times New Roman" w:eastAsia="Times New Roman" w:hAnsi="Times New Roman"/>
          <w:sz w:val="17"/>
          <w:szCs w:val="17"/>
          <w:i w:val="1"/>
          <w:iCs w:val="1"/>
          <w:color w:val="auto"/>
        </w:rPr>
        <w:t>SSARs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Prior to January 1, 2018, we granted SSARs to key employees under the Company’s then-current stock award plan. Upon exercise of the SSARs, we generally issue the underlying shares from treasury. The SSARs were granted at market price at the date of grant. The SSARs became exercisable over three years and expire ten years after the date of grant. All outstanding SSARs were vested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 and Performance Stock Units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grant time-vested restricted stock units (RSUs) and performance stock units (PSUs) to certain key employees and time-vested RSUs to non-employee directors under our stock award plan. RSUs generally vest (i) ratably over a three-year vesting period for employees and (ii) in full on the first anniversary of the grant date for non-employee directors. Certain of these awards are eligible to receive dividend equivalent shares. The grant date fair value of these awards approximates market value of the shares. PSUs generally vest based upon the attainment of certain performance and market metrics over a three-year cumulative performance period. Awards based upon the achievement of the performance goals are earned ratably from 0% to 200%. If the threshold performance level for the relevant performance goal is met at the end of the performance period, the award may be adjusted based on LP’s three-year total shareholder return (TSR) performance relative to a capital market peer group. This TSR modifier can increase or decrease the award by 20%, although the TSR modifier cannot cause the award to exceed the maximum of 200%.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Stock Awards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awards as of December 31, 2025, as well as activity during the last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2760" w:type="dxa"/>
            <w:vAlign w:val="bottom"/>
            <w:gridSpan w:val="3"/>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Stock Options / SSARS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Restricted Stock Units and Performance Stock</w:t>
            </w:r>
          </w:p>
        </w:tc>
        <w:tc>
          <w:tcPr>
            <w:tcW w:w="0" w:type="dxa"/>
            <w:vAlign w:val="bottom"/>
          </w:tcPr>
          <w:p>
            <w:pPr>
              <w:spacing w:after="0"/>
              <w:rPr>
                <w:sz w:val="1"/>
                <w:szCs w:val="1"/>
                <w:color w:val="auto"/>
              </w:rPr>
            </w:pPr>
          </w:p>
        </w:tc>
      </w:tr>
      <w:tr>
        <w:trPr>
          <w:trHeight w:val="205"/>
        </w:trPr>
        <w:tc>
          <w:tcPr>
            <w:tcW w:w="4740" w:type="dxa"/>
            <w:vAlign w:val="bottom"/>
          </w:tcPr>
          <w:p>
            <w:pPr>
              <w:spacing w:after="0"/>
              <w:rPr>
                <w:sz w:val="17"/>
                <w:szCs w:val="17"/>
                <w:color w:val="auto"/>
              </w:rPr>
            </w:pPr>
          </w:p>
        </w:tc>
        <w:tc>
          <w:tcPr>
            <w:tcW w:w="2760" w:type="dxa"/>
            <w:vAlign w:val="bottom"/>
            <w:tcBorders>
              <w:bottom w:val="single" w:sz="8" w:color="auto"/>
            </w:tcBorders>
            <w:gridSpan w:val="3"/>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Units</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left="383"/>
              <w:spacing w:after="0" w:line="149"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5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Number of Awards</w:t>
            </w:r>
          </w:p>
        </w:tc>
        <w:tc>
          <w:tcPr>
            <w:tcW w:w="80" w:type="dxa"/>
            <w:vAlign w:val="bottom"/>
            <w:vMerge w:val="restart"/>
          </w:tcPr>
          <w:p>
            <w:pPr>
              <w:spacing w:after="0"/>
              <w:rPr>
                <w:sz w:val="13"/>
                <w:szCs w:val="13"/>
                <w:color w:val="auto"/>
              </w:rPr>
            </w:pPr>
          </w:p>
        </w:tc>
        <w:tc>
          <w:tcPr>
            <w:tcW w:w="1120" w:type="dxa"/>
            <w:vAlign w:val="bottom"/>
          </w:tcPr>
          <w:p>
            <w:pPr>
              <w:jc w:val="center"/>
              <w:ind w:left="383"/>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of Awards</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c>
          <w:tcPr>
            <w:tcW w:w="0" w:type="dxa"/>
            <w:vAlign w:val="bottom"/>
          </w:tcPr>
          <w:p>
            <w:pPr>
              <w:spacing w:after="0"/>
              <w:rPr>
                <w:sz w:val="1"/>
                <w:szCs w:val="1"/>
                <w:color w:val="auto"/>
              </w:rPr>
            </w:pPr>
          </w:p>
        </w:tc>
      </w:tr>
      <w:tr>
        <w:trPr>
          <w:trHeight w:val="20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December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15.90</w:t>
            </w:r>
          </w:p>
        </w:tc>
        <w:tc>
          <w:tcPr>
            <w:tcW w:w="1660" w:type="dxa"/>
            <w:vAlign w:val="bottom"/>
            <w:gridSpan w:val="2"/>
            <w:shd w:val="clear" w:color="auto" w:fill="CCEEFF"/>
          </w:tcPr>
          <w:p>
            <w:pPr>
              <w:jc w:val="center"/>
              <w:ind w:left="943"/>
              <w:spacing w:after="0"/>
              <w:rPr>
                <w:sz w:val="20"/>
                <w:szCs w:val="20"/>
                <w:color w:val="auto"/>
              </w:rPr>
            </w:pPr>
            <w:r>
              <w:rPr>
                <w:rFonts w:ascii="Times New Roman" w:cs="Times New Roman" w:eastAsia="Times New Roman" w:hAnsi="Times New Roman"/>
                <w:sz w:val="15"/>
                <w:szCs w:val="15"/>
                <w:color w:val="auto"/>
              </w:rPr>
              <w:t>575,522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68.87</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center"/>
              <w:ind w:left="943"/>
              <w:spacing w:after="0"/>
              <w:rPr>
                <w:sz w:val="20"/>
                <w:szCs w:val="20"/>
                <w:color w:val="auto"/>
              </w:rPr>
            </w:pPr>
            <w:r>
              <w:rPr>
                <w:rFonts w:ascii="Times New Roman" w:cs="Times New Roman" w:eastAsia="Times New Roman" w:hAnsi="Times New Roman"/>
                <w:sz w:val="15"/>
                <w:szCs w:val="15"/>
                <w:color w:val="auto"/>
              </w:rPr>
              <w:t>406,319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108.33</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w:t>
            </w:r>
          </w:p>
        </w:tc>
        <w:tc>
          <w:tcPr>
            <w:tcW w:w="1660" w:type="dxa"/>
            <w:vAlign w:val="bottom"/>
            <w:gridSpan w:val="2"/>
            <w:shd w:val="clear" w:color="auto" w:fill="CCEEFF"/>
          </w:tcPr>
          <w:p>
            <w:pPr>
              <w:jc w:val="center"/>
              <w:ind w:left="903"/>
              <w:spacing w:after="0"/>
              <w:rPr>
                <w:sz w:val="20"/>
                <w:szCs w:val="20"/>
                <w:color w:val="auto"/>
              </w:rPr>
            </w:pPr>
            <w:r>
              <w:rPr>
                <w:rFonts w:ascii="Times New Roman" w:cs="Times New Roman" w:eastAsia="Times New Roman" w:hAnsi="Times New Roman"/>
                <w:sz w:val="15"/>
                <w:szCs w:val="15"/>
                <w:color w:val="auto"/>
              </w:rPr>
              <w:t>(158,320)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71.85</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Forfeited/cancelled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center"/>
              <w:ind w:left="903"/>
              <w:spacing w:after="0"/>
              <w:rPr>
                <w:sz w:val="20"/>
                <w:szCs w:val="20"/>
                <w:color w:val="auto"/>
              </w:rPr>
            </w:pPr>
            <w:r>
              <w:rPr>
                <w:rFonts w:ascii="Times New Roman" w:cs="Times New Roman" w:eastAsia="Times New Roman" w:hAnsi="Times New Roman"/>
                <w:sz w:val="15"/>
                <w:szCs w:val="15"/>
                <w:color w:val="auto"/>
              </w:rPr>
              <w:t>(174,499)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79.96</w:t>
            </w: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at December 31, 2025</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center"/>
              <w:ind w:left="843"/>
              <w:spacing w:after="0"/>
              <w:rPr>
                <w:sz w:val="20"/>
                <w:szCs w:val="20"/>
                <w:color w:val="auto"/>
              </w:rPr>
            </w:pPr>
            <w:r>
              <w:rPr>
                <w:rFonts w:ascii="Times New Roman" w:cs="Times New Roman" w:eastAsia="Times New Roman" w:hAnsi="Times New Roman"/>
                <w:sz w:val="15"/>
                <w:szCs w:val="15"/>
                <w:b w:val="1"/>
                <w:bCs w:val="1"/>
                <w:color w:val="auto"/>
              </w:rPr>
              <w:t>649,022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89.81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219" w:lineRule="exact"/>
              <w:rPr>
                <w:sz w:val="20"/>
                <w:szCs w:val="20"/>
                <w:color w:val="auto"/>
              </w:rPr>
            </w:pPr>
            <w:r>
              <w:rPr>
                <w:rFonts w:ascii="Times New Roman" w:cs="Times New Roman" w:eastAsia="Times New Roman" w:hAnsi="Times New Roman"/>
                <w:sz w:val="15"/>
                <w:szCs w:val="15"/>
                <w:color w:val="auto"/>
              </w:rPr>
              <w:t>Vested and expected to vest at December 31, 2025</w:t>
            </w:r>
            <w:r>
              <w:rPr>
                <w:rFonts w:ascii="Times New Roman" w:cs="Times New Roman" w:eastAsia="Times New Roman" w:hAnsi="Times New Roman"/>
                <w:sz w:val="20"/>
                <w:szCs w:val="20"/>
                <w:color w:val="auto"/>
                <w:vertAlign w:val="superscript"/>
              </w:rPr>
              <w:t>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40" w:type="dxa"/>
            <w:vAlign w:val="bottom"/>
            <w:vMerge w:val="continue"/>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19.14</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Exercisable at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Unrecognized compensation costs (in millions)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line="20" w:lineRule="exact"/>
              <w:rPr>
                <w:sz w:val="1"/>
                <w:szCs w:val="1"/>
                <w:color w:val="auto"/>
              </w:rPr>
            </w:pPr>
          </w:p>
        </w:tc>
      </w:tr>
      <w:tr>
        <w:trPr>
          <w:trHeight w:val="178"/>
        </w:trPr>
        <w:tc>
          <w:tcPr>
            <w:tcW w:w="474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 be recognized over weighted-average period of years</w:t>
            </w:r>
          </w:p>
        </w:tc>
        <w:tc>
          <w:tcPr>
            <w:tcW w:w="1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80" w:hanging="77"/>
        <w:spacing w:after="0"/>
        <w:tabs>
          <w:tab w:leader="none" w:pos="8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Expected to vest based upon historical forfeiture rate.</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July 2025, LP modified the performance vesting criteria of approximately 101,000 outstanding PSU awards that were granted in 2023. The modification relating to the 2023 PSU awards was considered a Type III modification under Accounting for Share-Based Payments (FASB ASC Topic 718) because it changed the expectation from improbable to probable that the awards would ultimately vest, in which the original awards were cancelled, and the modified awards were considered granted on the modification date. Stock-based compensation expense related to these modified awards will be recognized over the remaining vesting period based on the expected number of awards to vest using fair values per share of $92.30. Stock-based compensation expense related to the 2023 PSU modification was $7 million for the year ended December 31, 2025.</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aggregate intrinsic value of the stock options and SSARs is the total pre-tax intrinsic value (the difference between our closing stock price on the last trading day of a fiscal year and the exercise price, multiplied by the number of in-the-money options and SSARs) that would have been received by the holders had all holders exercised their awards on the last day of such fiscal year. This amount changes based on the market value of our stock, as reported by the New York Stock Exchange. The intrinsic value of SSARs and stock options exercised in the years ended December 31, 2025, 2024, and 2023 was $0 million, $13 million, and $3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fair value of awards vested during the years ended December 31, 2025, 2024, and 2023, was $17 million, $19 million, and $31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7, 2024, LP’s Board of Directors authorized the 2024 Share Repurchase Program under which we may repurchase shares of LP common stock totaling up to $250 million.</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2025, we paid $61 million to repurchase approximately 1 million shares of our common stock through market purchases at an average price of $108.55 per share. During 2024, we paid $212 million to repurchase approximately 2 million shares of our common stock through market purchases at an average price of $87.98 per share.</w:t>
      </w:r>
    </w:p>
    <w:p>
      <w:pPr>
        <w:spacing w:after="0" w:line="62" w:lineRule="exact"/>
        <w:rPr>
          <w:sz w:val="20"/>
          <w:szCs w:val="20"/>
          <w:color w:val="auto"/>
        </w:rPr>
      </w:pPr>
    </w:p>
    <w:p>
      <w:pPr>
        <w:ind w:right="1240"/>
        <w:spacing w:after="0" w:line="379" w:lineRule="auto"/>
        <w:rPr>
          <w:sz w:val="20"/>
          <w:szCs w:val="20"/>
          <w:color w:val="auto"/>
        </w:rPr>
      </w:pPr>
      <w:r>
        <w:rPr>
          <w:rFonts w:ascii="Times New Roman" w:cs="Times New Roman" w:eastAsia="Times New Roman" w:hAnsi="Times New Roman"/>
          <w:sz w:val="17"/>
          <w:szCs w:val="17"/>
          <w:color w:val="auto"/>
        </w:rPr>
        <w:t xml:space="preserve">We had an aggregate of $177 million of repurchase authorization remaining under the 2024 Share Repurchase Program as of December 31, 2025. </w:t>
      </w:r>
      <w:r>
        <w:rPr>
          <w:rFonts w:ascii="Times New Roman" w:cs="Times New Roman" w:eastAsia="Times New Roman" w:hAnsi="Times New Roman"/>
          <w:sz w:val="17"/>
          <w:szCs w:val="17"/>
          <w:b w:val="1"/>
          <w:bCs w:val="1"/>
          <w:color w:val="auto"/>
        </w:rPr>
        <w:t>Employee Stock Purchase Plan</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employee stock purchase plan (ESPP) provides our participating employees an opportunity to obtain shares of our common stock at a discount (through payroll deductions over six-month periods). At December 31, 2025, approximately 1 million shares of common stock were reserved for issuance under the ESPP.</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OTHER OPERATING AND NON-OPERATING INCOME (EXPENSE)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operating credits and charges,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major components of other operating credits and charges, net in the Consolidated Statements of Income for the years ended December 31, 2025, 2024,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are reflected in the table below and described in the paragraphs following the table (dollar amounts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Pr>
          <w:p>
            <w:pPr>
              <w:spacing w:after="0"/>
              <w:rPr>
                <w:sz w:val="18"/>
                <w:szCs w:val="18"/>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31"/>
        </w:trPr>
        <w:tc>
          <w:tcPr>
            <w:tcW w:w="6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Legal settlement</w:t>
            </w: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Reorganization charges</w:t>
            </w: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Product-line discontinuance charges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on asset sales</w:t>
            </w:r>
          </w:p>
        </w:tc>
        <w:tc>
          <w:tcPr>
            <w:tcW w:w="1140" w:type="dxa"/>
            <w:vAlign w:val="bottom"/>
          </w:tcPr>
          <w:p>
            <w:pPr>
              <w:spacing w:after="0"/>
              <w:rPr>
                <w:sz w:val="17"/>
                <w:szCs w:val="17"/>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63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Other operating credits and charges, net</w:t>
            </w:r>
          </w:p>
        </w:tc>
        <w:tc>
          <w:tcPr>
            <w:tcW w:w="1140" w:type="dxa"/>
            <w:vAlign w:val="bottom"/>
            <w:tcBorders>
              <w:bottom w:val="single" w:sz="8" w:color="auto"/>
            </w:tcBorders>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r>
      <w:tr>
        <w:trPr>
          <w:trHeight w:val="20"/>
        </w:trPr>
        <w:tc>
          <w:tcPr>
            <w:tcW w:w="6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2025, we paid $6 million related to certain reorganizations, including severances, and recognized $2 million of product-line discontinuance charges related to inventory we are no longer planning to sell.</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2024, we received $3 million related to legal settlements, incurred severance and other charges of $2 million related to certain reorganizations, and recognized a $2 million loss on the sales of assets.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2023, we agreed to pay $16 million to resolve certain patent-related claims and to obtain certain patent rights. We incurred severance and other charges of $8 million related to certain reorganizations and recognized a $6 million gain on the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Non-operating income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Non-operating income (expense) is comprised of the following components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4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debt charges</w:t>
            </w:r>
          </w:p>
        </w:tc>
        <w:tc>
          <w:tcPr>
            <w:tcW w:w="1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Capitalized interest</w:t>
            </w: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8"/>
        </w:trPr>
        <w:tc>
          <w:tcPr>
            <w:tcW w:w="634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Interest expense, net of capitalized interest</w:t>
            </w:r>
          </w:p>
        </w:tc>
        <w:tc>
          <w:tcPr>
            <w:tcW w:w="110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5"/>
        </w:trPr>
        <w:tc>
          <w:tcPr>
            <w:tcW w:w="6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26"/>
        </w:trPr>
        <w:tc>
          <w:tcPr>
            <w:tcW w:w="63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Investment income</w:t>
            </w:r>
          </w:p>
        </w:tc>
        <w:tc>
          <w:tcPr>
            <w:tcW w:w="110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6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gain (loss), net</w:t>
            </w: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 settlement charges</w:t>
            </w:r>
          </w:p>
        </w:tc>
        <w:tc>
          <w:tcPr>
            <w:tcW w:w="110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634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Other non-operating (expense) income</w:t>
            </w:r>
          </w:p>
        </w:tc>
        <w:tc>
          <w:tcPr>
            <w:tcW w:w="1100" w:type="dxa"/>
            <w:vAlign w:val="bottom"/>
            <w:tcBorders>
              <w:top w:val="single" w:sz="8" w:color="auto"/>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r>
      <w:tr>
        <w:trPr>
          <w:trHeight w:val="20"/>
        </w:trPr>
        <w:tc>
          <w:tcPr>
            <w:tcW w:w="6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2025, we recognized $15 million of foreign currency losses primarily driven by $2 million and $13 million of transactional gains on Canadian and South American exchange rates, respectively.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2024, we recognized $9 million of foreign currency gains primarily driven by $4 million and $5 million of transactional gains on Canadian and South American exchange rates, respectively.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2023, we completed the termination of our U.S. and Canadian defined benefit pension plans resulting in the recognition of non-cash, pre-tax charges of $4 million. Additionally, we recognized $40 million of foreign currency losses primarily driven by $32 million of transactional losses on the Argentine peso.</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IMPAIRMENT OF LONG-LIVED ASSETS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review the carrying values of our long-lived assets for potential impairments and believe we have adequate support for the carrying value of each of these assets based upon the anticipated cash flows that result from our estimates of future demand, pricing, and production costs, assuming certain levels of planned capital expenditures. However,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w:t>
      </w:r>
    </w:p>
    <w:p>
      <w:pPr>
        <w:spacing w:after="0" w:line="2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review from time to time possible dispositions of various assets in light of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2025, we recorded $44 million of non-cash, pre-tax impairment charges. These charges included $24 million related to equipment that will not be utilized in future operations, $13 million related to the expiration and non-renewal of certain timber licenses, $4 million related to property, plant, and equipment associated with a facility closure, and $2 million primarily related to an operating lease asset associated with a previously closed facility. During 2024, we recorded $5 million of non-cash, pre-tax impairment charges related to property, plant, and equipment that will not be utilized in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maintain reserves for various contingent liabilities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Environmental reserves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reserves</w:t>
            </w:r>
          </w:p>
        </w:tc>
        <w:tc>
          <w:tcPr>
            <w:tcW w:w="106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contingencies</w:t>
            </w:r>
          </w:p>
        </w:tc>
        <w:tc>
          <w:tcPr>
            <w:tcW w:w="106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5"/>
                <w:szCs w:val="15"/>
                <w:b w:val="1"/>
                <w:bCs w:val="1"/>
                <w:color w:val="auto"/>
              </w:rPr>
              <w:t>28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20"/>
              <w:spacing w:after="0" w:line="219" w:lineRule="exact"/>
              <w:rPr>
                <w:sz w:val="20"/>
                <w:szCs w:val="20"/>
                <w:color w:val="auto"/>
              </w:rPr>
            </w:pPr>
            <w:r>
              <w:rPr>
                <w:rFonts w:ascii="Times New Roman" w:cs="Times New Roman" w:eastAsia="Times New Roman" w:hAnsi="Times New Roman"/>
                <w:sz w:val="15"/>
                <w:szCs w:val="15"/>
                <w:color w:val="auto"/>
              </w:rPr>
              <w:t>Current portion</w:t>
            </w:r>
            <w:r>
              <w:rPr>
                <w:rFonts w:ascii="Times New Roman" w:cs="Times New Roman" w:eastAsia="Times New Roman" w:hAnsi="Times New Roman"/>
                <w:sz w:val="20"/>
                <w:szCs w:val="20"/>
                <w:color w:val="auto"/>
                <w:vertAlign w:val="superscript"/>
              </w:rPr>
              <w:t>1</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Long-term portion</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Included within accounts payable and accrued liabilities on the Consolidated Balance Sheets.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activity in our reserve for estimated environmental loss contingency reserves is summarized in the following table (dollar amounts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r>
      <w:tr>
        <w:trPr>
          <w:trHeight w:val="20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28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w:t>
            </w:r>
          </w:p>
        </w:tc>
      </w:tr>
      <w:tr>
        <w:trPr>
          <w:trHeight w:val="20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Adjustments to expense (other operating credits and charges, net and cost of sales)</w:t>
            </w:r>
          </w:p>
        </w:tc>
        <w:tc>
          <w:tcPr>
            <w:tcW w:w="1140" w:type="dxa"/>
            <w:vAlign w:val="bottom"/>
          </w:tcPr>
          <w:p>
            <w:pPr>
              <w:spacing w:after="0"/>
              <w:rPr>
                <w:sz w:val="17"/>
                <w:szCs w:val="17"/>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made</w:t>
            </w:r>
          </w:p>
        </w:tc>
        <w:tc>
          <w:tcPr>
            <w:tcW w:w="1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14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27</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r>
      <w:tr>
        <w:trPr>
          <w:trHeight w:val="20"/>
        </w:trPr>
        <w:tc>
          <w:tcPr>
            <w:tcW w:w="8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2024, we adjusted our reserves at several sites to reflect current estimates of remediation costs and environmental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Proceedings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Self-Insurance</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primarily self-insured for workers’ compensation and employee health care liability costs. Self-insurance liabilities for workers’ compensation are determined based upon a valuation performed by an actuarial firm. The estimate of future workers’ compensation liabilities incorporates loss development and an estimate associated with incurred but not yet reported claims. These claims are discounted. Self-insurance liabilities for employee health costs are determined actuarially based upon claims filed and estimated claims incurred but not yet reported. These claims are discounted.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Indemnities and Guarantees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 party to certain contracts in which we agree to indemnify third parties for certain liabilities that arise out of or relate to the subject matter of the contract. In some cases, this indemnity extends to related liabilities arising out of the negligence of the indemnified parties, but usually excludes any liabilities caused by gross negligence or willful misconduct of the indemnified parties. We cannot estimate the potential amount of future payments under these agreements until events arise that would trigger the liability.</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in connection with certain sales of assets and divestitures of businesses, we have agreed to indemnify the applicable buyer and certain related parties for certain losses or liabilities incurred by the buyer or such related parties with respect to (1) the representations and warranties made to the buyer by us in connection with the applicable sale or divestiture and (2) liabilities related to the pre-closing operations of the assets or businesses sold. Indemnities related to pre-closing operations generally include environmental liabilities, tax liabilities, and other liabilities not assumed by the buyer.</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Indemnities related to the pre-closing operations of sold assets or divested businesses typically do not represent added liabilities for us, but simply serve to protect the buyer from potential liability associated with the obligations that existed (known and unknown) at the time of the sale. We record accruals for those pre-closing obligations that are considered probable and estimable. We have not accrued any additional amounts as a result of the indemnity agreements summarized below, as we believe the fair value of the guarantees is not material.</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various sales of our timberlands, we have agreed to indemnify the relevant buyers with respect to losses resulting from breaches of limited representations and warranties contained in the related agreements. These indemnities generally are capped at a maximum potential liability and have an unspecified duration.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have various other indemnities that are individually and in the aggregate immaterial.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record a liability related to specific indemnification when future payment is probable, and the amount is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PRODUCT WARRANTIES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offer warranties on the sale of most of our products and record an accrual for estimated future claims. Such accruals are based upon historical experience and management’s estimate of the level of future claims. The activity in warranty reserves is summarized in the following table (dollar amounts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r>
      <w:tr>
        <w:trPr>
          <w:trHeight w:val="201"/>
        </w:trPr>
        <w:tc>
          <w:tcPr>
            <w:tcW w:w="80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r>
      <w:tr>
        <w:trPr>
          <w:trHeight w:val="20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rPr>
              <w:t>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w:t>
            </w:r>
          </w:p>
        </w:tc>
      </w:tr>
      <w:tr>
        <w:trPr>
          <w:trHeight w:val="203"/>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Changes in warranty provision</w:t>
            </w:r>
          </w:p>
        </w:tc>
        <w:tc>
          <w:tcPr>
            <w:tcW w:w="1160" w:type="dxa"/>
            <w:vAlign w:val="bottom"/>
          </w:tcPr>
          <w:p>
            <w:pPr>
              <w:spacing w:after="0"/>
              <w:rPr>
                <w:sz w:val="17"/>
                <w:szCs w:val="17"/>
                <w:color w:val="auto"/>
              </w:rPr>
            </w:pPr>
          </w:p>
        </w:tc>
        <w:tc>
          <w:tcPr>
            <w:tcW w:w="400" w:type="dxa"/>
            <w:vAlign w:val="bottom"/>
          </w:tcPr>
          <w:p>
            <w:pPr>
              <w:jc w:val="center"/>
              <w:ind w:left="12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made</w:t>
            </w:r>
          </w:p>
        </w:tc>
        <w:tc>
          <w:tcPr>
            <w:tcW w:w="1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warranty reserves</w:t>
            </w:r>
          </w:p>
        </w:tc>
        <w:tc>
          <w:tcPr>
            <w:tcW w:w="1160" w:type="dxa"/>
            <w:vAlign w:val="bottom"/>
            <w:tcBorders>
              <w:bottom w:val="single" w:sz="8" w:color="auto"/>
            </w:tcBorders>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tcBorders>
              <w:bottom w:val="single" w:sz="8" w:color="auto"/>
            </w:tcBorders>
          </w:tcPr>
          <w:p>
            <w:pPr>
              <w:jc w:val="center"/>
              <w:ind w:left="123"/>
              <w:spacing w:after="0"/>
              <w:rPr>
                <w:sz w:val="20"/>
                <w:szCs w:val="20"/>
                <w:color w:val="auto"/>
              </w:rPr>
            </w:pPr>
            <w:r>
              <w:rPr>
                <w:rFonts w:ascii="Times New Roman" w:cs="Times New Roman" w:eastAsia="Times New Roman" w:hAnsi="Times New Roman"/>
                <w:sz w:val="15"/>
                <w:szCs w:val="15"/>
                <w:b w:val="1"/>
                <w:bCs w:val="1"/>
                <w:color w:val="auto"/>
              </w:rPr>
              <w:t>6</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99"/>
        </w:trPr>
        <w:tc>
          <w:tcPr>
            <w:tcW w:w="8000" w:type="dxa"/>
            <w:vAlign w:val="bottom"/>
            <w:shd w:val="clear" w:color="auto" w:fill="CCEEFF"/>
          </w:tcPr>
          <w:p>
            <w:pPr>
              <w:ind w:left="320"/>
              <w:spacing w:after="0" w:line="199" w:lineRule="exact"/>
              <w:rPr>
                <w:sz w:val="20"/>
                <w:szCs w:val="20"/>
                <w:color w:val="auto"/>
              </w:rPr>
            </w:pPr>
            <w:r>
              <w:rPr>
                <w:rFonts w:ascii="Times New Roman" w:cs="Times New Roman" w:eastAsia="Times New Roman" w:hAnsi="Times New Roman"/>
                <w:sz w:val="15"/>
                <w:szCs w:val="15"/>
                <w:color w:val="auto"/>
              </w:rPr>
              <w:t>Current portion of warranty reserves</w:t>
            </w:r>
            <w:r>
              <w:rPr>
                <w:rFonts w:ascii="Times New Roman" w:cs="Times New Roman" w:eastAsia="Times New Roman" w:hAnsi="Times New Roman"/>
                <w:sz w:val="20"/>
                <w:szCs w:val="20"/>
                <w:color w:val="auto"/>
                <w:vertAlign w:val="superscript"/>
              </w:rPr>
              <w:t>1</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68"/>
        </w:trPr>
        <w:tc>
          <w:tcPr>
            <w:tcW w:w="80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Long-term portion of warranty reserves</w:t>
            </w:r>
            <w:r>
              <w:rPr>
                <w:rFonts w:ascii="Times New Roman" w:cs="Times New Roman" w:eastAsia="Times New Roman" w:hAnsi="Times New Roman"/>
                <w:sz w:val="20"/>
                <w:szCs w:val="20"/>
                <w:color w:val="auto"/>
                <w:vertAlign w:val="superscript"/>
              </w:rPr>
              <w:t>2</w:t>
            </w:r>
          </w:p>
        </w:tc>
        <w:tc>
          <w:tcPr>
            <w:tcW w:w="1160" w:type="dxa"/>
            <w:vAlign w:val="bottom"/>
          </w:tcPr>
          <w:p>
            <w:pPr>
              <w:jc w:val="right"/>
              <w:ind w:right="98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center"/>
              <w:ind w:left="123"/>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23"/>
                <w:szCs w:val="23"/>
                <w:color w:val="auto"/>
              </w:rPr>
            </w:pPr>
          </w:p>
        </w:tc>
        <w:tc>
          <w:tcPr>
            <w:tcW w:w="1140" w:type="dxa"/>
            <w:vAlign w:val="bottom"/>
          </w:tcPr>
          <w:p>
            <w:pPr>
              <w:jc w:val="right"/>
              <w:ind w:right="9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Included within accounts payable and accrued liabilities on the Consolidated Balance Sheets.</w:t>
      </w: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3"/>
          <w:szCs w:val="13"/>
          <w:color w:val="auto"/>
        </w:rPr>
        <w:t>Included within other long-term liabilities on the Consolidated Balance Sheets.</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the warranty reserve balances at December 31, 2025 are adequate to cover future warranty payments. However, it is possible that additional charges may be required.</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tab/>
        <w:t>RETIREMENT PLANS AND POST-RETIREMENT BENEFITS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sponsor various defined contribution retirement plans and benefit pension plans that provide retirement benefits to substantially all our employees. Most regularly scheduled employees are eligible to participate in the defined contribution retirement plans except those covered by a collective bargaining agreement unless the collective bargaining agreement explicitly allows for participation in our plans. We contribute to a multiemployer plan for certain employees covered by collective bargaining agreements. We also provide other post-retirement benefits consisting primarily of healthcare benefits to certain retirees who meet age and service requirements. The defined benefit pension plans were limited to active and retired employees that were eligible prior to the plans being frozen.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Contribution Plans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sponsor defined contribution plans in the U.S. and Canada. In the U.S., these plans are primarily 401(k) plans for hourly and salaried employees that allow for pre-tax employee deferrals and a Company match of up to 5% of an employee’s eligible wages (subject to certain limits). Under the profit-sharing feature of these plans, we may elect to contribute a discretionary amount as a percentage of eligible wages. Included in the assets of the 401(k) and profit-sharing plans are 0.4 million shares of LP common stock that represented approximately 6% of the total market value of plan assets at December 31, 2025.</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Canada, we sponsor both defined contribution plans and Registered Retirement Savings Plans for hourly and salaried employees that allow for employee tax deferrals. We provide a 100% match for employee contributions up to 4% and provide a 50% match of employee’s contributions from 4% to 6% (subject to certain limits).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Expenses related to the U.S. and Canadian defined contribution plans and the Registered Retirement Savings Plans, including the profit-sharing feature, were $21 million, $20 million, and $15 million in 2025, 2024, and 2023,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Benefit Plans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several plans that provide post-retirement benefits other than pensions, primarily for salaried employees in the U.S. and certain groups of Canadian employees. The obligation at December 31, 2025 and 2024 for these post-retirement benefits was $7 million and $8 million, respectively. The net expense related to these plans was not significant in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2004, we adopted the Louisiana-Pacific Corporation 2004 Executive Deferred Compensation Plan (the Deferred Compensation Plan). Pursuant to the Deferred Compensation Plan, participants are eligible to defer up to 90% of their base salary and annual cash incentives that exceed the limitation as set forth by the Internal Revenue Service and receive a 5% match on their contributions. Each Deferred Compensation Plan participant is fully vested in all employee deferred compensation and earnings credited associated with employee contributions. Employer contributions and associated earnings vest over periods not exceeding five years. The liability under the Deferred Compensation Plan amounted to $3 million as of December 31, 2025, and 2024, and is included in other long-term liabilities on our Consolidated Balance Sheets.</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SEGMENT INFORMATION</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defines its operating segments as those operations that engage in business activities from which revenues are earned and expenses incurred, for which discrete financial information is available, and that are regularly reviewed to analyze performance and allocate resources by the chief operating decision maker (“CODM”), the Company’s Chief Executive Officer.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Reportable Segments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conducts business through three operating segments: Siding, OSB and LP South America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w:t>
      </w:r>
    </w:p>
    <w:p>
      <w:pPr>
        <w:spacing w:after="0" w:line="72" w:lineRule="exact"/>
        <w:rPr>
          <w:sz w:val="20"/>
          <w:szCs w:val="20"/>
          <w:color w:val="auto"/>
        </w:rPr>
      </w:pPr>
    </w:p>
    <w:p>
      <w:pPr>
        <w:jc w:val="both"/>
        <w:ind w:left="620" w:hanging="153"/>
        <w:spacing w:after="0"/>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Siding segment serves diverse end markets with a broad product portfolio of engineered wood siding, trim, soffit, and fascia. Our Siding is offered primed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LP BuilderSeries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Lap Siding,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Outdoor Building Solutions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pre-finished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SmartSide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ExpertFinish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Trim &amp; Siding) to meet the needs of builders and installers in new construction and repair and remodeling applications.</w:t>
      </w:r>
    </w:p>
    <w:p>
      <w:pPr>
        <w:spacing w:after="0" w:line="59" w:lineRule="exact"/>
        <w:rPr>
          <w:rFonts w:ascii="Times New Roman" w:cs="Times New Roman" w:eastAsia="Times New Roman" w:hAnsi="Times New Roman"/>
          <w:sz w:val="17"/>
          <w:szCs w:val="17"/>
          <w:color w:val="auto"/>
        </w:rPr>
      </w:pPr>
    </w:p>
    <w:p>
      <w:pPr>
        <w:jc w:val="both"/>
        <w:ind w:left="620" w:hanging="153"/>
        <w:spacing w:after="0" w:line="226" w:lineRule="auto"/>
        <w:tabs>
          <w:tab w:leader="none" w:pos="61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Structural Solutions (which includes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FlameBlock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Fire-Rated Sheathing, LP WeatherLogic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Air &amp; Water Barrier,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Radiant Barrier, LP Legacy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Premium Sub-Flooring, and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TopNotch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350 Durable Sub-Flooring).</w:t>
      </w:r>
    </w:p>
    <w:p>
      <w:pPr>
        <w:spacing w:after="0" w:line="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accounting policies of the segments are the same as those described in the Company’s summary of significant accounting policies. We evaluate the performance of our operating segments based on segment Adjusted EBITDA, which the CODM uses to evaluate performance and allocate resources.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Segment Adjusted EBITDA is defined as net income before interest expense, provision for income taxes, depreciation and amortization, and excludes stock-based compensation expense, loss on impairment, business exit credit and charges, product-line discontinuance charges, other operating credits and charges, net, loss on early debt extinguishment, investment income, pension settlement charges, and other non-operating income (expense).</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CODM uses segment Adjusted EBITDA predominantly in the annual budget and forecasting process. The CODM considers budget-to-actual variances on a quarterly basis when making decisions about the allocation of operating and capital resources to each segment. The CODM also uses segment Adjusted EBITDA to assess the relative performance of each segment and to determine the compensation of certain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segments is as follows (dollar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1160" w:type="dxa"/>
            <w:vAlign w:val="bottom"/>
            <w:tcBorders>
              <w:bottom w:val="single" w:sz="8" w:color="auto"/>
            </w:tcBorders>
          </w:tcPr>
          <w:p>
            <w:pPr>
              <w:spacing w:after="0"/>
              <w:rPr>
                <w:sz w:val="17"/>
                <w:szCs w:val="17"/>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Siding</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w w:val="99"/>
              </w:rPr>
              <w:t>OSB</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w:t>
            </w:r>
          </w:p>
        </w:tc>
      </w:tr>
      <w:tr>
        <w:trPr>
          <w:trHeight w:val="205"/>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revenue</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Other revenues</w:t>
            </w:r>
            <w:r>
              <w:rPr>
                <w:rFonts w:ascii="Times New Roman" w:cs="Times New Roman" w:eastAsia="Times New Roman" w:hAnsi="Times New Roman"/>
                <w:sz w:val="20"/>
                <w:szCs w:val="20"/>
                <w:color w:val="auto"/>
                <w:vertAlign w:val="superscript"/>
              </w:rPr>
              <w:t>1</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consolidated revenues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2,708</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Less: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sales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Other segment items</w:t>
            </w:r>
            <w:r>
              <w:rPr>
                <w:rFonts w:ascii="Times New Roman" w:cs="Times New Roman" w:eastAsia="Times New Roman" w:hAnsi="Times New Roman"/>
                <w:sz w:val="20"/>
                <w:szCs w:val="20"/>
                <w:color w:val="auto"/>
                <w:vertAlign w:val="superscript"/>
              </w:rPr>
              <w:t>2</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Reportable segment Adjusted EBITDA</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444</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452</w:t>
            </w: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5"/>
        </w:trPr>
        <w:tc>
          <w:tcPr>
            <w:tcW w:w="63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160" w:type="dxa"/>
            <w:vAlign w:val="bottom"/>
            <w:tcBorders>
              <w:bottom w:val="single" w:sz="8" w:color="auto"/>
            </w:tcBorders>
          </w:tcPr>
          <w:p>
            <w:pPr>
              <w:spacing w:after="0"/>
              <w:rPr>
                <w:sz w:val="24"/>
                <w:szCs w:val="24"/>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Siding</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w w:val="99"/>
              </w:rPr>
              <w:t>OSB</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2,742</w:t>
            </w:r>
          </w:p>
        </w:tc>
      </w:tr>
      <w:tr>
        <w:trPr>
          <w:trHeight w:val="205"/>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revenue</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Other revenues</w:t>
            </w:r>
            <w:r>
              <w:rPr>
                <w:rFonts w:ascii="Times New Roman" w:cs="Times New Roman" w:eastAsia="Times New Roman" w:hAnsi="Times New Roman"/>
                <w:sz w:val="20"/>
                <w:szCs w:val="20"/>
                <w:color w:val="auto"/>
                <w:vertAlign w:val="superscript"/>
              </w:rPr>
              <w:t>1</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consolidated revenues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2,941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Less: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sales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Other segment items</w:t>
            </w:r>
            <w:r>
              <w:rPr>
                <w:rFonts w:ascii="Times New Roman" w:cs="Times New Roman" w:eastAsia="Times New Roman" w:hAnsi="Times New Roman"/>
                <w:sz w:val="20"/>
                <w:szCs w:val="20"/>
                <w:color w:val="auto"/>
                <w:vertAlign w:val="superscript"/>
              </w:rPr>
              <w:t>2</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Reportable segment Adjusted EBITDA</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298</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688</w:t>
            </w: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03"/>
        </w:trPr>
        <w:tc>
          <w:tcPr>
            <w:tcW w:w="63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160" w:type="dxa"/>
            <w:vAlign w:val="bottom"/>
            <w:tcBorders>
              <w:bottom w:val="single" w:sz="8" w:color="auto"/>
            </w:tcBorders>
          </w:tcPr>
          <w:p>
            <w:pPr>
              <w:spacing w:after="0"/>
              <w:rPr>
                <w:sz w:val="24"/>
                <w:szCs w:val="24"/>
                <w:color w:val="auto"/>
              </w:rPr>
            </w:pPr>
          </w:p>
        </w:tc>
      </w:tr>
      <w:tr>
        <w:trPr>
          <w:trHeight w:val="201"/>
        </w:trPr>
        <w:tc>
          <w:tcPr>
            <w:tcW w:w="63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Siding</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w w:val="99"/>
              </w:rPr>
              <w:t>OSB</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w:t>
            </w:r>
          </w:p>
        </w:tc>
      </w:tr>
      <w:tr>
        <w:trPr>
          <w:trHeight w:val="205"/>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of revenue</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638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Other revenues</w:t>
            </w:r>
            <w:r>
              <w:rPr>
                <w:rFonts w:ascii="Times New Roman" w:cs="Times New Roman" w:eastAsia="Times New Roman" w:hAnsi="Times New Roman"/>
                <w:sz w:val="20"/>
                <w:szCs w:val="20"/>
                <w:color w:val="auto"/>
                <w:vertAlign w:val="superscript"/>
              </w:rPr>
              <w:t>1</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consolidated revenues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2,581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Less: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sales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3"/>
        </w:trPr>
        <w:tc>
          <w:tcPr>
            <w:tcW w:w="6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Other segment items</w:t>
            </w:r>
            <w:r>
              <w:rPr>
                <w:rFonts w:ascii="Times New Roman" w:cs="Times New Roman" w:eastAsia="Times New Roman" w:hAnsi="Times New Roman"/>
                <w:sz w:val="20"/>
                <w:szCs w:val="20"/>
                <w:color w:val="auto"/>
                <w:vertAlign w:val="superscript"/>
              </w:rPr>
              <w:t>2</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198"/>
        </w:trPr>
        <w:tc>
          <w:tcPr>
            <w:tcW w:w="6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Reportable segment Adjusted EBITDA</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220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490</w:t>
            </w: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Other revenues include sales from LPSA and other minor products, services, and closed operations that do not meet the criteria for discontinued operations.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3"/>
          <w:szCs w:val="13"/>
          <w:color w:val="auto"/>
        </w:rPr>
        <w:t>Other segment items include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5"/>
        </w:trPr>
        <w:tc>
          <w:tcPr>
            <w:tcW w:w="63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profit (loss)</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5"/>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Reportable Segment adjusted EBITDA</w:t>
            </w:r>
          </w:p>
        </w:tc>
        <w:tc>
          <w:tcPr>
            <w:tcW w:w="1080" w:type="dxa"/>
            <w:vAlign w:val="bottom"/>
            <w:gridSpan w:val="2"/>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452</w:t>
            </w:r>
          </w:p>
        </w:tc>
        <w:tc>
          <w:tcPr>
            <w:tcW w:w="50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688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490</w:t>
            </w:r>
          </w:p>
        </w:tc>
      </w:tr>
      <w:tr>
        <w:trPr>
          <w:trHeight w:val="20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 (deduct):</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6"/>
        </w:trPr>
        <w:tc>
          <w:tcPr>
            <w:tcW w:w="634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Other Adjusted EBITDA</w:t>
            </w:r>
            <w:r>
              <w:rPr>
                <w:rFonts w:ascii="Times New Roman" w:cs="Times New Roman" w:eastAsia="Times New Roman" w:hAnsi="Times New Roman"/>
                <w:sz w:val="20"/>
                <w:szCs w:val="20"/>
                <w:color w:val="auto"/>
                <w:vertAlign w:val="superscript"/>
              </w:rPr>
              <w:t>1</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in unconsolidated affiliate</w:t>
            </w: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9"/>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6"/>
        </w:trPr>
        <w:tc>
          <w:tcPr>
            <w:tcW w:w="634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Loss on impairment</w:t>
            </w:r>
            <w:r>
              <w:rPr>
                <w:rFonts w:ascii="Times New Roman" w:cs="Times New Roman" w:eastAsia="Times New Roman" w:hAnsi="Times New Roman"/>
                <w:sz w:val="20"/>
                <w:szCs w:val="20"/>
                <w:color w:val="auto"/>
                <w:vertAlign w:val="superscript"/>
              </w:rPr>
              <w:t>1</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6"/>
        </w:trPr>
        <w:tc>
          <w:tcPr>
            <w:tcW w:w="634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Other operating credits and charges, net</w:t>
            </w:r>
            <w:r>
              <w:rPr>
                <w:rFonts w:ascii="Times New Roman" w:cs="Times New Roman" w:eastAsia="Times New Roman" w:hAnsi="Times New Roman"/>
                <w:sz w:val="20"/>
                <w:szCs w:val="20"/>
                <w:color w:val="auto"/>
                <w:vertAlign w:val="superscript"/>
              </w:rPr>
              <w:t>2,3</w:t>
            </w: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6"/>
        </w:trPr>
        <w:tc>
          <w:tcPr>
            <w:tcW w:w="634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Product-line discontinuance charges</w:t>
            </w:r>
            <w:r>
              <w:rPr>
                <w:rFonts w:ascii="Times New Roman" w:cs="Times New Roman" w:eastAsia="Times New Roman" w:hAnsi="Times New Roman"/>
                <w:sz w:val="20"/>
                <w:szCs w:val="20"/>
                <w:color w:val="auto"/>
                <w:vertAlign w:val="superscript"/>
              </w:rPr>
              <w:t>3</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634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Business exit credits and charges</w:t>
            </w:r>
            <w:r>
              <w:rPr>
                <w:rFonts w:ascii="Times New Roman" w:cs="Times New Roman" w:eastAsia="Times New Roman" w:hAnsi="Times New Roman"/>
                <w:sz w:val="20"/>
                <w:szCs w:val="20"/>
                <w:color w:val="auto"/>
                <w:vertAlign w:val="superscript"/>
              </w:rPr>
              <w:t>2</w:t>
            </w: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9"/>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 income</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non-operating (expense) income</w:t>
            </w: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15"/>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1080" w:type="dxa"/>
            <w:vAlign w:val="bottom"/>
            <w:tcBorders>
              <w:bottom w:val="single" w:sz="8" w:color="auto"/>
            </w:tcBorders>
            <w:gridSpan w:val="2"/>
          </w:tcPr>
          <w:p>
            <w:pPr>
              <w:jc w:val="right"/>
              <w:ind w:right="9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248</w:t>
            </w:r>
          </w:p>
        </w:tc>
      </w:tr>
      <w:tr>
        <w:trPr>
          <w:trHeight w:val="20"/>
        </w:trPr>
        <w:tc>
          <w:tcPr>
            <w:tcW w:w="6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3"/>
        </w:trPr>
        <w:tc>
          <w:tcPr>
            <w:tcW w:w="9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Other Adjusted EBITDA includes LPSA, corporate, and other minor products, services, and closed operations that do not meet the criteria for discontinued operations.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6"/>
        </w:trPr>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See further discussion in “Note 5 - Business Exit Credits and Charges” of the Notes to the Consolidated Financial Statements.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5"/>
        </w:trPr>
        <w:tc>
          <w:tcPr>
            <w:tcW w:w="8400" w:type="dxa"/>
            <w:vAlign w:val="bottom"/>
            <w:gridSpan w:val="8"/>
          </w:tcPr>
          <w:p>
            <w:pPr>
              <w:spacing w:after="0"/>
              <w:rPr>
                <w:sz w:val="20"/>
                <w:szCs w:val="20"/>
                <w:color w:val="auto"/>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See further discussion in “Note 10 - Other Operating and Non-Operating Income (Expense)” of the Notes to the Consolidated Financial Statements.</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3"/>
        </w:trPr>
        <w:tc>
          <w:tcPr>
            <w:tcW w:w="6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Capital Expenditures</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1080" w:type="dxa"/>
            <w:vAlign w:val="bottom"/>
            <w:gridSpan w:val="2"/>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500" w:type="dxa"/>
            <w:vAlign w:val="bottom"/>
            <w:gridSpan w:val="4"/>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OSB</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26"/>
        </w:trPr>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capital expenditures</w:t>
            </w:r>
          </w:p>
        </w:tc>
        <w:tc>
          <w:tcPr>
            <w:tcW w:w="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95"/>
        </w:trPr>
        <w:tc>
          <w:tcPr>
            <w:tcW w:w="6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09"/>
        </w:trPr>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42"/>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31"/>
        </w:trPr>
        <w:tc>
          <w:tcPr>
            <w:tcW w:w="6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Identifiable Assets</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Siding</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1,307</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OSB</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696</w:t>
            </w:r>
          </w:p>
        </w:tc>
      </w:tr>
      <w:tr>
        <w:trPr>
          <w:trHeight w:val="226"/>
        </w:trPr>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2,627</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2,556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identifiable assets include cash and cash equivalents,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goodwill by segment for the years ended December 31, 2025 and 2024, are provided in the following table (dollar amounts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Siding</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OSB</w:t>
            </w:r>
          </w:p>
        </w:tc>
        <w:tc>
          <w:tcPr>
            <w:tcW w:w="340" w:type="dxa"/>
            <w:vAlign w:val="bottom"/>
          </w:tcPr>
          <w:p>
            <w:pPr>
              <w:spacing w:after="0"/>
              <w:rPr>
                <w:sz w:val="17"/>
                <w:szCs w:val="17"/>
                <w:color w:val="auto"/>
              </w:rPr>
            </w:pPr>
          </w:p>
        </w:tc>
        <w:tc>
          <w:tcPr>
            <w:tcW w:w="122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2"/>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160" w:type="dxa"/>
            <w:vAlign w:val="bottom"/>
            <w:tcBorders>
              <w:top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 charges</w:t>
            </w:r>
          </w:p>
        </w:tc>
        <w:tc>
          <w:tcPr>
            <w:tcW w:w="11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Impairment charges</w:t>
            </w:r>
          </w:p>
        </w:tc>
        <w:tc>
          <w:tcPr>
            <w:tcW w:w="11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2025</w:t>
            </w:r>
          </w:p>
        </w:tc>
        <w:tc>
          <w:tcPr>
            <w:tcW w:w="1160" w:type="dxa"/>
            <w:vAlign w:val="bottom"/>
            <w:tcBorders>
              <w:top w:val="single" w:sz="8" w:color="auto"/>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concerning our geographic areas is as follows (dollar amounts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sales - Point of origin</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w:t>
            </w:r>
          </w:p>
        </w:tc>
        <w:tc>
          <w:tcPr>
            <w:tcW w:w="104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2,430</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2,265</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w:t>
            </w: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 America</w:t>
            </w:r>
          </w:p>
        </w:tc>
        <w:tc>
          <w:tcPr>
            <w:tcW w:w="104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Inter-geographic sales</w:t>
            </w: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w:t>
            </w:r>
          </w:p>
        </w:tc>
      </w:tr>
      <w:tr>
        <w:trPr>
          <w:trHeight w:val="198"/>
        </w:trPr>
        <w:tc>
          <w:tcPr>
            <w:tcW w:w="63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Total sales</w:t>
            </w:r>
          </w:p>
        </w:tc>
        <w:tc>
          <w:tcPr>
            <w:tcW w:w="104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2,708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2,941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2,581</w:t>
            </w:r>
          </w:p>
        </w:tc>
      </w:tr>
      <w:tr>
        <w:trPr>
          <w:trHeight w:val="20"/>
        </w:trPr>
        <w:tc>
          <w:tcPr>
            <w:tcW w:w="6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428"/>
        </w:trPr>
        <w:tc>
          <w:tcPr>
            <w:tcW w:w="6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1"/>
        </w:trPr>
        <w:tc>
          <w:tcPr>
            <w:tcW w:w="6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Long lived assets</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w:t>
            </w: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South America</w:t>
            </w:r>
          </w:p>
        </w:tc>
        <w:tc>
          <w:tcPr>
            <w:tcW w:w="10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26"/>
        </w:trPr>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long lived assets</w:t>
            </w: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1,737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1,624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 lived assets include property, plant and equipment, timber and timberlands, and right of use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December 31, 2025,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 13a-15(f) promulgated under the Exchange Act. Our management conducted an assessment of the effectiveness of our internal control over financial reporting as of the end of the period covered by this report, based on the framework established by the Committee of Sponsoring Organizations of the Treadway Commission in </w:t>
      </w:r>
      <w:r>
        <w:rPr>
          <w:rFonts w:ascii="Times New Roman" w:cs="Times New Roman" w:eastAsia="Times New Roman" w:hAnsi="Times New Roman"/>
          <w:sz w:val="17"/>
          <w:szCs w:val="17"/>
          <w:i w:val="1"/>
          <w:iCs w:val="1"/>
          <w:color w:val="auto"/>
        </w:rPr>
        <w:t xml:space="preserve">Internal Control-Integrated Framework (2013). </w:t>
      </w:r>
      <w:r>
        <w:rPr>
          <w:rFonts w:ascii="Times New Roman" w:cs="Times New Roman" w:eastAsia="Times New Roman" w:hAnsi="Times New Roman"/>
          <w:sz w:val="17"/>
          <w:szCs w:val="17"/>
          <w:color w:val="auto"/>
        </w:rPr>
        <w:t>Based on this assessment, our management has concluded that, as of December 31, 2025, the Company’s internal control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was effective. Our independent registered public accounting firm, Deloitte &amp; Touche LLP, has audited our internal control over financial reporting as of the end of the period covered by this report,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Louisiana-Pacific Corporation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Louisiana-Pacific Corporation and subsidiaries (the “Company”) as of December 31, 2025, based on criteria established in </w:t>
      </w:r>
      <w:r>
        <w:rPr>
          <w:rFonts w:ascii="Times New Roman" w:cs="Times New Roman" w:eastAsia="Times New Roman" w:hAnsi="Times New Roman"/>
          <w:sz w:val="16"/>
          <w:szCs w:val="16"/>
          <w:i w:val="1"/>
          <w:iCs w:val="1"/>
          <w:color w:val="auto"/>
        </w:rPr>
        <w:t>Internal Control—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6"/>
          <w:szCs w:val="16"/>
          <w:i w:val="1"/>
          <w:iCs w:val="1"/>
          <w:color w:val="auto"/>
        </w:rPr>
        <w:t xml:space="preserve">Internal Control— Integrated Framework (2013) </w:t>
      </w:r>
      <w:r>
        <w:rPr>
          <w:rFonts w:ascii="Times New Roman" w:cs="Times New Roman" w:eastAsia="Times New Roman" w:hAnsi="Times New Roman"/>
          <w:sz w:val="16"/>
          <w:szCs w:val="16"/>
          <w:color w:val="auto"/>
        </w:rPr>
        <w:t>issued by COSO.</w:t>
      </w:r>
    </w:p>
    <w:p>
      <w:pPr>
        <w:spacing w:after="0" w:line="1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2025, of the Company and our report dated February 17, 2026, expressed an unqualified opinion on those financial statements.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6"/>
          <w:szCs w:val="16"/>
          <w:i w:val="1"/>
          <w:iCs w:val="1"/>
          <w:color w:val="auto"/>
        </w:rPr>
        <w:t>Management’s Report on Internal Control over Financial Reporting</w:t>
      </w:r>
      <w:r>
        <w:rPr>
          <w:rFonts w:ascii="Times New Roman" w:cs="Times New Roman" w:eastAsia="Times New Roman" w:hAnsi="Times New Roman"/>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None of our directors or officers (as defined in Section 16 of the Exchange Act) adopted, modified or terminated a "Rule 10b5-1 trading arrangement" or a "non-Rule 10b5-1 trading arrangement" (each as defined in Item 408 of Regulation S-K) during the quarter ended December 31, 2025.</w:t>
      </w:r>
    </w:p>
    <w:p>
      <w:pPr>
        <w:spacing w:after="0" w:line="1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Information regarding our directors is incorporated herein by reference to the material included under the caption “Proposal 1: Election of Directors” in our Definitive Proxy Statement for our 2026 Annual Meeting of Stockholders which we expect to file with the SEC within 120 days after the end of our 2025 fiscal year (2026 Proxy Statement).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Information regarding our executive officers is incorporated herein by reference to the material included under the caption "Executive Officers" in our 2026 Proxy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Information regarding compliance with Section 16(a) of the Exchange Act is incorporated herein by reference to the material included under the caption “Delinquent Section 16(a) Reports” in our 2026 Proxy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Information regarding our Finance and Audit Committee is incorporated herein by reference to the material included under the captions “Corporate Governance</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 xml:space="preserve"> Committees of the Board” and “Corporate Governance</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Committees of the Board</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Finance and Audit Committee” in our 2026 Proxy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adopted a Code of Business Conduct and Ethics and a Financial Leadership Code of Ethics applicable to our principal executive officer, principal financial officer, and principal accounting officer. Each of these documents, as well as the charters of the Governance and Corporate Responsibility Committee, the Finance and Audit Committee, the Compensation Committee and the Executive Committee are available on our website at http://investor.lpcorp.com under the “Corporate Governance” tab under the section “Governance Documents”.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description of any substantive amendment or waiver of our Financial Leadership Code of Ethics or our Code of Business Conduct applicable to our principal executive officer, our principal financial officer and our principal accounting officer will be disclosed on our website at http://investor.lpcorp.com under the “Corporate Governance” tab, in the “Governance Documents” section. Any such description will be located on our website for a period of 12 months following the amendment or waiver.</w:t>
      </w:r>
    </w:p>
    <w:p>
      <w:pPr>
        <w:spacing w:after="0" w:line="68" w:lineRule="exact"/>
        <w:rPr>
          <w:sz w:val="20"/>
          <w:szCs w:val="20"/>
          <w:color w:val="auto"/>
        </w:rPr>
      </w:pPr>
    </w:p>
    <w:p>
      <w:pPr>
        <w:ind w:right="1400"/>
        <w:spacing w:after="0" w:line="379" w:lineRule="auto"/>
        <w:rPr>
          <w:sz w:val="20"/>
          <w:szCs w:val="20"/>
          <w:color w:val="auto"/>
        </w:rPr>
      </w:pPr>
      <w:r>
        <w:rPr>
          <w:rFonts w:ascii="Times New Roman" w:cs="Times New Roman" w:eastAsia="Times New Roman" w:hAnsi="Times New Roman"/>
          <w:sz w:val="17"/>
          <w:szCs w:val="17"/>
          <w:color w:val="auto"/>
        </w:rPr>
        <w:t xml:space="preserve">The information provided on our website is not a part of this annual report on Form 10-K and therefore is not incorporated herein by reference. </w:t>
      </w:r>
      <w:r>
        <w:rPr>
          <w:rFonts w:ascii="Times New Roman" w:cs="Times New Roman" w:eastAsia="Times New Roman" w:hAnsi="Times New Roman"/>
          <w:sz w:val="17"/>
          <w:szCs w:val="17"/>
          <w:b w:val="1"/>
          <w:bCs w:val="1"/>
          <w:color w:val="auto"/>
        </w:rPr>
        <w:t>INSIDER TRADING POLICY</w:t>
      </w:r>
    </w:p>
    <w:p>
      <w:pPr>
        <w:spacing w:after="0" w:line="1" w:lineRule="exact"/>
        <w:rPr>
          <w:sz w:val="20"/>
          <w:szCs w:val="20"/>
          <w:color w:val="auto"/>
        </w:rPr>
      </w:pPr>
    </w:p>
    <w:p>
      <w:pPr>
        <w:jc w:val="both"/>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has insider trading policies and procedures that govern the purchase, sale and other dispositions of its securities by directors, officers and employees. We believe these policies and procedures are reasonably designed to promote compliance with insider trading laws, rules and regulations and applicable listing standards. A copy of our Insider Trading Policy is filed as </w:t>
      </w:r>
      <w:hyperlink r:id="rId125">
        <w:r>
          <w:rPr>
            <w:rFonts w:ascii="Times New Roman" w:cs="Times New Roman" w:eastAsia="Times New Roman" w:hAnsi="Times New Roman"/>
            <w:sz w:val="17"/>
            <w:szCs w:val="17"/>
            <w:u w:val="single" w:color="auto"/>
            <w:color w:val="0000FF"/>
          </w:rPr>
          <w:t>Exhibit 19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this annual report on Form 10-K.</w:t>
      </w:r>
    </w:p>
    <w:p>
      <w:pPr>
        <w:spacing w:after="0" w:line="15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Information regarding executive compensation is incorporated herein by reference to the material under the captions “Compensation of Executive Officers” and “Corporate Governance</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Director Compensation” in our 2026 Proxy Statement. Information regarding our Compensation Committee is incorporated herein by reference to the material under the captions “Corporate Governance</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Committees of the Board</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Compensation Committee</w:t>
      </w:r>
      <w:r>
        <w:rPr>
          <w:rFonts w:ascii="Times New Roman" w:cs="Times New Roman" w:eastAsia="Times New Roman" w:hAnsi="Times New Roman"/>
          <w:sz w:val="17"/>
          <w:szCs w:val="17"/>
          <w:color w:val="666666"/>
        </w:rPr>
        <w:t>—C</w:t>
      </w:r>
      <w:r>
        <w:rPr>
          <w:rFonts w:ascii="Times New Roman" w:cs="Times New Roman" w:eastAsia="Times New Roman" w:hAnsi="Times New Roman"/>
          <w:sz w:val="17"/>
          <w:szCs w:val="17"/>
          <w:color w:val="auto"/>
        </w:rPr>
        <w:t>ompensation Committee Interlocks and Insider Participation” and “Compensation of Executive Officers</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Compensation Committee Report” in our 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Information regarding security ownership of certain beneficial owners and management and securities authorized for issuance under our existing equity compensation plans and arrangements is incorporated herein by reference to the material under the captions “Holders of Common Stock” and “Equity Compensation Plan Information” in the 2026 Proxy Statement.</w:t>
      </w:r>
    </w:p>
    <w:p>
      <w:pPr>
        <w:spacing w:after="0" w:line="1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There are no transactions of the type required to be disclosed by Item 404(a) of Regulation S-K. Information regarding transactions with related persons and director independence is incorporated herein by reference to the material under the captions “Proposal 1: Election of Directors</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Nominees for Director,” “Proposal</w:t>
      </w:r>
    </w:p>
    <w:p>
      <w:pPr>
        <w:spacing w:after="0" w:line="1" w:lineRule="exact"/>
        <w:rPr>
          <w:sz w:val="20"/>
          <w:szCs w:val="20"/>
          <w:color w:val="auto"/>
        </w:rPr>
      </w:pPr>
    </w:p>
    <w:p>
      <w:pPr>
        <w:ind w:firstLine="3"/>
        <w:spacing w:after="0" w:line="249" w:lineRule="auto"/>
        <w:tabs>
          <w:tab w:leader="none" w:pos="18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Directors</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Continuing Directors,” “Corporate Governance</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Principles of Corporate Governance,” and “Related Person Transactions” in the 2026 Proxy Statement.</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Information regarding fees and services provided by our principal accountant and the LP Finance and Audit Committee’s pre-approval policies and procedures relating thereto is incorporated herein by reference to the material under the caption “Audit Matters</w:t>
      </w:r>
      <w:r>
        <w:rPr>
          <w:rFonts w:ascii="Times New Roman" w:cs="Times New Roman" w:eastAsia="Times New Roman" w:hAnsi="Times New Roman"/>
          <w:sz w:val="17"/>
          <w:szCs w:val="17"/>
          <w:color w:val="666666"/>
        </w:rPr>
        <w:t>—</w:t>
      </w:r>
      <w:r>
        <w:rPr>
          <w:rFonts w:ascii="Times New Roman" w:cs="Times New Roman" w:eastAsia="Times New Roman" w:hAnsi="Times New Roman"/>
          <w:sz w:val="17"/>
          <w:szCs w:val="17"/>
          <w:color w:val="auto"/>
        </w:rPr>
        <w:t>Pre-Approval of Audit and Permissible Non-Audit Services of Independent Registered Public Accounting Firm” in the 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Financial Statements and Financial Statement Schedules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i w:val="1"/>
          <w:iCs w:val="1"/>
          <w:color w:val="auto"/>
        </w:rPr>
        <w:t>The following financial statements of LP are included in this annual report on Form 10-K:</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Consolidated Balance Sheets—December 31, 2025 and 2024.</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Consolidated Statements of Income—years ended December 31, 2025, 2024, and 2023.</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Consolidated Statements of Comprehensive Income—years ended December 31, 2025, 2024 and 2023.</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Consolidated Statements of Cash Flows—years ended December 31, 2025, 2024, 2023.</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Consolidated Statements of Stockholders’ Equity—years ended December 31, 2025, 2024 and 2023.</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Notes to the Consolidated Financial Statements.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 other financial statement schedules are required to be filed.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Exhibits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exhibits filed or furnished, as applicable, as part of this annual report on Form 10-K or incorporated by reference herein are listed below. Each management contract or compensatory plan or arrangement is identified by an asterisk (*). Each prior LP filing, which contains an exhibit incorporated by reference herein, is filed under SEC File No. 001-07107.</w:t>
      </w:r>
    </w:p>
    <w:p>
      <w:pPr>
        <w:sectPr>
          <w:pgSz w:w="11900" w:h="16838" w:orient="portrait"/>
          <w:cols w:equalWidth="0" w:num="1">
            <w:col w:w="11240"/>
          </w:cols>
          <w:pgMar w:left="320" w:top="1440" w:right="339" w:bottom="1440" w:gutter="0" w:footer="0" w:header="0"/>
        </w:sectPr>
      </w:pPr>
    </w:p>
    <w:p>
      <w:pPr>
        <w:spacing w:after="0" w:line="97" w:lineRule="exact"/>
        <w:rPr>
          <w:sz w:val="20"/>
          <w:szCs w:val="20"/>
          <w:color w:val="auto"/>
        </w:rPr>
      </w:pPr>
    </w:p>
    <w:p>
      <w:pPr>
        <w:jc w:val="center"/>
        <w:ind w:left="40"/>
        <w:spacing w:after="0" w:line="434"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Exhibit Number </w:t>
      </w:r>
      <w:r>
        <w:rPr>
          <w:rFonts w:ascii="Times New Roman" w:cs="Times New Roman" w:eastAsia="Times New Roman" w:hAnsi="Times New Roman"/>
          <w:sz w:val="17"/>
          <w:szCs w:val="17"/>
          <w:color w:val="auto"/>
        </w:rPr>
        <w:t>3.1</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3.2</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3.3</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4.1</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wp:posOffset>
            </wp:positionV>
            <wp:extent cx="62623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262370" cy="8255"/>
                    </a:xfrm>
                    <a:prstGeom prst="rect">
                      <a:avLst/>
                    </a:prstGeom>
                    <a:noFill/>
                  </pic:spPr>
                </pic:pic>
              </a:graphicData>
            </a:graphic>
          </wp:anchor>
        </w:drawing>
      </w:r>
    </w:p>
    <w:p>
      <w:pPr>
        <w:spacing w:after="0" w:line="21" w:lineRule="exact"/>
        <w:rPr>
          <w:sz w:val="20"/>
          <w:szCs w:val="20"/>
          <w:color w:val="auto"/>
        </w:rPr>
      </w:pPr>
    </w:p>
    <w:p>
      <w:pPr>
        <w:ind w:right="40"/>
        <w:spacing w:after="0" w:line="239" w:lineRule="auto"/>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Restated Certificate of Incorporation of LP. Incorporated herein by reference to Exhibit 3.2 to LP’s Annual Report on Form 10-K for the year</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ended December 31, 2007.</w:t>
        </w:r>
      </w:hyperlink>
    </w:p>
    <w:p>
      <w:pPr>
        <w:spacing w:after="0" w:line="62" w:lineRule="exact"/>
        <w:rPr>
          <w:sz w:val="20"/>
          <w:szCs w:val="20"/>
          <w:color w:val="auto"/>
        </w:rPr>
      </w:pPr>
    </w:p>
    <w:p>
      <w:pPr>
        <w:ind w:right="40"/>
        <w:spacing w:after="0" w:line="239"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Amended Certificate of Designation of Series A Junior Participating Cumulative Preferred Stock. Incorporated herein by reference to Exhibit</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3.3 to LP’s Quarterly Report on Form 10-Q for the quarter ended June 30, 2009.</w:t>
        </w:r>
      </w:hyperlink>
    </w:p>
    <w:p>
      <w:pPr>
        <w:spacing w:after="0" w:line="62" w:lineRule="exact"/>
        <w:rPr>
          <w:sz w:val="20"/>
          <w:szCs w:val="20"/>
          <w:color w:val="auto"/>
        </w:rPr>
      </w:pPr>
    </w:p>
    <w:p>
      <w:pPr>
        <w:ind w:right="40"/>
        <w:spacing w:after="0" w:line="239" w:lineRule="auto"/>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Second Amended and Restated Bylaws of LP. Incorporated herein by reference to Exhibit 3.1 to LP’s Current Report on Form 8-K, filed on</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February 14, 2025.</w:t>
        </w:r>
      </w:hyperlink>
    </w:p>
    <w:p>
      <w:pPr>
        <w:spacing w:after="0" w:line="62" w:lineRule="exact"/>
        <w:rPr>
          <w:sz w:val="20"/>
          <w:szCs w:val="20"/>
          <w:color w:val="auto"/>
        </w:rPr>
      </w:pPr>
    </w:p>
    <w:p>
      <w:pPr>
        <w:ind w:right="40"/>
        <w:spacing w:after="0" w:line="239" w:lineRule="auto"/>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u w:val="single" w:color="auto"/>
            <w:color w:val="0000FF"/>
          </w:rPr>
          <w:t>Indenture, dated as of March 11, 2021, between LP and The Bank of New York Mellon Trust Company, N.A., as trustee. Incorporated herein</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by reference to Exhibit 4.1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s Current Report on Form 8-K, filed on March 11, 2021.</w:t>
        </w:r>
      </w:hyperlink>
    </w:p>
    <w:p>
      <w:pPr>
        <w:spacing w:after="0" w:line="62" w:lineRule="exact"/>
        <w:rPr>
          <w:sz w:val="20"/>
          <w:szCs w:val="20"/>
          <w:color w:val="auto"/>
        </w:rPr>
      </w:pPr>
    </w:p>
    <w:p>
      <w:pPr>
        <w:ind w:right="40"/>
        <w:spacing w:after="0" w:line="239" w:lineRule="auto"/>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Description of Securities. Incorporated herein by reference to Exhibit 4.2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s Annual Report on Form 10-K for the year ended December</w:t>
        </w:r>
      </w:hyperlink>
      <w:r>
        <w:rPr>
          <w:rFonts w:ascii="Times New Roman" w:cs="Times New Roman" w:eastAsia="Times New Roman" w:hAnsi="Times New Roman"/>
          <w:sz w:val="17"/>
          <w:szCs w:val="17"/>
          <w:color w:val="0000FF"/>
        </w:rPr>
        <w:t xml:space="preserve"> </w:t>
      </w:r>
      <w:hyperlink r:id="rId133">
        <w:r>
          <w:rPr>
            <w:rFonts w:ascii="Times New Roman" w:cs="Times New Roman" w:eastAsia="Times New Roman" w:hAnsi="Times New Roman"/>
            <w:sz w:val="17"/>
            <w:szCs w:val="17"/>
            <w:u w:val="single" w:color="auto"/>
            <w:color w:val="0000FF"/>
          </w:rPr>
          <w:t>31, 2020.</w:t>
        </w:r>
      </w:hyperlink>
    </w:p>
    <w:p>
      <w:pPr>
        <w:spacing w:after="0" w:line="52" w:lineRule="exact"/>
        <w:rPr>
          <w:sz w:val="20"/>
          <w:szCs w:val="20"/>
          <w:color w:val="auto"/>
        </w:rPr>
      </w:pPr>
    </w:p>
    <w:p>
      <w:pPr>
        <w:sectPr>
          <w:pgSz w:w="11900" w:h="16838" w:orient="portrait"/>
          <w:cols w:equalWidth="0" w:num="2">
            <w:col w:w="1240" w:space="140"/>
            <w:col w:w="9860"/>
          </w:cols>
          <w:pgMar w:left="320" w:top="1440" w:right="339" w:bottom="1440" w:gutter="0" w:footer="0" w:header="0"/>
          <w:type w:val="continuous"/>
        </w:sectPr>
      </w:pPr>
    </w:p>
    <w:p>
      <w:pPr>
        <w:ind w:left="1380"/>
        <w:spacing w:after="0"/>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Second Amended and Restated Credit Agreement, dated November 29, 2022, among the Company, as borrower, American AgCredit PCA, as</w:t>
        </w:r>
      </w:hyperlink>
    </w:p>
    <w:p>
      <w:pPr>
        <w:ind w:left="1380" w:right="40" w:hanging="888"/>
        <w:spacing w:after="0" w:line="228" w:lineRule="auto"/>
        <w:tabs>
          <w:tab w:leader="none" w:pos="13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w:t>
      </w:r>
      <w:r>
        <w:rPr>
          <w:sz w:val="20"/>
          <w:szCs w:val="20"/>
          <w:color w:val="auto"/>
        </w:rPr>
        <w:tab/>
      </w:r>
      <w:hyperlink r:id="rId134">
        <w:r>
          <w:rPr>
            <w:rFonts w:ascii="Times New Roman" w:cs="Times New Roman" w:eastAsia="Times New Roman" w:hAnsi="Times New Roman"/>
            <w:sz w:val="17"/>
            <w:szCs w:val="17"/>
            <w:u w:val="single" w:color="auto"/>
            <w:color w:val="0000FF"/>
          </w:rPr>
          <w:t>administrative agent, CoBank, ACB, as letter of credit issuer and lenders and voting participants party thereto. Incorporated herein by</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reference to Exhibit 10.1 to LP’s Current Report on Form 8-K, filed November 29, 2022.</w:t>
        </w:r>
      </w:hyperlink>
    </w:p>
    <w:p>
      <w:pPr>
        <w:spacing w:after="0" w:line="52" w:lineRule="exact"/>
        <w:rPr>
          <w:sz w:val="20"/>
          <w:szCs w:val="20"/>
          <w:color w:val="auto"/>
        </w:rPr>
      </w:pPr>
    </w:p>
    <w:p>
      <w:pPr>
        <w:ind w:left="1380"/>
        <w:spacing w:after="0"/>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First Amendment to Second Amended and Restated Credit Agreement, dated March 26, 2025, among the Company, as borrower, American</w:t>
        </w:r>
      </w:hyperlink>
    </w:p>
    <w:p>
      <w:pPr>
        <w:ind w:left="1380" w:right="40" w:hanging="888"/>
        <w:spacing w:after="0" w:line="228" w:lineRule="auto"/>
        <w:tabs>
          <w:tab w:leader="none" w:pos="13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w:t>
      </w:r>
      <w:r>
        <w:rPr>
          <w:sz w:val="20"/>
          <w:szCs w:val="20"/>
          <w:color w:val="auto"/>
        </w:rPr>
        <w:tab/>
      </w:r>
      <w:hyperlink r:id="rId135">
        <w:r>
          <w:rPr>
            <w:rFonts w:ascii="Times New Roman" w:cs="Times New Roman" w:eastAsia="Times New Roman" w:hAnsi="Times New Roman"/>
            <w:sz w:val="17"/>
            <w:szCs w:val="17"/>
            <w:u w:val="single" w:color="auto"/>
            <w:color w:val="0000FF"/>
          </w:rPr>
          <w:t>AgCredit PCA, as administrative agent, CoBank, ACB, as letter of credit issuer and lenders and voting participants party thereto. Incorporated</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herein by reference to Exhibit 10.1 to LP’s Current Report on Form 8-K, filed March 28, 2025.</w:t>
        </w:r>
      </w:hyperlink>
    </w:p>
    <w:p>
      <w:pPr>
        <w:sectPr>
          <w:pgSz w:w="11900" w:h="16838" w:orient="portrait"/>
          <w:cols w:equalWidth="0" w:num="1">
            <w:col w:w="11240"/>
          </w:cols>
          <w:pgMar w:left="320" w:top="1440" w:right="339" w:bottom="1440" w:gutter="0" w:footer="0" w:header="0"/>
          <w:type w:val="continuous"/>
        </w:sectPr>
      </w:pP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10.3</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40"/>
        <w:spacing w:after="0" w:line="239" w:lineRule="auto"/>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Annual Cash Incentive Award Plan, Amended and Restated as of February 12, 2009. Incorporated herein by reference to Appendix B to LP’s</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Definitive Proxy Statement on Schedule 14A, filed on March 23, 2009.*</w:t>
        </w:r>
      </w:hyperlink>
    </w:p>
    <w:p>
      <w:pPr>
        <w:spacing w:after="0" w:line="52"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2004 Executive Deferred Compensation Plan, Amended and Restated, Effective January 1, 2024. Incorporated herein by reference to Exhibit</w:t>
        </w:r>
      </w:hyperlink>
    </w:p>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u w:val="single" w:color="auto"/>
            <w:color w:val="0000FF"/>
          </w:rPr>
          <w:t>10.3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s Annual Report on Form 10-K for the year ended December 31,2023.*</w:t>
        </w:r>
      </w:hyperlink>
    </w:p>
    <w:p>
      <w:pPr>
        <w:spacing w:after="0" w:line="200" w:lineRule="exact"/>
        <w:rPr>
          <w:sz w:val="20"/>
          <w:szCs w:val="20"/>
          <w:color w:val="auto"/>
        </w:rPr>
      </w:pPr>
    </w:p>
    <w:p>
      <w:pPr>
        <w:sectPr>
          <w:pgSz w:w="11900" w:h="16838" w:orient="portrait"/>
          <w:cols w:equalWidth="0" w:num="2">
            <w:col w:w="780" w:space="600"/>
            <w:col w:w="98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rPr>
              <w:t>10.5</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2008 Supplemental Executive Retirement Plan, Amended and Restated, Effective January 1, 2008. Incorporated herein by reference to Exhibit</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r>
                <w:rPr>
                  <w:rFonts w:ascii="Times New Roman" w:cs="Times New Roman" w:eastAsia="Times New Roman" w:hAnsi="Times New Roman"/>
                  <w:sz w:val="17"/>
                  <w:szCs w:val="17"/>
                  <w:color w:val="0000FF"/>
                </w:rPr>
                <w:t xml:space="preserve">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 Quarterly Report on Form 10-Q for the quarter ended June 30, 2011.*</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rPr>
              <w:t>10.6</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2013 Omnibus Stock Award Plan, Effective May 3, 2013. Incorporated herein by reference to Annex A to LP’s Definitive Proxy Statement on</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Schedule 14A, filed on March 20, 2013.*</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rPr>
              <w:t>10.7</w:t>
            </w:r>
          </w:p>
        </w:tc>
        <w:tc>
          <w:tcPr>
            <w:tcW w:w="9820" w:type="dxa"/>
            <w:vAlign w:val="bottom"/>
            <w:gridSpan w:val="24"/>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Amendment No 1 to Louisiana-Pacific Corporation 2013 Omnibus Stock Award Plan. Incorporated herein by reference to Exhibit 10.26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680" w:type="dxa"/>
            <w:vAlign w:val="bottom"/>
            <w:tcBorders>
              <w:top w:val="single" w:sz="8" w:color="0000FF"/>
            </w:tcBorders>
            <w:gridSpan w:val="21"/>
            <w:vMerge w:val="restart"/>
          </w:tcPr>
          <w:p>
            <w:pPr>
              <w:spacing w:after="0" w:line="148"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Annual Report on Form 10-K for the year ended December 31, 2017.*</w:t>
              </w:r>
            </w:hyperlink>
          </w:p>
        </w:tc>
        <w:tc>
          <w:tcPr>
            <w:tcW w:w="60" w:type="dxa"/>
            <w:vAlign w:val="bottom"/>
            <w:vMerge w:val="restart"/>
          </w:tcPr>
          <w:p>
            <w:pPr>
              <w:spacing w:after="0"/>
              <w:rPr>
                <w:sz w:val="9"/>
                <w:szCs w:val="9"/>
                <w:color w:val="auto"/>
              </w:rPr>
            </w:pPr>
          </w:p>
        </w:tc>
        <w:tc>
          <w:tcPr>
            <w:tcW w:w="80" w:type="dxa"/>
            <w:vAlign w:val="bottom"/>
            <w:tcBorders>
              <w:top w:val="single" w:sz="8" w:color="0000FF"/>
            </w:tcBorders>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680" w:type="dxa"/>
            <w:vAlign w:val="bottom"/>
            <w:gridSpan w:val="21"/>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rPr>
              <w:t>10.8</w:t>
            </w:r>
          </w:p>
        </w:tc>
        <w:tc>
          <w:tcPr>
            <w:tcW w:w="9820" w:type="dxa"/>
            <w:vAlign w:val="bottom"/>
            <w:gridSpan w:val="24"/>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Louisiana-Pacific Corporation 2019 Employee Stock Purchase Plan. Incorporated herein by reference to Annex A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 Definitive Proxy</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8460" w:type="dxa"/>
            <w:vAlign w:val="bottom"/>
            <w:tcBorders>
              <w:top w:val="single" w:sz="8" w:color="0000FF"/>
            </w:tcBorders>
            <w:gridSpan w:val="19"/>
            <w:vMerge w:val="restart"/>
          </w:tcPr>
          <w:p>
            <w:pPr>
              <w:spacing w:after="0" w:line="148"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Statement on Schedule 14A, filed on March 26, 2019.*</w:t>
              </w:r>
            </w:hyperlink>
          </w:p>
        </w:tc>
        <w:tc>
          <w:tcPr>
            <w:tcW w:w="60" w:type="dxa"/>
            <w:vAlign w:val="bottom"/>
            <w:vMerge w:val="restart"/>
          </w:tcPr>
          <w:p>
            <w:pPr>
              <w:spacing w:after="0"/>
              <w:rPr>
                <w:sz w:val="9"/>
                <w:szCs w:val="9"/>
                <w:color w:val="auto"/>
              </w:rPr>
            </w:pPr>
          </w:p>
        </w:tc>
        <w:tc>
          <w:tcPr>
            <w:tcW w:w="1300" w:type="dxa"/>
            <w:vAlign w:val="bottom"/>
            <w:tcBorders>
              <w:top w:val="single" w:sz="8" w:color="0000FF"/>
            </w:tcBorders>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8460" w:type="dxa"/>
            <w:vAlign w:val="bottom"/>
            <w:gridSpan w:val="19"/>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3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rPr>
              <w:t>10.9</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First Amendment to Louisiana-Pacific 2019 Employee Stock Purchase Plan. Incorporated herein by reference to Exhibit 10.7 to LP’s</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4940" w:type="dxa"/>
            <w:vAlign w:val="bottom"/>
            <w:gridSpan w:val="10"/>
            <w:vMerge w:val="restart"/>
          </w:tcPr>
          <w:p>
            <w:pPr>
              <w:spacing w:after="0" w:line="148"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Quarterly Report on Form 10-Q for the quarter ended March 31, 2022.*</w:t>
              </w:r>
            </w:hyperlink>
          </w:p>
        </w:tc>
        <w:tc>
          <w:tcPr>
            <w:tcW w:w="4880" w:type="dxa"/>
            <w:vAlign w:val="bottom"/>
            <w:gridSpan w:val="1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940" w:type="dxa"/>
            <w:vAlign w:val="bottom"/>
          </w:tcPr>
          <w:p>
            <w:pPr>
              <w:spacing w:after="0"/>
              <w:rPr>
                <w:sz w:val="3"/>
                <w:szCs w:val="3"/>
                <w:color w:val="auto"/>
              </w:rPr>
            </w:pPr>
          </w:p>
        </w:tc>
        <w:tc>
          <w:tcPr>
            <w:tcW w:w="4940" w:type="dxa"/>
            <w:vAlign w:val="bottom"/>
            <w:tcBorders>
              <w:bottom w:val="single" w:sz="8" w:color="0000FF"/>
            </w:tcBorders>
            <w:gridSpan w:val="10"/>
            <w:vMerge w:val="continue"/>
          </w:tcPr>
          <w:p>
            <w:pPr>
              <w:spacing w:after="0"/>
              <w:rPr>
                <w:sz w:val="3"/>
                <w:szCs w:val="3"/>
                <w:color w:val="auto"/>
              </w:rPr>
            </w:pPr>
          </w:p>
        </w:tc>
        <w:tc>
          <w:tcPr>
            <w:tcW w:w="4880" w:type="dxa"/>
            <w:vAlign w:val="bottom"/>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10.10</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Form of Severance Agreement between Louisiana-Pacific Corporation and Chief Executive Officer. Incorporated herein by reference to</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Exhibit 10.1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 Current Report on Form 8-K, filed on May 14, 2019.*</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10.11</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Form of Severance Agreement between Louisiana-Pacific Corporation and Certain Officers other than Chief Executive Officer. Incorporated</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herein by reference to Exhibit 10.2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 Current Report on Form 8-K, filed on May 14, 2019.*</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10.12</w:t>
            </w:r>
          </w:p>
        </w:tc>
        <w:tc>
          <w:tcPr>
            <w:tcW w:w="9820" w:type="dxa"/>
            <w:vAlign w:val="bottom"/>
            <w:gridSpan w:val="24"/>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Amended and Restated Louisiana-Pacific Corporation Non-Employee Directors Compensation Plan. Incorporated herein by reference to</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00" w:type="dxa"/>
            <w:vAlign w:val="bottom"/>
            <w:tcBorders>
              <w:top w:val="single" w:sz="8" w:color="0000FF"/>
            </w:tcBorders>
            <w:gridSpan w:val="23"/>
            <w:vMerge w:val="restart"/>
          </w:tcPr>
          <w:p>
            <w:pPr>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Exhibit 10.2 to LP’s Quarterly Report on Form 10-Q for the quarter ended June 30, 2020.*</w:t>
              </w:r>
            </w:hyperlink>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00" w:type="dxa"/>
            <w:vAlign w:val="bottom"/>
            <w:gridSpan w:val="2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00" w:type="dxa"/>
            <w:vAlign w:val="bottom"/>
            <w:tcBorders>
              <w:left w:val="single" w:sz="8" w:color="0000FF"/>
            </w:tcBorders>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10.13</w:t>
            </w:r>
          </w:p>
        </w:tc>
        <w:tc>
          <w:tcPr>
            <w:tcW w:w="9820" w:type="dxa"/>
            <w:vAlign w:val="bottom"/>
            <w:gridSpan w:val="24"/>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Amended and Restated Louisiana-Pacific Corporation Non-Employee Directors Compensation Plan. Incorporated herein by reference to</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6360" w:type="dxa"/>
            <w:vAlign w:val="bottom"/>
            <w:tcBorders>
              <w:top w:val="single" w:sz="8" w:color="0000FF"/>
            </w:tcBorders>
            <w:gridSpan w:val="17"/>
            <w:vMerge w:val="restart"/>
          </w:tcPr>
          <w:p>
            <w:pPr>
              <w:spacing w:after="0" w:line="148"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Exhibit 10.8 to LP’s Quarterly Report on Form 10-Q for the quarter ended March 31, 2022.*</w:t>
              </w:r>
            </w:hyperlink>
          </w:p>
        </w:tc>
        <w:tc>
          <w:tcPr>
            <w:tcW w:w="3440" w:type="dxa"/>
            <w:vAlign w:val="bottom"/>
            <w:tcBorders>
              <w:top w:val="single" w:sz="8" w:color="0000FF"/>
            </w:tcBorders>
            <w:gridSpan w:val="6"/>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940" w:type="dxa"/>
            <w:vAlign w:val="bottom"/>
          </w:tcPr>
          <w:p>
            <w:pPr>
              <w:spacing w:after="0"/>
              <w:rPr>
                <w:sz w:val="3"/>
                <w:szCs w:val="3"/>
                <w:color w:val="auto"/>
              </w:rPr>
            </w:pPr>
          </w:p>
        </w:tc>
        <w:tc>
          <w:tcPr>
            <w:tcW w:w="6360" w:type="dxa"/>
            <w:vAlign w:val="bottom"/>
            <w:tcBorders>
              <w:bottom w:val="single" w:sz="8" w:color="0000FF"/>
            </w:tcBorders>
            <w:gridSpan w:val="17"/>
            <w:vMerge w:val="continue"/>
          </w:tcPr>
          <w:p>
            <w:pPr>
              <w:spacing w:after="0"/>
              <w:rPr>
                <w:sz w:val="3"/>
                <w:szCs w:val="3"/>
                <w:color w:val="auto"/>
              </w:rPr>
            </w:pPr>
          </w:p>
        </w:tc>
        <w:tc>
          <w:tcPr>
            <w:tcW w:w="3440" w:type="dxa"/>
            <w:vAlign w:val="bottom"/>
            <w:gridSpan w:val="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10.14</w:t>
            </w:r>
          </w:p>
        </w:tc>
        <w:tc>
          <w:tcPr>
            <w:tcW w:w="9820" w:type="dxa"/>
            <w:vAlign w:val="bottom"/>
            <w:gridSpan w:val="24"/>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2022 Omnibus Stock Award Plan. Incorporated herein by reference to Annex A to LP</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 Definitive Proxy Statement on Schedule 14A, filed on</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1260" w:type="dxa"/>
            <w:vAlign w:val="bottom"/>
            <w:tcBorders>
              <w:top w:val="single" w:sz="8" w:color="0000FF"/>
            </w:tcBorders>
            <w:gridSpan w:val="3"/>
            <w:vMerge w:val="restart"/>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March 18, 2022.*</w:t>
              </w:r>
            </w:hyperlink>
          </w:p>
        </w:tc>
        <w:tc>
          <w:tcPr>
            <w:tcW w:w="4660" w:type="dxa"/>
            <w:vAlign w:val="bottom"/>
            <w:tcBorders>
              <w:top w:val="single" w:sz="8" w:color="0000FF"/>
            </w:tcBorders>
            <w:gridSpan w:val="11"/>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3860" w:type="dxa"/>
            <w:vAlign w:val="bottom"/>
            <w:tcBorders>
              <w:top w:val="single" w:sz="8" w:color="0000FF"/>
            </w:tcBorders>
            <w:gridSpan w:val="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940" w:type="dxa"/>
            <w:vAlign w:val="bottom"/>
          </w:tcPr>
          <w:p>
            <w:pPr>
              <w:spacing w:after="0"/>
              <w:rPr>
                <w:sz w:val="3"/>
                <w:szCs w:val="3"/>
                <w:color w:val="auto"/>
              </w:rPr>
            </w:pPr>
          </w:p>
        </w:tc>
        <w:tc>
          <w:tcPr>
            <w:tcW w:w="1260" w:type="dxa"/>
            <w:vAlign w:val="bottom"/>
            <w:tcBorders>
              <w:bottom w:val="single" w:sz="8" w:color="0000FF"/>
            </w:tcBorders>
            <w:gridSpan w:val="3"/>
            <w:vMerge w:val="continue"/>
          </w:tcPr>
          <w:p>
            <w:pPr>
              <w:spacing w:after="0"/>
              <w:rPr>
                <w:sz w:val="3"/>
                <w:szCs w:val="3"/>
                <w:color w:val="auto"/>
              </w:rPr>
            </w:pPr>
          </w:p>
        </w:tc>
        <w:tc>
          <w:tcPr>
            <w:tcW w:w="4660" w:type="dxa"/>
            <w:vAlign w:val="bottom"/>
            <w:gridSpan w:val="11"/>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8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10.15</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Restricted Stock Unit Award Agreement under the 2022 Omnibus Stock Award Plan. Incorporated herein by reference to Exhibit 10.2</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to LP’s Quarterly Report on Form 10-Q for the quarter ended March 31, 2024.*</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700" w:type="dxa"/>
            <w:vAlign w:val="bottom"/>
            <w:tcBorders>
              <w:left w:val="single" w:sz="8" w:color="0000FF"/>
            </w:tcBorders>
            <w:gridSpan w:val="7"/>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10.16</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Performance Shares Award Agreement under the 2022 Omnibus Stock Award Plan. Incorporated herein by reference to Exhibit 10.3</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to LP’s Quarterly Report on Form 10-Q for the quarter ended March 31, 2024.*</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2700" w:type="dxa"/>
            <w:vAlign w:val="bottom"/>
            <w:tcBorders>
              <w:left w:val="single" w:sz="8" w:color="0000FF"/>
            </w:tcBorders>
            <w:gridSpan w:val="7"/>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10.17</w:t>
            </w:r>
          </w:p>
        </w:tc>
        <w:tc>
          <w:tcPr>
            <w:tcW w:w="9820" w:type="dxa"/>
            <w:vAlign w:val="bottom"/>
            <w:gridSpan w:val="24"/>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Form of Restricted Stock Unit Award Agreement for directors under the 2022 Omnibus Stock Award Plan. Incorporated herein by reference to</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00" w:type="dxa"/>
            <w:vAlign w:val="bottom"/>
            <w:tcBorders>
              <w:top w:val="single" w:sz="8" w:color="0000FF"/>
            </w:tcBorders>
            <w:gridSpan w:val="23"/>
            <w:vMerge w:val="restart"/>
          </w:tcPr>
          <w:p>
            <w:pPr>
              <w:spacing w:after="0" w:line="148"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Exhibit 10.2 to LP's Quarterly Report on Form 10-Q for the quarter ended June 30, 2025.*</w:t>
              </w:r>
            </w:hyperlink>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00" w:type="dxa"/>
            <w:vAlign w:val="bottom"/>
            <w:gridSpan w:val="2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3440" w:type="dxa"/>
            <w:vAlign w:val="bottom"/>
            <w:tcBorders>
              <w:left w:val="single" w:sz="8" w:color="0000FF"/>
            </w:tcBorders>
            <w:gridSpan w:val="11"/>
            <w:shd w:val="clear" w:color="auto" w:fill="0000FF"/>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vMerge w:val="restart"/>
          </w:tcPr>
          <w:p>
            <w:pPr>
              <w:jc w:val="center"/>
              <w:ind w:right="474"/>
              <w:spacing w:after="0"/>
              <w:rPr>
                <w:sz w:val="20"/>
                <w:szCs w:val="20"/>
                <w:color w:val="auto"/>
              </w:rPr>
            </w:pPr>
            <w:r>
              <w:rPr>
                <w:rFonts w:ascii="Times New Roman" w:cs="Times New Roman" w:eastAsia="Times New Roman" w:hAnsi="Times New Roman"/>
                <w:sz w:val="17"/>
                <w:szCs w:val="17"/>
                <w:color w:val="auto"/>
                <w:w w:val="99"/>
              </w:rPr>
              <w:t>10.18</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Change of Control Employment Agreement. Incorporated herein by reference to Exhibit 10.25 to LP’s Annual Report on Form 10-K</w:t>
              </w:r>
            </w:hyperlink>
          </w:p>
        </w:tc>
        <w:tc>
          <w:tcPr>
            <w:tcW w:w="0" w:type="dxa"/>
            <w:vAlign w:val="bottom"/>
          </w:tcPr>
          <w:p>
            <w:pPr>
              <w:spacing w:after="0"/>
              <w:rPr>
                <w:sz w:val="1"/>
                <w:szCs w:val="1"/>
                <w:color w:val="auto"/>
              </w:rPr>
            </w:pPr>
          </w:p>
        </w:tc>
      </w:tr>
      <w:tr>
        <w:trPr>
          <w:trHeight w:val="109"/>
        </w:trPr>
        <w:tc>
          <w:tcPr>
            <w:tcW w:w="940" w:type="dxa"/>
            <w:vAlign w:val="bottom"/>
            <w:vMerge w:val="continue"/>
          </w:tcPr>
          <w:p>
            <w:pPr>
              <w:spacing w:after="0"/>
              <w:rPr>
                <w:sz w:val="9"/>
                <w:szCs w:val="9"/>
                <w:color w:val="auto"/>
              </w:rPr>
            </w:pPr>
          </w:p>
        </w:tc>
        <w:tc>
          <w:tcPr>
            <w:tcW w:w="9820" w:type="dxa"/>
            <w:vAlign w:val="bottom"/>
            <w:gridSpan w:val="24"/>
            <w:vMerge w:val="restart"/>
          </w:tcPr>
          <w:p>
            <w:pPr>
              <w:spacing w:after="0" w:line="14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 the year ended December 31, 2022.*</w:t>
              </w:r>
            </w:hyperlink>
          </w:p>
        </w:tc>
        <w:tc>
          <w:tcPr>
            <w:tcW w:w="0" w:type="dxa"/>
            <w:vAlign w:val="bottom"/>
          </w:tcPr>
          <w:p>
            <w:pPr>
              <w:spacing w:after="0"/>
              <w:rPr>
                <w:sz w:val="1"/>
                <w:szCs w:val="1"/>
                <w:color w:val="auto"/>
              </w:rPr>
            </w:pPr>
          </w:p>
        </w:tc>
      </w:tr>
      <w:tr>
        <w:trPr>
          <w:trHeight w:val="38"/>
        </w:trPr>
        <w:tc>
          <w:tcPr>
            <w:tcW w:w="940" w:type="dxa"/>
            <w:vAlign w:val="bottom"/>
          </w:tcPr>
          <w:p>
            <w:pPr>
              <w:spacing w:after="0"/>
              <w:rPr>
                <w:sz w:val="3"/>
                <w:szCs w:val="3"/>
                <w:color w:val="auto"/>
              </w:rPr>
            </w:pPr>
          </w:p>
        </w:tc>
        <w:tc>
          <w:tcPr>
            <w:tcW w:w="9820" w:type="dxa"/>
            <w:vAlign w:val="bottom"/>
            <w:gridSpan w:val="2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1">
            <w:col w:w="10760"/>
          </w:cols>
          <w:pgMar w:left="760" w:top="1440" w:right="379" w:bottom="1440" w:gutter="0" w:footer="0" w:header="0"/>
        </w:sectPr>
      </w:pPr>
    </w:p>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19</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21</w:t>
      </w:r>
    </w:p>
    <w:p>
      <w:pPr>
        <w:spacing w:after="0" w:line="7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23</w:t>
      </w:r>
    </w:p>
    <w:p>
      <w:pPr>
        <w:spacing w:after="0" w:line="7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31.1</w:t>
      </w:r>
    </w:p>
    <w:p>
      <w:pPr>
        <w:spacing w:after="0" w:line="7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31.2</w:t>
      </w:r>
    </w:p>
    <w:p>
      <w:pPr>
        <w:spacing w:after="0" w:line="7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32</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br w:type="column"/>
      </w:r>
    </w:p>
    <w:p>
      <w:pPr>
        <w:spacing w:after="0" w:line="239" w:lineRule="auto"/>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LP Insider Trading Policy. Incorporated herein by reference to Exhibit 19 to LP's annual Report on Form 10-K for the year ended December</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31, 2024.</w:t>
        </w:r>
      </w:hyperlink>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List of LP’s subsidiaries.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Deloitte &amp; Touche LLP.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of Chief Executive Officer pursuant to Rule 13a-14(a) under the Securities Exchange Act of 1934.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of Chief Financial Officer pursuant to Rule 13a-14(a) under the Securities Exchange Act of 1934. +</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Certifications pursuant to §906 of the Sarbanes-Oxley Act of 2002. ++</w:t>
      </w:r>
    </w:p>
    <w:p>
      <w:pPr>
        <w:spacing w:after="0" w:line="75"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Louisiana-Pacific Corporation NYSE Clawback Policy. Incorporated herein by reference to Exhibit 10.25 to LP’s Annual Report on Form 10-</w:t>
        </w:r>
      </w:hyperlink>
      <w:hyperlink r:id="rId153">
        <w:r>
          <w:rPr>
            <w:rFonts w:ascii="Times New Roman" w:cs="Times New Roman" w:eastAsia="Times New Roman" w:hAnsi="Times New Roman"/>
            <w:sz w:val="17"/>
            <w:szCs w:val="17"/>
            <w:u w:val="single" w:color="auto"/>
            <w:color w:val="0000FF"/>
          </w:rPr>
          <w:t>K for the year ended December 31, 2023.*</w:t>
        </w:r>
      </w:hyperlink>
    </w:p>
    <w:p>
      <w:pPr>
        <w:spacing w:after="0" w:line="200" w:lineRule="exact"/>
        <w:rPr>
          <w:sz w:val="20"/>
          <w:szCs w:val="20"/>
          <w:color w:val="auto"/>
        </w:rPr>
      </w:pPr>
    </w:p>
    <w:p>
      <w:pPr>
        <w:sectPr>
          <w:pgSz w:w="11900" w:h="16838" w:orient="portrait"/>
          <w:cols w:equalWidth="0" w:num="2">
            <w:col w:w="340" w:space="600"/>
            <w:col w:w="9820"/>
          </w:cols>
          <w:pgMar w:left="76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77470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type w:val="continuous"/>
        </w:sectPr>
      </w:pPr>
    </w:p>
    <w:bookmarkStart w:id="88" w:name="page89"/>
    <w:bookmarkEnd w:id="88"/>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Inline XBRL Instance Document. </w:t>
            </w:r>
            <w:r>
              <w:rPr>
                <w:rFonts w:ascii="Times New Roman" w:cs="Times New Roman" w:eastAsia="Times New Roman" w:hAnsi="Times New Roman"/>
                <w:sz w:val="15"/>
                <w:szCs w:val="15"/>
                <w:color w:val="auto"/>
              </w:rPr>
              <w:t>+</w:t>
            </w: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Inline XBRL Taxonomy Extension Schema Document. </w:t>
            </w:r>
            <w:r>
              <w:rPr>
                <w:rFonts w:ascii="Times New Roman" w:cs="Times New Roman" w:eastAsia="Times New Roman" w:hAnsi="Times New Roman"/>
                <w:sz w:val="15"/>
                <w:szCs w:val="15"/>
                <w:color w:val="auto"/>
              </w:rPr>
              <w:t>+</w:t>
            </w: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Inline XBRL Taxonomy Extension Calculation Linkbase Document. </w:t>
            </w:r>
            <w:r>
              <w:rPr>
                <w:rFonts w:ascii="Times New Roman" w:cs="Times New Roman" w:eastAsia="Times New Roman" w:hAnsi="Times New Roman"/>
                <w:sz w:val="15"/>
                <w:szCs w:val="15"/>
                <w:color w:val="auto"/>
              </w:rPr>
              <w:t>+</w:t>
            </w: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Inline XBRL Taxonomy Extension Label Linkbase Document. </w:t>
            </w:r>
            <w:r>
              <w:rPr>
                <w:rFonts w:ascii="Times New Roman" w:cs="Times New Roman" w:eastAsia="Times New Roman" w:hAnsi="Times New Roman"/>
                <w:sz w:val="15"/>
                <w:szCs w:val="15"/>
                <w:color w:val="auto"/>
              </w:rPr>
              <w:t>+</w:t>
            </w: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Inline XBRL Taxonomy Extension Presentation Linkbase Document. </w:t>
            </w:r>
            <w:r>
              <w:rPr>
                <w:rFonts w:ascii="Times New Roman" w:cs="Times New Roman" w:eastAsia="Times New Roman" w:hAnsi="Times New Roman"/>
                <w:sz w:val="15"/>
                <w:szCs w:val="15"/>
                <w:color w:val="auto"/>
              </w:rPr>
              <w:t>+</w:t>
            </w:r>
          </w:p>
        </w:tc>
      </w:tr>
      <w:tr>
        <w:trPr>
          <w:trHeight w:val="30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Inline XBRL Taxonomy Extension Definition Linkbase Document. </w:t>
            </w:r>
            <w:r>
              <w:rPr>
                <w:rFonts w:ascii="Times New Roman" w:cs="Times New Roman" w:eastAsia="Times New Roman" w:hAnsi="Times New Roman"/>
                <w:sz w:val="15"/>
                <w:szCs w:val="15"/>
                <w:color w:val="auto"/>
              </w:rPr>
              <w:t>+</w:t>
            </w:r>
          </w:p>
        </w:tc>
      </w:tr>
    </w:tbl>
    <w:p>
      <w:pPr>
        <w:spacing w:after="0" w:line="86" w:lineRule="exact"/>
        <w:rPr>
          <w:sz w:val="20"/>
          <w:szCs w:val="20"/>
          <w:color w:val="auto"/>
        </w:rPr>
      </w:pPr>
    </w:p>
    <w:p>
      <w:pPr>
        <w:ind w:left="1380" w:hanging="874"/>
        <w:spacing w:after="0"/>
        <w:tabs>
          <w:tab w:leader="none" w:pos="13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Cover Page Interactive Data File (embedded with Inline XBRL document and contained in Exhibit 101).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w:t>
      </w:r>
    </w:p>
    <w:p>
      <w:pPr>
        <w:spacing w:after="0" w:line="9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Indicates a management contract or compensatory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9" w:name="page90"/>
    <w:bookmarkEnd w:id="89"/>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17, 2026</w:t>
            </w:r>
          </w:p>
        </w:tc>
        <w:tc>
          <w:tcPr>
            <w:tcW w:w="6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LOUISIANA-PACIFIC CORPORATION</w:t>
            </w:r>
          </w:p>
        </w:tc>
      </w:tr>
      <w:tr>
        <w:trPr>
          <w:trHeight w:val="223"/>
        </w:trPr>
        <w:tc>
          <w:tcPr>
            <w:tcW w:w="4680" w:type="dxa"/>
            <w:vAlign w:val="bottom"/>
          </w:tcPr>
          <w:p>
            <w:pPr>
              <w:spacing w:after="0"/>
              <w:rPr>
                <w:sz w:val="19"/>
                <w:szCs w:val="19"/>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(Registrant)</w:t>
            </w:r>
          </w:p>
        </w:tc>
      </w:tr>
      <w:tr>
        <w:trPr>
          <w:trHeight w:val="383"/>
        </w:trPr>
        <w:tc>
          <w:tcPr>
            <w:tcW w:w="4680" w:type="dxa"/>
            <w:vAlign w:val="bottom"/>
          </w:tcPr>
          <w:p>
            <w:pPr>
              <w:spacing w:after="0"/>
              <w:rPr>
                <w:sz w:val="24"/>
                <w:szCs w:val="24"/>
                <w:color w:val="auto"/>
              </w:rPr>
            </w:pP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Alan J.M. Haughie</w:t>
            </w:r>
          </w:p>
        </w:tc>
      </w:tr>
      <w:tr>
        <w:trPr>
          <w:trHeight w:val="123"/>
        </w:trPr>
        <w:tc>
          <w:tcPr>
            <w:tcW w:w="4680" w:type="dxa"/>
            <w:vAlign w:val="bottom"/>
          </w:tcPr>
          <w:p>
            <w:pPr>
              <w:spacing w:after="0"/>
              <w:rPr>
                <w:sz w:val="10"/>
                <w:szCs w:val="10"/>
                <w:color w:val="auto"/>
              </w:rPr>
            </w:pPr>
          </w:p>
        </w:tc>
        <w:tc>
          <w:tcPr>
            <w:tcW w:w="654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Alan J.M. Haughie</w:t>
            </w:r>
          </w:p>
        </w:tc>
      </w:tr>
      <w:tr>
        <w:trPr>
          <w:trHeight w:val="140"/>
        </w:trPr>
        <w:tc>
          <w:tcPr>
            <w:tcW w:w="4680" w:type="dxa"/>
            <w:vAlign w:val="bottom"/>
          </w:tcPr>
          <w:p>
            <w:pPr>
              <w:spacing w:after="0"/>
              <w:rPr>
                <w:sz w:val="12"/>
                <w:szCs w:val="12"/>
                <w:color w:val="auto"/>
              </w:rPr>
            </w:pPr>
          </w:p>
        </w:tc>
        <w:tc>
          <w:tcPr>
            <w:tcW w:w="65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6"/>
              </w:rPr>
              <w:t>Executive Vice President and</w:t>
            </w:r>
          </w:p>
        </w:tc>
      </w:tr>
      <w:tr>
        <w:trPr>
          <w:trHeight w:val="182"/>
        </w:trPr>
        <w:tc>
          <w:tcPr>
            <w:tcW w:w="4680" w:type="dxa"/>
            <w:vAlign w:val="bottom"/>
          </w:tcPr>
          <w:p>
            <w:pPr>
              <w:spacing w:after="0"/>
              <w:rPr>
                <w:sz w:val="15"/>
                <w:szCs w:val="15"/>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ind w:left="840"/>
        <w:spacing w:after="0"/>
        <w:tabs>
          <w:tab w:leader="none" w:pos="7400" w:val="left"/>
        </w:tabs>
        <w:rPr>
          <w:sz w:val="20"/>
          <w:szCs w:val="20"/>
          <w:color w:val="auto"/>
        </w:rPr>
      </w:pPr>
      <w:r>
        <w:rPr>
          <w:rFonts w:ascii="Times New Roman" w:cs="Times New Roman" w:eastAsia="Times New Roman" w:hAnsi="Times New Roman"/>
          <w:sz w:val="14"/>
          <w:szCs w:val="14"/>
          <w:b w:val="1"/>
          <w:bCs w:val="1"/>
          <w:u w:val="single" w:color="auto"/>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Signature and Title</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W. Bradley Southern</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W. Bradley Southern</w:t>
            </w:r>
          </w:p>
        </w:tc>
      </w:tr>
      <w:tr>
        <w:trPr>
          <w:trHeight w:val="140"/>
        </w:trPr>
        <w:tc>
          <w:tcPr>
            <w:tcW w:w="4700" w:type="dxa"/>
            <w:vAlign w:val="bottom"/>
          </w:tcPr>
          <w:p>
            <w:pPr>
              <w:spacing w:after="0"/>
              <w:rPr>
                <w:sz w:val="12"/>
                <w:szCs w:val="12"/>
                <w:color w:val="auto"/>
              </w:rPr>
            </w:pPr>
          </w:p>
        </w:tc>
        <w:tc>
          <w:tcPr>
            <w:tcW w:w="65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7"/>
              </w:rPr>
              <w:t>Chairperson of the Board</w:t>
            </w:r>
          </w:p>
        </w:tc>
      </w:tr>
      <w:tr>
        <w:trPr>
          <w:trHeight w:val="130"/>
        </w:trPr>
        <w:tc>
          <w:tcPr>
            <w:tcW w:w="4700" w:type="dxa"/>
            <w:vAlign w:val="bottom"/>
          </w:tcPr>
          <w:p>
            <w:pPr>
              <w:spacing w:after="0"/>
              <w:rPr>
                <w:sz w:val="11"/>
                <w:szCs w:val="11"/>
                <w:color w:val="auto"/>
              </w:rPr>
            </w:pPr>
          </w:p>
        </w:tc>
        <w:tc>
          <w:tcPr>
            <w:tcW w:w="6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i w:val="1"/>
                <w:iCs w:val="1"/>
                <w:color w:val="auto"/>
                <w:w w:val="97"/>
              </w:rPr>
              <w:t>Chief Executive Officer</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(Principal Executive Officer)</w:t>
            </w:r>
          </w:p>
        </w:tc>
      </w:tr>
    </w:tbl>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Alan J.M. Haughie</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Alan J.M. Haughie</w:t>
            </w:r>
          </w:p>
        </w:tc>
      </w:tr>
      <w:tr>
        <w:trPr>
          <w:trHeight w:val="140"/>
        </w:trPr>
        <w:tc>
          <w:tcPr>
            <w:tcW w:w="4700" w:type="dxa"/>
            <w:vAlign w:val="bottom"/>
          </w:tcPr>
          <w:p>
            <w:pPr>
              <w:spacing w:after="0"/>
              <w:rPr>
                <w:sz w:val="12"/>
                <w:szCs w:val="12"/>
                <w:color w:val="auto"/>
              </w:rPr>
            </w:pPr>
          </w:p>
        </w:tc>
        <w:tc>
          <w:tcPr>
            <w:tcW w:w="65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8"/>
              </w:rPr>
              <w:t>Executive Vice President and Chief Financial Officer</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(Principal Financial Officer)</w:t>
            </w:r>
          </w:p>
        </w:tc>
      </w:tr>
    </w:tbl>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Leslie E. Davis</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Leslie E. Davis</w:t>
            </w:r>
          </w:p>
        </w:tc>
      </w:tr>
      <w:tr>
        <w:trPr>
          <w:trHeight w:val="140"/>
        </w:trPr>
        <w:tc>
          <w:tcPr>
            <w:tcW w:w="4700" w:type="dxa"/>
            <w:vAlign w:val="bottom"/>
          </w:tcPr>
          <w:p>
            <w:pPr>
              <w:spacing w:after="0"/>
              <w:rPr>
                <w:sz w:val="12"/>
                <w:szCs w:val="12"/>
                <w:color w:val="auto"/>
              </w:rPr>
            </w:pPr>
          </w:p>
        </w:tc>
        <w:tc>
          <w:tcPr>
            <w:tcW w:w="65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w w:val="98"/>
              </w:rPr>
              <w:t>Vice President, Controller and Chief Accounting Officer</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(Principal Accounting Officer)</w:t>
            </w:r>
          </w:p>
        </w:tc>
      </w:tr>
    </w:tbl>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Kelly H. Barrett</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Kelly H. Barrett</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Jose A. Bayardo</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Jose A. Bayardo</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Lizanne M. Bruce</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Lizanne M. Bruce</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F. Nicholas Grasberger III</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F. Nicholas Grasberger III</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Ozey K. Horton, Jr.</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Ozey K. Horton, Jr.</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Stephen E. Macadam</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Stephen E. Macadam</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Dustan E. McCoy</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Dustan E. McCoy</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Jean-Michel Ribiéras</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Jean-Michel Ribiéras</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r>
        <w:trPr>
          <w:trHeight w:val="40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Ty R. Silberhorn</w:t>
            </w:r>
          </w:p>
        </w:tc>
      </w:tr>
      <w:tr>
        <w:trPr>
          <w:trHeight w:val="123"/>
        </w:trPr>
        <w:tc>
          <w:tcPr>
            <w:tcW w:w="4700" w:type="dxa"/>
            <w:vAlign w:val="bottom"/>
          </w:tcPr>
          <w:p>
            <w:pPr>
              <w:spacing w:after="0"/>
              <w:rPr>
                <w:sz w:val="10"/>
                <w:szCs w:val="10"/>
                <w:color w:val="auto"/>
              </w:rPr>
            </w:pPr>
          </w:p>
        </w:tc>
        <w:tc>
          <w:tcPr>
            <w:tcW w:w="65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Ty R. Silberhorn</w:t>
            </w:r>
          </w:p>
        </w:tc>
      </w:tr>
      <w:tr>
        <w:trPr>
          <w:trHeight w:val="182"/>
        </w:trPr>
        <w:tc>
          <w:tcPr>
            <w:tcW w:w="4700" w:type="dxa"/>
            <w:vAlign w:val="bottom"/>
          </w:tcPr>
          <w:p>
            <w:pPr>
              <w:spacing w:after="0"/>
              <w:rPr>
                <w:sz w:val="15"/>
                <w:szCs w:val="15"/>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240"/>
          </w:cols>
          <w:pgMar w:left="320" w:top="142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color w:val="auto"/>
        </w:rPr>
        <w:t>Exhibit 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Domestic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Ketchikan Pulp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Entekra Holdings,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Entekra, LLC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Entekra Truss, LLC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Canada Holdings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Canada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South America S.A.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Mexico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LP Brasil OSB Industria E. Comercio S.A.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Chile S.A.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del Perú S.A.C.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Argentina S.R.L.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Colombia S.A.S.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Louisiana-Pacific Paraguay S.A.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Entekra Ltd</w:t>
      </w:r>
    </w:p>
    <w:p>
      <w:pPr>
        <w:sectPr>
          <w:pgSz w:w="11900" w:h="16838" w:orient="portrait"/>
          <w:cols w:equalWidth="0" w:num="1">
            <w:col w:w="11240"/>
          </w:cols>
          <w:pgMar w:left="320" w:top="858" w:right="339" w:bottom="1440" w:gutter="0" w:footer="0" w:header="0"/>
        </w:sectPr>
      </w:pPr>
    </w:p>
    <w:bookmarkStart w:id="92" w:name="page93"/>
    <w:bookmarkEnd w:id="92"/>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333-228608, 333-156144, 333-153080, 333-118269, 333-87775, 333-188447, 333-110243, 333-264538, and 333-49106 on Form S-8 of our reports dated February 17, 2026, relating to the consolidated financial statements of Louisiana-Pacific Corporation and subsidiaries (the “Company”), and the effectiveness of the Company’s internal control over financial reporting appearing in this Annual Report on Form 10-K of Louisiana-Pacific Corporation for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Nashville, Tennessee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2026</w:t>
      </w:r>
    </w:p>
    <w:p>
      <w:pPr>
        <w:sectPr>
          <w:pgSz w:w="11900" w:h="16838" w:orient="portrait"/>
          <w:cols w:equalWidth="0" w:num="1">
            <w:col w:w="11240"/>
          </w:cols>
          <w:pgMar w:left="320" w:top="144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 Bradley Southern, certify that:</w:t>
      </w:r>
    </w:p>
    <w:p>
      <w:pPr>
        <w:spacing w:after="0" w:line="165" w:lineRule="exact"/>
        <w:rPr>
          <w:sz w:val="20"/>
          <w:szCs w:val="20"/>
          <w:color w:val="auto"/>
        </w:rPr>
      </w:pPr>
    </w:p>
    <w:p>
      <w:pPr>
        <w:ind w:left="600" w:hanging="17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Louisiana-Pacific Corporation;</w:t>
      </w:r>
    </w:p>
    <w:p>
      <w:pPr>
        <w:spacing w:after="0" w:line="165" w:lineRule="exact"/>
        <w:rPr>
          <w:rFonts w:ascii="Times New Roman" w:cs="Times New Roman" w:eastAsia="Times New Roman" w:hAnsi="Times New Roman"/>
          <w:sz w:val="17"/>
          <w:szCs w:val="17"/>
          <w:color w:val="auto"/>
        </w:rPr>
      </w:pPr>
    </w:p>
    <w:p>
      <w:pPr>
        <w:ind w:firstLine="429"/>
        <w:spacing w:after="0" w:line="287" w:lineRule="auto"/>
        <w:tabs>
          <w:tab w:leader="none" w:pos="62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firstLine="429"/>
        <w:spacing w:after="0" w:line="287" w:lineRule="auto"/>
        <w:tabs>
          <w:tab w:leader="none" w:pos="62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firstLine="429"/>
        <w:spacing w:after="0" w:line="270" w:lineRule="auto"/>
        <w:tabs>
          <w:tab w:leader="none" w:pos="60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3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2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1240" w:hanging="618"/>
        <w:spacing w:after="0" w:line="287" w:lineRule="auto"/>
        <w:tabs>
          <w:tab w:leader="none" w:pos="123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240" w:right="300" w:hanging="618"/>
        <w:spacing w:after="0" w:line="270" w:lineRule="auto"/>
        <w:tabs>
          <w:tab w:leader="none" w:pos="122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firstLine="429"/>
        <w:spacing w:after="0" w:line="287" w:lineRule="auto"/>
        <w:tabs>
          <w:tab w:leader="none" w:pos="62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240" w:hanging="618"/>
        <w:spacing w:after="0" w:line="287" w:lineRule="auto"/>
        <w:tabs>
          <w:tab w:leader="none" w:pos="123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1240" w:hanging="618"/>
        <w:spacing w:after="0" w:line="287" w:lineRule="auto"/>
        <w:tabs>
          <w:tab w:leader="none" w:pos="122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940" w:val="left"/>
          <w:tab w:leader="none" w:pos="82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February 17, 2026</w:t>
      </w:r>
      <w:r>
        <w:rPr>
          <w:sz w:val="20"/>
          <w:szCs w:val="20"/>
          <w:color w:val="auto"/>
        </w:rPr>
        <w:tab/>
      </w:r>
      <w:r>
        <w:rPr>
          <w:rFonts w:ascii="Times New Roman" w:cs="Times New Roman" w:eastAsia="Times New Roman" w:hAnsi="Times New Roman"/>
          <w:sz w:val="16"/>
          <w:szCs w:val="16"/>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701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p>
      <w:pPr>
        <w:spacing w:after="0" w:line="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7"/>
          <w:szCs w:val="17"/>
          <w:color w:val="auto"/>
        </w:rPr>
        <w:t>W. Bradley Southern</w:t>
      </w:r>
    </w:p>
    <w:p>
      <w:pPr>
        <w:jc w:val="center"/>
        <w:ind w:left="690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5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Alan J.M. Haughie, certify that:</w:t>
      </w:r>
    </w:p>
    <w:p>
      <w:pPr>
        <w:spacing w:after="0" w:line="165"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Louisiana-Pacific Corporation;</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jc w:val="both"/>
        <w:ind w:left="940" w:hanging="627"/>
        <w:spacing w:after="0" w:line="270" w:lineRule="auto"/>
        <w:tabs>
          <w:tab w:leader="none" w:pos="93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jc w:val="both"/>
        <w:ind w:left="940" w:hanging="627"/>
        <w:spacing w:after="0" w:line="270" w:lineRule="auto"/>
        <w:tabs>
          <w:tab w:leader="none" w:pos="92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hanging="627"/>
        <w:spacing w:after="0" w:line="287" w:lineRule="auto"/>
        <w:tabs>
          <w:tab w:leader="none" w:pos="93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jc w:val="both"/>
        <w:ind w:left="940" w:hanging="627"/>
        <w:spacing w:after="0" w:line="270" w:lineRule="auto"/>
        <w:tabs>
          <w:tab w:leader="none" w:pos="92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left="620" w:hanging="307"/>
        <w:spacing w:after="0" w:line="28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sz w:val="20"/>
          <w:szCs w:val="20"/>
          <w:color w:val="auto"/>
        </w:rPr>
      </w:pPr>
    </w:p>
    <w:p>
      <w:pPr>
        <w:ind w:left="940" w:hanging="627"/>
        <w:spacing w:after="0" w:line="287" w:lineRule="auto"/>
        <w:tabs>
          <w:tab w:leader="none" w:pos="93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hanging="627"/>
        <w:spacing w:after="0" w:line="287" w:lineRule="auto"/>
        <w:tabs>
          <w:tab w:leader="none" w:pos="92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17, 2026</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Alan J.M. Haughie</w:t>
            </w:r>
          </w:p>
        </w:tc>
      </w:tr>
      <w:tr>
        <w:trPr>
          <w:trHeight w:val="209"/>
        </w:trPr>
        <w:tc>
          <w:tcPr>
            <w:tcW w:w="55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Alan J.M. Haughie</w:t>
            </w:r>
          </w:p>
        </w:tc>
      </w:tr>
      <w:tr>
        <w:trPr>
          <w:trHeight w:val="223"/>
        </w:trPr>
        <w:tc>
          <w:tcPr>
            <w:tcW w:w="5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135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LOUISIANA-PACIFIC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1610 West End Ave, Suite 200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Nashville, TN 37203</w:t>
      </w:r>
    </w:p>
    <w:p>
      <w:pPr>
        <w:spacing w:after="0" w:line="11" w:lineRule="exact"/>
        <w:rPr>
          <w:sz w:val="20"/>
          <w:szCs w:val="20"/>
          <w:color w:val="auto"/>
        </w:rPr>
      </w:pPr>
    </w:p>
    <w:p>
      <w:pPr>
        <w:ind w:left="5500" w:hanging="413"/>
        <w:spacing w:after="0"/>
        <w:tabs>
          <w:tab w:leader="none" w:pos="55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986-5600</w:t>
      </w:r>
    </w:p>
    <w:p>
      <w:pPr>
        <w:spacing w:after="0" w:line="148" w:lineRule="exact"/>
        <w:rPr>
          <w:rFonts w:ascii="Times New Roman" w:cs="Times New Roman" w:eastAsia="Times New Roman" w:hAnsi="Times New Roman"/>
          <w:sz w:val="17"/>
          <w:szCs w:val="17"/>
          <w:color w:val="auto"/>
        </w:rPr>
      </w:pPr>
    </w:p>
    <w:p>
      <w:pPr>
        <w:ind w:left="5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February 17,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Judiciary Plaza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450 Fifth Street, N.W.</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0" w:lineRule="exact"/>
        <w:rPr>
          <w:sz w:val="20"/>
          <w:szCs w:val="20"/>
          <w:color w:val="auto"/>
        </w:rPr>
      </w:pPr>
    </w:p>
    <w:p>
      <w:pPr>
        <w:spacing w:after="0" w:line="258" w:lineRule="exact"/>
        <w:rPr>
          <w:sz w:val="20"/>
          <w:szCs w:val="20"/>
          <w:color w:val="auto"/>
        </w:rPr>
      </w:pPr>
    </w:p>
    <w:p>
      <w:pPr>
        <w:ind w:left="380"/>
        <w:spacing w:after="0"/>
        <w:tabs>
          <w:tab w:leader="none" w:pos="780" w:val="left"/>
        </w:tabs>
        <w:rPr>
          <w:sz w:val="20"/>
          <w:szCs w:val="20"/>
          <w:color w:val="auto"/>
        </w:rPr>
      </w:pPr>
      <w:r>
        <w:rPr>
          <w:rFonts w:ascii="Times New Roman" w:cs="Times New Roman" w:eastAsia="Times New Roman" w:hAnsi="Times New Roman"/>
          <w:sz w:val="17"/>
          <w:szCs w:val="17"/>
          <w:color w:val="auto"/>
        </w:rPr>
        <w:t>Re:</w:t>
        <w:tab/>
        <w:t>Certification Pursuant to Section 906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65"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Pursuant to 18 U.S.C. § 1350, as adopted pursuant to Section 906 of the Sarbanes-Oxley Act of 2002, in connection with the annual report on Form 10-K of Louisiana-Pacific Corporation (the “Company”) for the fiscal year ended December 31, 2025, as filed with the Securities and Exchange Commission on the date hereof (the “Report”), each of the undersigned officers of the Company certifies, that, to such officer’s knowledge:</w:t>
      </w:r>
    </w:p>
    <w:p>
      <w:pPr>
        <w:spacing w:after="0" w:line="11" w:lineRule="exact"/>
        <w:rPr>
          <w:sz w:val="20"/>
          <w:szCs w:val="20"/>
          <w:color w:val="auto"/>
        </w:rPr>
      </w:pPr>
    </w:p>
    <w:p>
      <w:pPr>
        <w:ind w:left="920" w:hanging="530"/>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62" w:lineRule="exact"/>
        <w:rPr>
          <w:rFonts w:ascii="Times New Roman" w:cs="Times New Roman" w:eastAsia="Times New Roman" w:hAnsi="Times New Roman"/>
          <w:sz w:val="17"/>
          <w:szCs w:val="17"/>
          <w:color w:val="auto"/>
        </w:rPr>
      </w:pPr>
    </w:p>
    <w:p>
      <w:pPr>
        <w:ind w:left="940" w:hanging="550"/>
        <w:spacing w:after="0" w:line="287" w:lineRule="auto"/>
        <w:tabs>
          <w:tab w:leader="none" w:pos="93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the dates and for the periods expressed in the Report.</w:t>
      </w:r>
    </w:p>
    <w:p>
      <w:pPr>
        <w:spacing w:after="0" w:line="7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17145</wp:posOffset>
            </wp:positionV>
            <wp:extent cx="34709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Name: W. Bradley Southern</w:t>
      </w:r>
    </w:p>
    <w:p>
      <w:pPr>
        <w:ind w:left="58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9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17145</wp:posOffset>
            </wp:positionV>
            <wp:extent cx="34709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Name: Alan J.M. Haughie</w:t>
      </w:r>
    </w:p>
    <w:p>
      <w:pPr>
        <w:spacing w:after="0" w:line="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endash "/>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1."/>
      <w:numFmt w:val="decimal"/>
      <w:start w:val="2"/>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1."/>
      <w:numFmt w:val="decimal"/>
      <w:start w:val="5"/>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2"/>
      <w:numFmt w:val="bullet"/>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lvl w:ilvl="1">
      <w:lvlJc w:val="left"/>
      <w:lvlText w:val="%2"/>
      <w:numFmt w:val="decimal"/>
      <w:start w:val="104"/>
    </w:lvl>
  </w:abstractNum>
  <w:abstractNum w:abstractNumId="22">
    <w:nsid w:val="B03E0C6"/>
    <w:multiLevelType w:val="hybridMultilevel"/>
    <w:lvl w:ilvl="0">
      <w:lvlJc w:val="left"/>
      <w:lvlText w:val="%1."/>
      <w:numFmt w:val="decimal"/>
      <w:start w:val="1"/>
    </w:lvl>
    <w:lvl w:ilvl="1">
      <w:lvlJc w:val="left"/>
      <w:lvlText w:val="%2)"/>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615"/>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38"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25" Type="http://schemas.openxmlformats.org/officeDocument/2006/relationships/hyperlink" Target="https://www.sec.gov/Archives/edgar/data/60519/000006051925000005/lpinsidertradingpolicy.htm" TargetMode="External"/><Relationship Id="rId129" Type="http://schemas.openxmlformats.org/officeDocument/2006/relationships/hyperlink" Target="https://www.sec.gov/Archives/edgar/data/60519/000104746908002334/a2182927zex-3.htm" TargetMode="External"/><Relationship Id="rId130" Type="http://schemas.openxmlformats.org/officeDocument/2006/relationships/hyperlink" Target="https://www.sec.gov/Archives/edgar/data/60519/000119312509164894/dex33.htm" TargetMode="External"/><Relationship Id="rId131" Type="http://schemas.openxmlformats.org/officeDocument/2006/relationships/hyperlink" Target="https://www.sec.gov/Archives/edgar/data/60519/000006051925000002/secondarbylawsoflouisian.htm" TargetMode="External"/><Relationship Id="rId132" Type="http://schemas.openxmlformats.org/officeDocument/2006/relationships/hyperlink" Target="https://www.sec.gov/Archives/edgar/data/60519/000162828021004566/exhibit41.htm" TargetMode="External"/><Relationship Id="rId133" Type="http://schemas.openxmlformats.org/officeDocument/2006/relationships/hyperlink" Target="https://www.sec.gov/Archives/edgar/data/0000060519/000162828021002469/lpxex42.htm" TargetMode="External"/><Relationship Id="rId134" Type="http://schemas.openxmlformats.org/officeDocument/2006/relationships/hyperlink" Target="https://www.sec.gov/Archives/edgar/data/60519/000162828022030956/lpxsecondammendedandrest.htm" TargetMode="External"/><Relationship Id="rId135" Type="http://schemas.openxmlformats.org/officeDocument/2006/relationships/hyperlink" Target="https://www.sec.gov/Archives/edgar/data/60519/000006051925000008/executedfirstamendmentse.htm" TargetMode="External"/><Relationship Id="rId136" Type="http://schemas.openxmlformats.org/officeDocument/2006/relationships/hyperlink" Target="https://www.sec.gov/Archives/edgar/data/60519/000119312509061081/ddef14a.htm" TargetMode="External"/><Relationship Id="rId137" Type="http://schemas.openxmlformats.org/officeDocument/2006/relationships/hyperlink" Target="https://www.sec.gov/Archives/edgar/data/60519/000162828024021527/a101-lpexecutivedeferred.htm" TargetMode="External"/><Relationship Id="rId139" Type="http://schemas.openxmlformats.org/officeDocument/2006/relationships/hyperlink" Target="https://www.sec.gov/Archives/edgar/data/60519/000144530511002238/exhibit1014.htm" TargetMode="External"/><Relationship Id="rId140" Type="http://schemas.openxmlformats.org/officeDocument/2006/relationships/hyperlink" Target="https://www.sec.gov/Archives/edgar/data/60519/000119312513116879/d485876ddef14a.htm" TargetMode="External"/><Relationship Id="rId141" Type="http://schemas.openxmlformats.org/officeDocument/2006/relationships/hyperlink" Target="https://www.sec.gov/Archives/edgar/data/60519/000150433718000006/exhibit10262017.htm" TargetMode="External"/><Relationship Id="rId142" Type="http://schemas.openxmlformats.org/officeDocument/2006/relationships/hyperlink" Target="https://www.sec.gov/Archives/edgar/data/60519/000119312519085797/d681192ddef14a.htm" TargetMode="External"/><Relationship Id="rId143" Type="http://schemas.openxmlformats.org/officeDocument/2006/relationships/hyperlink" Target="https://www.sec.gov/Archives/edgar/data/60519/000162828022011948/lpx33122exhibit107.htm" TargetMode="External"/><Relationship Id="rId144" Type="http://schemas.openxmlformats.org/officeDocument/2006/relationships/hyperlink" Target="https://www.sec.gov/Archives/edgar/data/60519/000150433719000018/exhibit101ceo.htm" TargetMode="External"/><Relationship Id="rId145" Type="http://schemas.openxmlformats.org/officeDocument/2006/relationships/hyperlink" Target="https://www.sec.gov/Archives/edgar/data/60519/000150433719000018/exhibit102non-ceo.htm" TargetMode="External"/><Relationship Id="rId146" Type="http://schemas.openxmlformats.org/officeDocument/2006/relationships/hyperlink" Target="https://www.sec.gov/Archives/edgar/data/60519/000179349820000038/exhibit102directorscom.htm" TargetMode="External"/><Relationship Id="rId147" Type="http://schemas.openxmlformats.org/officeDocument/2006/relationships/hyperlink" Target="https://www.sec.gov/Archives/edgar/data/60519/000162828022011948/lpx33122exhibit108.htm" TargetMode="External"/><Relationship Id="rId148" Type="http://schemas.openxmlformats.org/officeDocument/2006/relationships/hyperlink" Target="https://www.sec.gov/Archives/edgar/data/60519/000130817922000083/llpx2022_def14a.htm" TargetMode="External"/><Relationship Id="rId149" Type="http://schemas.openxmlformats.org/officeDocument/2006/relationships/hyperlink" Target="https://www.sec.gov/Archives/edgar/data/60519/000162828024021527/a102-appendixx2024rsufor.htm" TargetMode="External"/><Relationship Id="rId150" Type="http://schemas.openxmlformats.org/officeDocument/2006/relationships/hyperlink" Target="https://www.sec.gov/Archives/edgar/data/60519/000162828024021527/a103-appendixx2024psufor.htm" TargetMode="External"/><Relationship Id="rId151" Type="http://schemas.openxmlformats.org/officeDocument/2006/relationships/hyperlink" Target="https://www.sec.gov/Archives/edgar/data/60519/000162828025038227/a2022plandirectorrsuawar.htm" TargetMode="External"/><Relationship Id="rId152" Type="http://schemas.openxmlformats.org/officeDocument/2006/relationships/hyperlink" Target="https://www.sec.gov/Archives/edgar/data/60519/000162828023004259/exhibit1025formofchangeo.htm" TargetMode="External"/><Relationship Id="rId153" Type="http://schemas.openxmlformats.org/officeDocument/2006/relationships/hyperlink" Target="https://www.sec.gov/Archives/edgar/data/60519/000162828024004714/clawbackpolicyeffectiv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2026-02-17T12:41:52Z</dcterms:created>
  <dcterms:modified xsi:type="dcterms:W3CDTF">2026-02-17T12:41:52Z</dcterms:modified>
</cp:coreProperties>
</file>