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868680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ind w:left="4780"/>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ind w:left="3300"/>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73025</wp:posOffset>
            </wp:positionV>
            <wp:extent cx="2289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62230</wp:posOffset>
            </wp:positionV>
            <wp:extent cx="2289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67" w:lineRule="exact"/>
        <w:rPr>
          <w:sz w:val="24"/>
          <w:szCs w:val="24"/>
          <w:color w:val="auto"/>
        </w:rPr>
      </w:pPr>
    </w:p>
    <w:p>
      <w:pPr>
        <w:jc w:val="center"/>
        <w:ind w:left="3480" w:right="40" w:hanging="3408"/>
        <w:spacing w:after="0" w:line="313" w:lineRule="auto"/>
        <w:tabs>
          <w:tab w:leader="none" w:pos="248"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QUARTERLY REPORT PURSUANT TO SECTION 13 OR 15(d) OF THE SECURITIES EXCHANGE ACT OF 1934 For the Quarterly Period Ended June 30, 2023</w:t>
      </w:r>
    </w:p>
    <w:p>
      <w:pPr>
        <w:spacing w:after="0" w:line="2" w:lineRule="exact"/>
        <w:rPr>
          <w:sz w:val="24"/>
          <w:szCs w:val="24"/>
          <w:color w:val="auto"/>
        </w:rPr>
      </w:pPr>
    </w:p>
    <w:p>
      <w:pPr>
        <w:jc w:val="center"/>
        <w:ind w:left="400"/>
        <w:spacing w:after="0" w:line="347" w:lineRule="auto"/>
        <w:rPr>
          <w:sz w:val="20"/>
          <w:szCs w:val="20"/>
          <w:color w:val="auto"/>
        </w:rPr>
      </w:pPr>
      <w:r>
        <w:rPr>
          <w:rFonts w:ascii="Arial" w:cs="Arial" w:eastAsia="Arial" w:hAnsi="Arial"/>
          <w:sz w:val="18"/>
          <w:szCs w:val="18"/>
          <w:color w:val="auto"/>
        </w:rPr>
        <w:t xml:space="preserve">o </w:t>
      </w:r>
      <w:r>
        <w:rPr>
          <w:rFonts w:ascii="Arial" w:cs="Arial" w:eastAsia="Arial" w:hAnsi="Arial"/>
          <w:sz w:val="21"/>
          <w:szCs w:val="21"/>
          <w:b w:val="1"/>
          <w:bCs w:val="1"/>
          <w:color w:val="auto"/>
        </w:rPr>
        <w:t>TRANSITION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21"/>
          <w:szCs w:val="21"/>
          <w:b w:val="1"/>
          <w:bCs w:val="1"/>
          <w:color w:val="auto"/>
        </w:rPr>
        <w:t xml:space="preserve">Commission File Number </w:t>
      </w:r>
      <w:r>
        <w:rPr>
          <w:rFonts w:ascii="Arial" w:cs="Arial" w:eastAsia="Arial" w:hAnsi="Arial"/>
          <w:sz w:val="17"/>
          <w:szCs w:val="17"/>
          <w:b w:val="1"/>
          <w:bCs w:val="1"/>
          <w:color w:val="auto"/>
        </w:rPr>
        <w:t>1-7107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-22225</wp:posOffset>
            </wp:positionV>
            <wp:extent cx="2289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83" w:lineRule="exact"/>
        <w:rPr>
          <w:sz w:val="24"/>
          <w:szCs w:val="24"/>
          <w:color w:val="auto"/>
        </w:rPr>
      </w:pPr>
    </w:p>
    <w:p>
      <w:pPr>
        <w:ind w:left="3400"/>
        <w:spacing w:after="0"/>
        <w:rPr>
          <w:sz w:val="20"/>
          <w:szCs w:val="20"/>
          <w:color w:val="auto"/>
        </w:rPr>
      </w:pPr>
      <w:r>
        <w:rPr>
          <w:rFonts w:ascii="Arial" w:cs="Arial" w:eastAsia="Arial" w:hAnsi="Arial"/>
          <w:sz w:val="25"/>
          <w:szCs w:val="25"/>
          <w:b w:val="1"/>
          <w:bCs w:val="1"/>
          <w:color w:val="auto"/>
        </w:rPr>
        <w:t>LOUISIANA-PACIFIC CORPORATION</w:t>
      </w:r>
    </w:p>
    <w:p>
      <w:pPr>
        <w:spacing w:after="0" w:line="38" w:lineRule="exact"/>
        <w:rPr>
          <w:sz w:val="24"/>
          <w:szCs w:val="24"/>
          <w:color w:val="auto"/>
        </w:rPr>
      </w:pPr>
    </w:p>
    <w:p>
      <w:pPr>
        <w:ind w:left="2840"/>
        <w:spacing w:after="0"/>
        <w:rPr>
          <w:sz w:val="20"/>
          <w:szCs w:val="20"/>
          <w:color w:val="auto"/>
        </w:rPr>
      </w:pPr>
      <w:r>
        <w:rPr>
          <w:rFonts w:ascii="Arial" w:cs="Arial" w:eastAsia="Arial" w:hAnsi="Arial"/>
          <w:sz w:val="25"/>
          <w:szCs w:val="2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53975</wp:posOffset>
            </wp:positionV>
            <wp:extent cx="2289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324"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93-0609074</w:t>
      </w:r>
    </w:p>
    <w:p>
      <w:pPr>
        <w:spacing w:after="0" w:line="45" w:lineRule="exact"/>
        <w:rPr>
          <w:sz w:val="24"/>
          <w:szCs w:val="24"/>
          <w:color w:val="auto"/>
        </w:rPr>
      </w:pPr>
    </w:p>
    <w:p>
      <w:pPr>
        <w:sectPr>
          <w:pgSz w:w="11900" w:h="16838" w:orient="portrait"/>
          <w:cols w:equalWidth="0" w:num="2">
            <w:col w:w="7300" w:space="720"/>
            <w:col w:w="3200"/>
          </w:cols>
          <w:pgMar w:left="320" w:top="1440" w:right="359" w:bottom="1440" w:gutter="0" w:footer="0" w:header="0"/>
          <w:type w:val="continuous"/>
        </w:sectPr>
      </w:pPr>
    </w:p>
    <w:p>
      <w:pPr>
        <w:spacing w:after="0" w:line="5"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spacing w:after="0" w:line="6" w:lineRule="exact"/>
        <w:rPr>
          <w:sz w:val="24"/>
          <w:szCs w:val="24"/>
          <w:color w:val="auto"/>
        </w:rPr>
      </w:pP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Arial" w:cs="Arial" w:eastAsia="Arial" w:hAnsi="Arial"/>
          <w:sz w:val="14"/>
          <w:szCs w:val="14"/>
          <w:b w:val="1"/>
          <w:bCs w:val="1"/>
          <w:color w:val="auto"/>
        </w:rPr>
        <w:t>(IRS Employer</w:t>
      </w:r>
    </w:p>
    <w:p>
      <w:pPr>
        <w:jc w:val="center"/>
        <w:ind w:right="2200"/>
        <w:spacing w:after="0"/>
        <w:rPr>
          <w:sz w:val="20"/>
          <w:szCs w:val="20"/>
          <w:color w:val="auto"/>
        </w:rPr>
      </w:pPr>
      <w:r>
        <w:rPr>
          <w:rFonts w:ascii="Arial" w:cs="Arial" w:eastAsia="Arial" w:hAnsi="Arial"/>
          <w:sz w:val="13"/>
          <w:szCs w:val="13"/>
          <w:b w:val="1"/>
          <w:bCs w:val="1"/>
          <w:color w:val="auto"/>
        </w:rPr>
        <w:t>Identification No.)</w:t>
      </w:r>
    </w:p>
    <w:p>
      <w:pPr>
        <w:spacing w:after="0" w:line="109" w:lineRule="exact"/>
        <w:rPr>
          <w:sz w:val="24"/>
          <w:szCs w:val="24"/>
          <w:color w:val="auto"/>
        </w:rPr>
      </w:pPr>
    </w:p>
    <w:p>
      <w:pPr>
        <w:sectPr>
          <w:pgSz w:w="11900" w:h="16838" w:orient="portrait"/>
          <w:cols w:equalWidth="0" w:num="2">
            <w:col w:w="7160" w:space="720"/>
            <w:col w:w="3340"/>
          </w:cols>
          <w:pgMar w:left="320" w:top="1440" w:right="35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1610 West End Avenue, Suite 200, Nashville, TN 37203</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1220"/>
          </w:cols>
          <w:pgMar w:left="320" w:top="1440" w:right="359" w:bottom="1440" w:gutter="0" w:footer="0" w:header="0"/>
          <w:type w:val="continuous"/>
        </w:sectPr>
      </w:pP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(615) 986 - 5600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64770</wp:posOffset>
            </wp:positionV>
            <wp:extent cx="2289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4" w:lineRule="exact"/>
        <w:rPr>
          <w:sz w:val="24"/>
          <w:szCs w:val="24"/>
          <w:color w:val="auto"/>
        </w:rPr>
      </w:pPr>
    </w:p>
    <w:tbl>
      <w:tblPr>
        <w:tblLayout w:type="fixed"/>
        <w:tblInd w:w="30" w:type="dxa"/>
        <w:tblCellMar>
          <w:top w:w="0" w:type="dxa"/>
          <w:left w:w="0" w:type="dxa"/>
          <w:bottom w:w="0" w:type="dxa"/>
          <w:right w:w="0" w:type="dxa"/>
        </w:tblCellMar>
      </w:tblPr>
      <w:tr>
        <w:trPr>
          <w:trHeight w:val="243"/>
        </w:trPr>
        <w:tc>
          <w:tcPr>
            <w:tcW w:w="3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5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$1 par value</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LPX</w:t>
            </w: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34" w:lineRule="exact"/>
        <w:rPr>
          <w:sz w:val="24"/>
          <w:szCs w:val="24"/>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2"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22"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3"/>
        </w:trPr>
        <w:tc>
          <w:tcPr>
            <w:tcW w:w="2640" w:type="dxa"/>
            <w:vAlign w:val="bottom"/>
          </w:tcPr>
          <w:p>
            <w:pPr>
              <w:spacing w:after="0" w:line="193" w:lineRule="exact"/>
              <w:rPr>
                <w:sz w:val="20"/>
                <w:szCs w:val="20"/>
                <w:color w:val="auto"/>
              </w:rPr>
            </w:pPr>
            <w:r>
              <w:rPr>
                <w:rFonts w:ascii="Arial" w:cs="Arial" w:eastAsia="Arial" w:hAnsi="Arial"/>
                <w:sz w:val="18"/>
                <w:szCs w:val="18"/>
                <w:color w:val="auto"/>
              </w:rPr>
              <w:t>Large accelerated filer</w:t>
            </w:r>
          </w:p>
        </w:tc>
        <w:tc>
          <w:tcPr>
            <w:tcW w:w="2340" w:type="dxa"/>
            <w:vAlign w:val="bottom"/>
          </w:tcPr>
          <w:p>
            <w:pPr>
              <w:ind w:left="660"/>
              <w:spacing w:after="0" w:line="193" w:lineRule="exact"/>
              <w:rPr>
                <w:sz w:val="20"/>
                <w:szCs w:val="20"/>
                <w:color w:val="auto"/>
              </w:rPr>
            </w:pPr>
            <w:r>
              <w:rPr>
                <w:rFonts w:ascii="Arial" w:cs="Arial" w:eastAsia="Arial" w:hAnsi="Arial"/>
                <w:sz w:val="18"/>
                <w:szCs w:val="18"/>
                <w:color w:val="auto"/>
              </w:rPr>
              <w:t>x</w:t>
            </w:r>
          </w:p>
        </w:tc>
        <w:tc>
          <w:tcPr>
            <w:tcW w:w="4120" w:type="dxa"/>
            <w:vAlign w:val="bottom"/>
          </w:tcPr>
          <w:p>
            <w:pPr>
              <w:ind w:left="1520"/>
              <w:spacing w:after="0" w:line="193" w:lineRule="exact"/>
              <w:rPr>
                <w:sz w:val="20"/>
                <w:szCs w:val="20"/>
                <w:color w:val="auto"/>
              </w:rPr>
            </w:pPr>
            <w:r>
              <w:rPr>
                <w:rFonts w:ascii="Arial" w:cs="Arial" w:eastAsia="Arial" w:hAnsi="Arial"/>
                <w:sz w:val="18"/>
                <w:szCs w:val="18"/>
                <w:color w:val="auto"/>
              </w:rPr>
              <w:t>Accelerated filer</w:t>
            </w:r>
          </w:p>
        </w:tc>
        <w:tc>
          <w:tcPr>
            <w:tcW w:w="780" w:type="dxa"/>
            <w:vAlign w:val="bottom"/>
          </w:tcPr>
          <w:p>
            <w:pPr>
              <w:ind w:left="620"/>
              <w:spacing w:after="0" w:line="193" w:lineRule="exact"/>
              <w:rPr>
                <w:sz w:val="20"/>
                <w:szCs w:val="20"/>
                <w:color w:val="auto"/>
              </w:rPr>
            </w:pPr>
            <w:r>
              <w:rPr>
                <w:rFonts w:ascii="Arial" w:cs="Arial" w:eastAsia="Arial" w:hAnsi="Arial"/>
                <w:sz w:val="18"/>
                <w:szCs w:val="18"/>
                <w:color w:val="auto"/>
              </w:rPr>
              <w:t>o</w:t>
            </w:r>
          </w:p>
        </w:tc>
      </w:tr>
      <w:tr>
        <w:trPr>
          <w:trHeight w:val="243"/>
        </w:trPr>
        <w:tc>
          <w:tcPr>
            <w:tcW w:w="2640" w:type="dxa"/>
            <w:vAlign w:val="bottom"/>
          </w:tcPr>
          <w:p>
            <w:pPr>
              <w:spacing w:after="0"/>
              <w:rPr>
                <w:sz w:val="20"/>
                <w:szCs w:val="20"/>
                <w:color w:val="auto"/>
              </w:rPr>
            </w:pPr>
            <w:r>
              <w:rPr>
                <w:rFonts w:ascii="Arial" w:cs="Arial" w:eastAsia="Arial" w:hAnsi="Arial"/>
                <w:sz w:val="18"/>
                <w:szCs w:val="18"/>
                <w:color w:val="auto"/>
              </w:rPr>
              <w:t>Non-accelerated filer</w:t>
            </w:r>
          </w:p>
        </w:tc>
        <w:tc>
          <w:tcPr>
            <w:tcW w:w="2340" w:type="dxa"/>
            <w:vAlign w:val="bottom"/>
          </w:tcPr>
          <w:p>
            <w:pPr>
              <w:ind w:left="660"/>
              <w:spacing w:after="0"/>
              <w:rPr>
                <w:sz w:val="20"/>
                <w:szCs w:val="20"/>
                <w:color w:val="auto"/>
              </w:rPr>
            </w:pPr>
            <w:r>
              <w:rPr>
                <w:rFonts w:ascii="Arial" w:cs="Arial" w:eastAsia="Arial" w:hAnsi="Arial"/>
                <w:sz w:val="18"/>
                <w:szCs w:val="18"/>
                <w:color w:val="auto"/>
              </w:rPr>
              <w:t>o</w:t>
            </w:r>
          </w:p>
        </w:tc>
        <w:tc>
          <w:tcPr>
            <w:tcW w:w="4120" w:type="dxa"/>
            <w:vAlign w:val="bottom"/>
          </w:tcPr>
          <w:p>
            <w:pPr>
              <w:ind w:left="152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6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3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06"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line="207" w:lineRule="exact"/>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72,106,506 shares of common stock, $1 par value, outstanding as of July 31, 2023.</w:t>
      </w:r>
    </w:p>
    <w:p>
      <w:pPr>
        <w:spacing w:after="0" w:line="8"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i w:val="1"/>
          <w:iCs w:val="1"/>
          <w:color w:val="auto"/>
        </w:rPr>
        <w:t>Except as otherwise specified and unless the context otherwise requires, references to "LP," the “Company,” “we,” “us,” and “our” refer to Louisiana-Pacific Corporation and its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23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23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Section 27A of the Securities Act of 1933, as amended, and Section 21E of the Securities Exchange Act of 1934, as amended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the statements. This quarterly report on Form 10-Q contains, and other reports and documents we file with, or furnish to, the Securities and Exchange Commission (SEC) may contain forward-looking statements. These statements are based upon the beliefs and assumptions of, and on information available to, our management.</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statements are or may constitute forward-looking statements: (1) statements preceded by, followed by, or that include words like “may,” “will,” “could,” “should,” “believe,” “expect,” “anticipate,” “intend,” “plan,” “estimate,” “project,” “potential,” “continue,” “likely,” or “future” or the negative or other variations thereof and (2) other statements regarding matters that are not historical facts, including without limitation, plans for product development, forecasts of future costs and expenditures, possible outcomes of legal proceedings, capacity expansion, and other growth initiatives, and the adequacy of reserves for loss contingencies.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Factors that could cause actual results to differ materially from those expressed or implied by the forward-looking statements include, but are not limited to, the following:</w:t>
      </w:r>
    </w:p>
    <w:p>
      <w:pPr>
        <w:spacing w:after="0" w:line="6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governmental fiscal and monetary policies, including tariffs and levels of employment;</w:t>
      </w:r>
    </w:p>
    <w:p>
      <w:pPr>
        <w:spacing w:after="0" w:line="11" w:lineRule="exact"/>
        <w:rPr>
          <w:rFonts w:ascii="Arial" w:cs="Arial" w:eastAsia="Arial" w:hAnsi="Arial"/>
          <w:sz w:val="18"/>
          <w:szCs w:val="18"/>
          <w:color w:val="auto"/>
        </w:rPr>
      </w:pPr>
    </w:p>
    <w:p>
      <w:pPr>
        <w:ind w:left="660" w:right="220" w:hanging="328"/>
        <w:spacing w:after="0" w:line="24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and global economic conditions, including impacts from global pandemics, rising inflation, supply chain disruptions, and the ongoing military conflict between Russia and Ukraine;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cost and availability of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level of home construction and repair and remodel activity;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competitive conditions and prices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relationship between supply of and demand for building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financial or business conditions of third-party wholesale distributors and dealers;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relationship between the supply of and demand for raw materials, including wood fiber and resins, used in manufacturing our products;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cost and availability of energy, primarily natural gas, electricity, and diesel fuel;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cost and availability of transportation;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impact of manufacturing our products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difficulties in the launch or production ramp-up of newly introduced products;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impacts from public health issues (including global pandemics) on the economy, demand for our products or our operations, including the actions and recommendations of governmental authorities to contain such public health issues;</w:t>
      </w:r>
    </w:p>
    <w:p>
      <w:pPr>
        <w:jc w:val="both"/>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unplanned interruptions to our manufacturing operations, such as explosions, fires, inclement weather, natural disasters, accidents, equipment failures, labor shortages or disruptions, transportation interruptions, supply interruptions, public health issues (including pandemics and quarantines), riots, civil insurrection or social unrest, looting, protests, strikes, and street demonstrations;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other significant operating expenses;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currency values and exchange rates between the U.S. dollar and other currencies, particularly the Canadian dollar, Brazilian real, and Chilean peso;</w:t>
      </w:r>
    </w:p>
    <w:p>
      <w:pPr>
        <w:jc w:val="both"/>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tax laws and interpretations thereof;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circumstances giving rise to environmental liabilities or expenditures;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warranty costs exceeding our warranty reserves;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challenges to or exploitation of our intellectual property or other proprietary information by others in the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6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resolution of existing and future product-related litigation, environmental proceedings and remediation efforts, and other legal or environmental proceedings or matters;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covenants and events of default contained in our debt instruments;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timing of any repurchases of our common stock and the payment of dividends on our common stock, which will depend on market and business conditions and other considerations;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 events affecting our information technology systems or those of our third-party providers and the related costs and impact of any disruption on our business; and</w:t>
      </w:r>
    </w:p>
    <w:p>
      <w:pPr>
        <w:ind w:left="66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acts of public authorities, war, political or civil unrest, natural disasters, fire, floods, earthquakes, inclement weather, and other matters beyond our control.</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foregoing and any risks and uncertainties specifically identified in the text surrounding forward-looking statements, any statements in the reports and other documents filed or furnished by us with the SEC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forward-looking statements that we make or that are made by others on our behalf are based on our knowledge of our business and our operating environment and assumptions that we believe to be or will believe to be reasonable when such forward-looking statements were or will be made. As a consequence of the factors described above, the other risks, uncertainties, and factors we disclose below and in the reports and other documents filed by us with the SEC, other risks not known to us at this time, changes in facts, assumptions not being realized or other circumstances, our actual results may differ materially from those discussed in or implied or contemplated by our forward-looking statements. Consequently, this cautionary statement qualifies all forward-looking statements we make or that are made on our behalf, including those made herein and incorporated by reference herein. We cannot assure you that the results or developments expected or anticipated by us will be realized or, even if substantially realized, that those results or developments will result in the expected consequences for us or affect us, our business, our operations or our operating results in the manner or to the extent we expect. We caution readers not to place undue reliance on such forward-looking statements, which speak only as of their dates. We undertake no obligation to revise or update any of the forward-looking statements to reflect subsequent events or circumstances except to the extent required by applicable law.</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THIRD-PARTY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this quarterly report on Form 10-Q, we rely on and refer to information regarding industry data obtained from market research, publicly available information, industry publications, U.S. government sources, and other third parties. Although we believe the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680" w:type="dxa"/>
            <w:vAlign w:val="bottom"/>
            <w:gridSpan w:val="5"/>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254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8"/>
        </w:trPr>
        <w:tc>
          <w:tcPr>
            <w:tcW w:w="1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6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Condensed Consolidated Statements of Income</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7100" w:type="dxa"/>
            <w:vAlign w:val="bottom"/>
            <w:gridSpan w:val="7"/>
          </w:tcPr>
          <w:p>
            <w:pPr>
              <w:jc w:val="center"/>
              <w:ind w:left="1550"/>
              <w:spacing w:after="0"/>
              <w:rPr>
                <w:sz w:val="20"/>
                <w:szCs w:val="20"/>
                <w:color w:val="auto"/>
              </w:rPr>
            </w:pPr>
            <w:r>
              <w:rPr>
                <w:rFonts w:ascii="Arial" w:cs="Arial" w:eastAsia="Arial" w:hAnsi="Arial"/>
                <w:sz w:val="18"/>
                <w:szCs w:val="18"/>
                <w:color w:val="auto"/>
                <w:w w:val="90"/>
              </w:rPr>
              <w:t>Dollar and share amounts in millions, except per share amounts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140" w:type="dxa"/>
            <w:vAlign w:val="bottom"/>
            <w:gridSpan w:val="3"/>
          </w:tcPr>
          <w:p>
            <w:pPr>
              <w:jc w:val="center"/>
              <w:ind w:left="415"/>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4"/>
        </w:trPr>
        <w:tc>
          <w:tcPr>
            <w:tcW w:w="1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w w:val="96"/>
              </w:rPr>
              <w:t>Three Months Ended June 30,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w w:val="97"/>
              </w:rPr>
              <w:t>Six Months Ended June 30,</w:t>
            </w:r>
          </w:p>
        </w:tc>
      </w:tr>
      <w:tr>
        <w:trPr>
          <w:trHeight w:val="210"/>
        </w:trPr>
        <w:tc>
          <w:tcPr>
            <w:tcW w:w="126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212"/>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5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2,297</w:t>
            </w:r>
          </w:p>
        </w:tc>
      </w:tr>
      <w:tr>
        <w:trPr>
          <w:trHeight w:val="213"/>
        </w:trPr>
        <w:tc>
          <w:tcPr>
            <w:tcW w:w="1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w w:val="95"/>
              </w:rPr>
              <w:t>Cost of sales</w:t>
            </w:r>
          </w:p>
        </w:tc>
        <w:tc>
          <w:tcPr>
            <w:tcW w:w="254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w:t>
            </w:r>
          </w:p>
        </w:tc>
      </w:tr>
      <w:tr>
        <w:trPr>
          <w:trHeight w:val="226"/>
        </w:trPr>
        <w:tc>
          <w:tcPr>
            <w:tcW w:w="1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25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w:t>
            </w:r>
          </w:p>
        </w:tc>
      </w:tr>
      <w:tr>
        <w:trPr>
          <w:trHeight w:val="213"/>
        </w:trPr>
        <w:tc>
          <w:tcPr>
            <w:tcW w:w="3800" w:type="dxa"/>
            <w:vAlign w:val="bottom"/>
            <w:gridSpan w:val="2"/>
          </w:tcPr>
          <w:p>
            <w:pPr>
              <w:ind w:left="360"/>
              <w:spacing w:after="0"/>
              <w:rPr>
                <w:sz w:val="20"/>
                <w:szCs w:val="20"/>
                <w:color w:val="auto"/>
              </w:rPr>
            </w:pPr>
            <w:r>
              <w:rPr>
                <w:rFonts w:ascii="Arial" w:cs="Arial" w:eastAsia="Arial" w:hAnsi="Arial"/>
                <w:sz w:val="16"/>
                <w:szCs w:val="16"/>
                <w:color w:val="auto"/>
              </w:rPr>
              <w:t>Selling, general, and administrative expenses</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19"/>
        </w:trPr>
        <w:tc>
          <w:tcPr>
            <w:tcW w:w="3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Impairment of long-lived assets, net</w:t>
            </w:r>
          </w:p>
        </w:tc>
        <w:tc>
          <w:tcPr>
            <w:tcW w:w="1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80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Other operating credits and charges, net</w:t>
            </w:r>
          </w:p>
        </w:tc>
        <w:tc>
          <w:tcPr>
            <w:tcW w:w="18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12"/>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1,019</w:t>
            </w:r>
          </w:p>
        </w:tc>
      </w:tr>
      <w:tr>
        <w:trPr>
          <w:trHeight w:val="213"/>
        </w:trPr>
        <w:tc>
          <w:tcPr>
            <w:tcW w:w="3800" w:type="dxa"/>
            <w:vAlign w:val="bottom"/>
            <w:gridSpan w:val="2"/>
          </w:tcPr>
          <w:p>
            <w:pPr>
              <w:ind w:left="340"/>
              <w:spacing w:after="0"/>
              <w:rPr>
                <w:sz w:val="20"/>
                <w:szCs w:val="20"/>
                <w:color w:val="auto"/>
              </w:rPr>
            </w:pPr>
            <w:r>
              <w:rPr>
                <w:rFonts w:ascii="Arial" w:cs="Arial" w:eastAsia="Arial" w:hAnsi="Arial"/>
                <w:sz w:val="16"/>
                <w:szCs w:val="16"/>
                <w:color w:val="auto"/>
              </w:rPr>
              <w:t>Interest expense</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38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Investment income</w:t>
            </w:r>
          </w:p>
        </w:tc>
        <w:tc>
          <w:tcPr>
            <w:tcW w:w="1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380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Other non-operating items</w:t>
            </w:r>
          </w:p>
        </w:tc>
        <w:tc>
          <w:tcPr>
            <w:tcW w:w="18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2"/>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1,007</w:t>
            </w:r>
          </w:p>
        </w:tc>
      </w:tr>
      <w:tr>
        <w:trPr>
          <w:trHeight w:val="213"/>
        </w:trPr>
        <w:tc>
          <w:tcPr>
            <w:tcW w:w="3800" w:type="dxa"/>
            <w:vAlign w:val="bottom"/>
            <w:gridSpan w:val="2"/>
          </w:tcPr>
          <w:p>
            <w:pPr>
              <w:ind w:left="360"/>
              <w:spacing w:after="0"/>
              <w:rPr>
                <w:sz w:val="20"/>
                <w:szCs w:val="20"/>
                <w:color w:val="auto"/>
              </w:rPr>
            </w:pPr>
            <w:r>
              <w:rPr>
                <w:rFonts w:ascii="Arial" w:cs="Arial" w:eastAsia="Arial" w:hAnsi="Arial"/>
                <w:sz w:val="16"/>
                <w:szCs w:val="16"/>
                <w:color w:val="auto"/>
              </w:rPr>
              <w:t>Provision for income taxes</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19"/>
        </w:trPr>
        <w:tc>
          <w:tcPr>
            <w:tcW w:w="3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Equity in unconsolidated affiliate</w:t>
            </w:r>
          </w:p>
        </w:tc>
        <w:tc>
          <w:tcPr>
            <w:tcW w:w="18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380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 (loss) from continuing operations</w:t>
            </w: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348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769</w:t>
            </w:r>
          </w:p>
        </w:tc>
      </w:tr>
      <w:tr>
        <w:trPr>
          <w:trHeight w:val="21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1"/>
              </w:rPr>
              <w:t>Income from discontinued operations, net of income taxes</w:t>
            </w:r>
          </w:p>
        </w:tc>
        <w:tc>
          <w:tcPr>
            <w:tcW w:w="18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0"/>
        </w:trPr>
        <w:tc>
          <w:tcPr>
            <w:tcW w:w="1260" w:type="dxa"/>
            <w:vAlign w:val="bottom"/>
          </w:tcPr>
          <w:p>
            <w:pPr>
              <w:ind w:left="20"/>
              <w:spacing w:after="0"/>
              <w:rPr>
                <w:sz w:val="20"/>
                <w:szCs w:val="20"/>
                <w:color w:val="auto"/>
              </w:rPr>
            </w:pPr>
            <w:r>
              <w:rPr>
                <w:rFonts w:ascii="Arial" w:cs="Arial" w:eastAsia="Arial" w:hAnsi="Arial"/>
                <w:sz w:val="16"/>
                <w:szCs w:val="16"/>
                <w:b w:val="1"/>
                <w:bCs w:val="1"/>
                <w:color w:val="auto"/>
                <w:w w:val="91"/>
              </w:rPr>
              <w:t>Net income (loss)</w:t>
            </w: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385</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868</w:t>
            </w: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38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Net loss attributed to non-controlling interest</w:t>
            </w:r>
          </w:p>
        </w:tc>
        <w:tc>
          <w:tcPr>
            <w:tcW w:w="18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380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(loss) attributed to LP</w:t>
            </w:r>
          </w:p>
        </w:tc>
        <w:tc>
          <w:tcPr>
            <w:tcW w:w="18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868</w:t>
            </w: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12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13"/>
        </w:trPr>
        <w:tc>
          <w:tcPr>
            <w:tcW w:w="5840" w:type="dxa"/>
            <w:vAlign w:val="bottom"/>
            <w:gridSpan w:val="4"/>
          </w:tcPr>
          <w:p>
            <w:pPr>
              <w:ind w:left="20"/>
              <w:spacing w:after="0"/>
              <w:rPr>
                <w:sz w:val="20"/>
                <w:szCs w:val="20"/>
                <w:color w:val="auto"/>
              </w:rPr>
            </w:pPr>
            <w:r>
              <w:rPr>
                <w:rFonts w:ascii="Arial" w:cs="Arial" w:eastAsia="Arial" w:hAnsi="Arial"/>
                <w:sz w:val="16"/>
                <w:szCs w:val="16"/>
                <w:b w:val="1"/>
                <w:bCs w:val="1"/>
                <w:color w:val="auto"/>
              </w:rPr>
              <w:t>Net income (loss) attributed to LP per share of common stock:</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6"/>
              </w:rPr>
              <w:t>Income (loss) per share continuing operations - basic</w:t>
            </w:r>
          </w:p>
        </w:tc>
        <w:tc>
          <w:tcPr>
            <w:tcW w:w="20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54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r>
      <w:tr>
        <w:trPr>
          <w:trHeight w:val="213"/>
        </w:trPr>
        <w:tc>
          <w:tcPr>
            <w:tcW w:w="3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Income per share discontinued operations - basic</w:t>
            </w:r>
          </w:p>
        </w:tc>
        <w:tc>
          <w:tcPr>
            <w:tcW w:w="18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r>
      <w:tr>
        <w:trPr>
          <w:trHeight w:val="233"/>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income (loss) attributed to LP per share - basic</w:t>
            </w:r>
          </w:p>
        </w:tc>
        <w:tc>
          <w:tcPr>
            <w:tcW w:w="20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54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w:t>
            </w:r>
          </w:p>
        </w:tc>
      </w:tr>
      <w:tr>
        <w:trPr>
          <w:trHeight w:val="20"/>
        </w:trPr>
        <w:tc>
          <w:tcPr>
            <w:tcW w:w="3800" w:type="dxa"/>
            <w:vAlign w:val="bottom"/>
            <w:tcBorders>
              <w:top w:val="single" w:sz="8" w:color="CCEEFF"/>
            </w:tcBorders>
            <w:gridSpan w:val="2"/>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4"/>
              </w:rPr>
              <w:t>Income (loss) per share continuing operations - diluted</w:t>
            </w:r>
          </w:p>
        </w:tc>
        <w:tc>
          <w:tcPr>
            <w:tcW w:w="20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54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r>
      <w:tr>
        <w:trPr>
          <w:trHeight w:val="213"/>
        </w:trPr>
        <w:tc>
          <w:tcPr>
            <w:tcW w:w="3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Income per share discontinued operations - diluted</w:t>
            </w:r>
          </w:p>
        </w:tc>
        <w:tc>
          <w:tcPr>
            <w:tcW w:w="18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r>
      <w:tr>
        <w:trPr>
          <w:trHeight w:val="233"/>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8"/>
              </w:rPr>
              <w:t>Net income (loss) attributed to LP per share - diluted</w:t>
            </w:r>
          </w:p>
        </w:tc>
        <w:tc>
          <w:tcPr>
            <w:tcW w:w="20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54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w:t>
            </w:r>
          </w:p>
        </w:tc>
      </w:tr>
      <w:tr>
        <w:trPr>
          <w:trHeight w:val="20"/>
        </w:trPr>
        <w:tc>
          <w:tcPr>
            <w:tcW w:w="5620" w:type="dxa"/>
            <w:vAlign w:val="bottom"/>
            <w:tcBorders>
              <w:top w:val="single" w:sz="8" w:color="CCEEFF"/>
            </w:tcBorders>
            <w:gridSpan w:val="3"/>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84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w w:val="95"/>
              </w:rPr>
              <w:t>Average shares of common stock used to compute Net income (loss) per share: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1260" w:type="dxa"/>
            <w:vAlign w:val="bottom"/>
          </w:tcPr>
          <w:p>
            <w:pPr>
              <w:ind w:left="220"/>
              <w:spacing w:after="0"/>
              <w:rPr>
                <w:sz w:val="20"/>
                <w:szCs w:val="20"/>
                <w:color w:val="auto"/>
              </w:rPr>
            </w:pPr>
            <w:r>
              <w:rPr>
                <w:rFonts w:ascii="Arial" w:cs="Arial" w:eastAsia="Arial" w:hAnsi="Arial"/>
                <w:sz w:val="16"/>
                <w:szCs w:val="16"/>
                <w:color w:val="auto"/>
              </w:rPr>
              <w:t>Basic</w:t>
            </w: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2"/>
        </w:trPr>
        <w:tc>
          <w:tcPr>
            <w:tcW w:w="1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54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 amounts in millions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w w:val="98"/>
              </w:rPr>
              <w:t>Six Months Ended June 30,</w:t>
            </w:r>
          </w:p>
        </w:tc>
      </w:tr>
      <w:tr>
        <w:trPr>
          <w:trHeight w:val="210"/>
        </w:trPr>
        <w:tc>
          <w:tcPr>
            <w:tcW w:w="5520" w:type="dxa"/>
            <w:vAlign w:val="bottom"/>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212"/>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1120" w:type="dxa"/>
            <w:vAlign w:val="bottom"/>
            <w:gridSpan w:val="2"/>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2"/>
              </w:rPr>
              <w:t>385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868</w:t>
            </w: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5520" w:type="dxa"/>
            <w:vAlign w:val="bottom"/>
          </w:tcPr>
          <w:p>
            <w:pPr>
              <w:ind w:left="340"/>
              <w:spacing w:after="0"/>
              <w:rPr>
                <w:sz w:val="20"/>
                <w:szCs w:val="20"/>
                <w:color w:val="auto"/>
              </w:rPr>
            </w:pPr>
            <w:r>
              <w:rPr>
                <w:rFonts w:ascii="Arial" w:cs="Arial" w:eastAsia="Arial" w:hAnsi="Arial"/>
                <w:sz w:val="16"/>
                <w:szCs w:val="16"/>
                <w:color w:val="auto"/>
              </w:rPr>
              <w:t>Changes in defined benefit pension plans</w:t>
            </w: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9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1"/>
              </w:rPr>
              <w:t>(31)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552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2"/>
              </w:rPr>
              <w:t>354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861</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associated with non-controlling interest</w:t>
            </w:r>
          </w:p>
        </w:tc>
        <w:tc>
          <w:tcPr>
            <w:tcW w:w="9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552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 attributed to LP</w:t>
            </w:r>
          </w:p>
        </w:tc>
        <w:tc>
          <w:tcPr>
            <w:tcW w:w="920" w:type="dxa"/>
            <w:vAlign w:val="bottom"/>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1120" w:type="dxa"/>
            <w:vAlign w:val="bottom"/>
            <w:gridSpan w:val="2"/>
          </w:tcPr>
          <w:p>
            <w:pPr>
              <w:jc w:val="right"/>
              <w:ind w:right="81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w w:val="82"/>
              </w:rPr>
              <w:t>354</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862</w:t>
            </w:r>
          </w:p>
        </w:tc>
      </w:tr>
      <w:tr>
        <w:trPr>
          <w:trHeight w:val="23"/>
        </w:trPr>
        <w:tc>
          <w:tcPr>
            <w:tcW w:w="5520" w:type="dxa"/>
            <w:vAlign w:val="bottom"/>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r>
    </w:tbl>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012" w:right="3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amounts in millions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4"/>
              </w:rPr>
              <w:t>December 31, 2022</w:t>
            </w:r>
          </w:p>
        </w:tc>
        <w:tc>
          <w:tcPr>
            <w:tcW w:w="0" w:type="dxa"/>
            <w:vAlign w:val="bottom"/>
          </w:tcPr>
          <w:p>
            <w:pPr>
              <w:spacing w:after="0"/>
              <w:rPr>
                <w:sz w:val="1"/>
                <w:szCs w:val="1"/>
                <w:color w:val="auto"/>
              </w:rPr>
            </w:pPr>
          </w:p>
        </w:tc>
      </w:tr>
      <w:tr>
        <w:trPr>
          <w:trHeight w:val="213"/>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71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169"/>
        </w:trPr>
        <w:tc>
          <w:tcPr>
            <w:tcW w:w="75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Receivables, net of allowance for doubtful accounts of $3 million and $1 million as of June 30, 2023, and</w:t>
            </w:r>
          </w:p>
        </w:tc>
        <w:tc>
          <w:tcPr>
            <w:tcW w:w="2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31, 2022, respectively</w:t>
            </w:r>
          </w:p>
        </w:tc>
        <w:tc>
          <w:tcPr>
            <w:tcW w:w="2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05"/>
        </w:trPr>
        <w:tc>
          <w:tcPr>
            <w:tcW w:w="7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7"/>
        </w:trPr>
        <w:tc>
          <w:tcPr>
            <w:tcW w:w="7580" w:type="dxa"/>
            <w:vAlign w:val="bottom"/>
          </w:tcPr>
          <w:p>
            <w:pPr>
              <w:ind w:left="360"/>
              <w:spacing w:after="0"/>
              <w:rPr>
                <w:sz w:val="20"/>
                <w:szCs w:val="20"/>
                <w:color w:val="auto"/>
              </w:rPr>
            </w:pPr>
            <w:r>
              <w:rPr>
                <w:rFonts w:ascii="Arial" w:cs="Arial" w:eastAsia="Arial" w:hAnsi="Arial"/>
                <w:sz w:val="16"/>
                <w:szCs w:val="16"/>
                <w:b w:val="1"/>
                <w:bCs w:val="1"/>
                <w:color w:val="auto"/>
              </w:rPr>
              <w:t>Total current assets</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854</w:t>
            </w:r>
          </w:p>
        </w:tc>
        <w:tc>
          <w:tcPr>
            <w:tcW w:w="0" w:type="dxa"/>
            <w:vAlign w:val="bottom"/>
          </w:tcPr>
          <w:p>
            <w:pPr>
              <w:spacing w:after="0"/>
              <w:rPr>
                <w:sz w:val="1"/>
                <w:szCs w:val="1"/>
                <w:color w:val="auto"/>
              </w:rPr>
            </w:pPr>
          </w:p>
        </w:tc>
      </w:tr>
      <w:tr>
        <w:trPr>
          <w:trHeight w:val="77"/>
        </w:trPr>
        <w:tc>
          <w:tcPr>
            <w:tcW w:w="75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Timber and timberlands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Operating lease assets, net</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and other intangible assets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Investments in and advances to affiliates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tax asset</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7"/>
        </w:trPr>
        <w:tc>
          <w:tcPr>
            <w:tcW w:w="7580" w:type="dxa"/>
            <w:vAlign w:val="bottom"/>
          </w:tcPr>
          <w:p>
            <w:pPr>
              <w:ind w:left="36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2,350</w:t>
            </w:r>
          </w:p>
        </w:tc>
        <w:tc>
          <w:tcPr>
            <w:tcW w:w="0" w:type="dxa"/>
            <w:vAlign w:val="bottom"/>
          </w:tcPr>
          <w:p>
            <w:pPr>
              <w:spacing w:after="0"/>
              <w:rPr>
                <w:sz w:val="1"/>
                <w:szCs w:val="1"/>
                <w:color w:val="auto"/>
              </w:rPr>
            </w:pPr>
          </w:p>
        </w:tc>
      </w:tr>
      <w:tr>
        <w:trPr>
          <w:trHeight w:val="49"/>
        </w:trPr>
        <w:tc>
          <w:tcPr>
            <w:tcW w:w="75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758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03"/>
        </w:trPr>
        <w:tc>
          <w:tcPr>
            <w:tcW w:w="758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 current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336</w:t>
            </w:r>
          </w:p>
        </w:tc>
        <w:tc>
          <w:tcPr>
            <w:tcW w:w="0" w:type="dxa"/>
            <w:vAlign w:val="bottom"/>
          </w:tcPr>
          <w:p>
            <w:pPr>
              <w:spacing w:after="0"/>
              <w:rPr>
                <w:sz w:val="1"/>
                <w:szCs w:val="1"/>
                <w:color w:val="auto"/>
              </w:rPr>
            </w:pPr>
          </w:p>
        </w:tc>
      </w:tr>
      <w:tr>
        <w:trPr>
          <w:trHeight w:val="77"/>
        </w:trPr>
        <w:tc>
          <w:tcPr>
            <w:tcW w:w="7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Non-current operating lease liabilities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Contingency reserves, excluding current portion</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916</w:t>
            </w:r>
          </w:p>
        </w:tc>
        <w:tc>
          <w:tcPr>
            <w:tcW w:w="0" w:type="dxa"/>
            <w:vAlign w:val="bottom"/>
          </w:tcPr>
          <w:p>
            <w:pPr>
              <w:spacing w:after="0"/>
              <w:rPr>
                <w:sz w:val="1"/>
                <w:szCs w:val="1"/>
                <w:color w:val="auto"/>
              </w:rPr>
            </w:pPr>
          </w:p>
        </w:tc>
      </w:tr>
      <w:tr>
        <w:trPr>
          <w:trHeight w:val="77"/>
        </w:trPr>
        <w:tc>
          <w:tcPr>
            <w:tcW w:w="75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Redeemable noncontrolling interest</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8"/>
        </w:trPr>
        <w:tc>
          <w:tcPr>
            <w:tcW w:w="75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580" w:type="dxa"/>
            <w:vAlign w:val="bottom"/>
            <w:shd w:val="clear" w:color="auto" w:fill="CCEEFF"/>
          </w:tcPr>
          <w:p>
            <w:pPr>
              <w:ind w:left="140"/>
              <w:spacing w:after="0" w:line="168" w:lineRule="exact"/>
              <w:rPr>
                <w:sz w:val="20"/>
                <w:szCs w:val="20"/>
                <w:color w:val="auto"/>
              </w:rPr>
            </w:pPr>
            <w:r>
              <w:rPr>
                <w:rFonts w:ascii="Arial" w:cs="Arial" w:eastAsia="Arial" w:hAnsi="Arial"/>
                <w:sz w:val="16"/>
                <w:szCs w:val="16"/>
                <w:color w:val="auto"/>
                <w:w w:val="96"/>
              </w:rPr>
              <w:t>Common stock, $1 par value, 200,000,000 shares authorized; 87,986,865 and 72,103,762 shares issued and</w:t>
            </w: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4"/>
              </w:rPr>
              <w:t>outstanding, respectively, as of June 30, 2023; and 87,986,865 and 71,748,200 shares issued and outstanding,</w:t>
            </w:r>
          </w:p>
        </w:tc>
        <w:tc>
          <w:tcPr>
            <w:tcW w:w="2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respectively, as of December 31, 2022</w:t>
            </w:r>
          </w:p>
        </w:tc>
        <w:tc>
          <w:tcPr>
            <w:tcW w:w="2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0" w:type="dxa"/>
            <w:vAlign w:val="bottom"/>
          </w:tcPr>
          <w:p>
            <w:pPr>
              <w:spacing w:after="0"/>
              <w:rPr>
                <w:sz w:val="1"/>
                <w:szCs w:val="1"/>
                <w:color w:val="auto"/>
              </w:rPr>
            </w:pPr>
          </w:p>
        </w:tc>
      </w:tr>
      <w:tr>
        <w:trPr>
          <w:trHeight w:val="166"/>
        </w:trPr>
        <w:tc>
          <w:tcPr>
            <w:tcW w:w="7580" w:type="dxa"/>
            <w:vAlign w:val="bottom"/>
          </w:tcPr>
          <w:p>
            <w:pPr>
              <w:ind w:left="140"/>
              <w:spacing w:after="0" w:line="166" w:lineRule="exact"/>
              <w:rPr>
                <w:sz w:val="20"/>
                <w:szCs w:val="20"/>
                <w:color w:val="auto"/>
              </w:rPr>
            </w:pPr>
            <w:r>
              <w:rPr>
                <w:rFonts w:ascii="Arial" w:cs="Arial" w:eastAsia="Arial" w:hAnsi="Arial"/>
                <w:sz w:val="16"/>
                <w:szCs w:val="16"/>
                <w:color w:val="auto"/>
                <w:w w:val="92"/>
              </w:rPr>
              <w:t>Treasury stock, 15,883,103 shares and 16,238,665 shares, at cost as of June 30, 2023, and December 31, 2022,</w:t>
            </w:r>
          </w:p>
        </w:tc>
        <w:tc>
          <w:tcPr>
            <w:tcW w:w="26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09"/>
        </w:trPr>
        <w:tc>
          <w:tcPr>
            <w:tcW w:w="7580" w:type="dxa"/>
            <w:vAlign w:val="bottom"/>
          </w:tcPr>
          <w:p>
            <w:pPr>
              <w:ind w:left="140"/>
              <w:spacing w:after="0"/>
              <w:rPr>
                <w:sz w:val="20"/>
                <w:szCs w:val="20"/>
                <w:color w:val="auto"/>
              </w:rPr>
            </w:pPr>
            <w:r>
              <w:rPr>
                <w:rFonts w:ascii="Arial" w:cs="Arial" w:eastAsia="Arial" w:hAnsi="Arial"/>
                <w:sz w:val="16"/>
                <w:szCs w:val="16"/>
                <w:color w:val="auto"/>
              </w:rPr>
              <w:t>respectively</w:t>
            </w:r>
          </w:p>
        </w:tc>
        <w:tc>
          <w:tcPr>
            <w:tcW w:w="2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Total stockholders’ equity</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1,433</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2,302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2,350</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14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Six Months Ended June 30,</w:t>
            </w:r>
          </w:p>
        </w:tc>
        <w:tc>
          <w:tcPr>
            <w:tcW w:w="5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560" w:type="dxa"/>
            <w:vAlign w:val="bottom"/>
          </w:tcPr>
          <w:p>
            <w:pPr>
              <w:spacing w:after="0"/>
              <w:rPr>
                <w:sz w:val="18"/>
                <w:szCs w:val="18"/>
                <w:color w:val="auto"/>
              </w:rPr>
            </w:pPr>
          </w:p>
        </w:tc>
        <w:tc>
          <w:tcPr>
            <w:tcW w:w="13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560" w:type="dxa"/>
            <w:vAlign w:val="bottom"/>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ind w:right="10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340" w:type="dxa"/>
            <w:vAlign w:val="bottom"/>
            <w:gridSpan w:val="2"/>
          </w:tcPr>
          <w:p>
            <w:pPr>
              <w:jc w:val="right"/>
              <w:ind w:right="10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868</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Adjustments to net income:</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Arial" w:cs="Arial" w:eastAsia="Arial" w:hAnsi="Arial"/>
                <w:sz w:val="16"/>
                <w:szCs w:val="16"/>
                <w:color w:val="auto"/>
              </w:rPr>
              <w:t>Depreciation and amortization</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Impairment of goodwill and long-lived assets</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Arial" w:cs="Arial" w:eastAsia="Arial" w:hAnsi="Arial"/>
                <w:sz w:val="16"/>
                <w:szCs w:val="16"/>
                <w:color w:val="auto"/>
              </w:rPr>
              <w:t>Gain on sale of assets, net</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Pension loss due to settlement</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Arial" w:cs="Arial" w:eastAsia="Arial" w:hAnsi="Arial"/>
                <w:sz w:val="16"/>
                <w:szCs w:val="16"/>
                <w:color w:val="auto"/>
              </w:rPr>
              <w:t>Deferred taxes</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adjustments, net</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6"/>
                <w:szCs w:val="16"/>
                <w:color w:val="auto"/>
              </w:rPr>
              <w:t>Changes in assets and liabilities (net of acquisitions and divestitures):</w:t>
            </w: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Receivables</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3"/>
        </w:trPr>
        <w:tc>
          <w:tcPr>
            <w:tcW w:w="20" w:type="dxa"/>
            <w:vAlign w:val="bottom"/>
          </w:tcPr>
          <w:p>
            <w:pPr>
              <w:spacing w:after="0"/>
              <w:rPr>
                <w:sz w:val="18"/>
                <w:szCs w:val="18"/>
                <w:color w:val="auto"/>
              </w:rPr>
            </w:pPr>
          </w:p>
        </w:tc>
        <w:tc>
          <w:tcPr>
            <w:tcW w:w="7520" w:type="dxa"/>
            <w:vAlign w:val="bottom"/>
            <w:gridSpan w:val="2"/>
          </w:tcPr>
          <w:p>
            <w:pPr>
              <w:ind w:left="200"/>
              <w:spacing w:after="0"/>
              <w:rPr>
                <w:sz w:val="20"/>
                <w:szCs w:val="20"/>
                <w:color w:val="auto"/>
              </w:rPr>
            </w:pPr>
            <w:r>
              <w:rPr>
                <w:rFonts w:ascii="Arial" w:cs="Arial" w:eastAsia="Arial" w:hAnsi="Arial"/>
                <w:sz w:val="16"/>
                <w:szCs w:val="16"/>
                <w:color w:val="auto"/>
              </w:rPr>
              <w:t>Inventories</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20" w:type="dxa"/>
            <w:vAlign w:val="bottom"/>
          </w:tcPr>
          <w:p>
            <w:pPr>
              <w:spacing w:after="0"/>
              <w:rPr>
                <w:sz w:val="18"/>
                <w:szCs w:val="18"/>
                <w:color w:val="auto"/>
              </w:rPr>
            </w:pPr>
          </w:p>
        </w:tc>
        <w:tc>
          <w:tcPr>
            <w:tcW w:w="7520" w:type="dxa"/>
            <w:vAlign w:val="bottom"/>
            <w:gridSpan w:val="2"/>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Income taxes payable, net of receivables</w:t>
            </w:r>
          </w:p>
        </w:tc>
        <w:tc>
          <w:tcPr>
            <w:tcW w:w="1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07"/>
        </w:trPr>
        <w:tc>
          <w:tcPr>
            <w:tcW w:w="20" w:type="dxa"/>
            <w:vAlign w:val="bottom"/>
            <w:tcBorders>
              <w:bottom w:val="single" w:sz="8" w:color="CCEEFF"/>
            </w:tcBorders>
          </w:tcPr>
          <w:p>
            <w:pPr>
              <w:spacing w:after="0"/>
              <w:rPr>
                <w:sz w:val="17"/>
                <w:szCs w:val="17"/>
                <w:color w:val="auto"/>
              </w:rPr>
            </w:pPr>
          </w:p>
        </w:tc>
        <w:tc>
          <w:tcPr>
            <w:tcW w:w="75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i w:val="1"/>
                <w:iCs w:val="1"/>
                <w:color w:val="auto"/>
              </w:rPr>
              <w:t>Net cash (used) provided by operating activities</w:t>
            </w:r>
          </w:p>
        </w:tc>
        <w:tc>
          <w:tcPr>
            <w:tcW w:w="1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908</w:t>
            </w:r>
          </w:p>
        </w:tc>
      </w:tr>
      <w:tr>
        <w:trPr>
          <w:trHeight w:val="199"/>
        </w:trPr>
        <w:tc>
          <w:tcPr>
            <w:tcW w:w="20" w:type="dxa"/>
            <w:vAlign w:val="bottom"/>
            <w:shd w:val="clear" w:color="auto" w:fill="CCEEFF"/>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Arial" w:cs="Arial" w:eastAsia="Arial" w:hAnsi="Arial"/>
                <w:sz w:val="16"/>
                <w:szCs w:val="16"/>
                <w:color w:val="auto"/>
              </w:rPr>
              <w:t>Property, plant, and equipment additions</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Acquisition of facility assets</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Arial" w:cs="Arial" w:eastAsia="Arial" w:hAnsi="Arial"/>
                <w:sz w:val="16"/>
                <w:szCs w:val="16"/>
                <w:color w:val="auto"/>
              </w:rPr>
              <w:t>Proceeds from sales of assets</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divestiture of business</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6"/>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Arial" w:cs="Arial" w:eastAsia="Arial" w:hAnsi="Arial"/>
                <w:sz w:val="16"/>
                <w:szCs w:val="16"/>
                <w:color w:val="auto"/>
              </w:rPr>
              <w:t>Other investing activities, net</w:t>
            </w: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Net cash used in investing activities</w:t>
            </w:r>
          </w:p>
        </w:tc>
        <w:tc>
          <w:tcPr>
            <w:tcW w:w="1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(271)</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w:t>
            </w:r>
          </w:p>
        </w:tc>
      </w:tr>
      <w:tr>
        <w:trPr>
          <w:trHeight w:val="207"/>
        </w:trPr>
        <w:tc>
          <w:tcPr>
            <w:tcW w:w="20" w:type="dxa"/>
            <w:vAlign w:val="bottom"/>
          </w:tcPr>
          <w:p>
            <w:pPr>
              <w:spacing w:after="0"/>
              <w:rPr>
                <w:sz w:val="17"/>
                <w:szCs w:val="17"/>
                <w:color w:val="auto"/>
              </w:rPr>
            </w:pPr>
          </w:p>
        </w:tc>
        <w:tc>
          <w:tcPr>
            <w:tcW w:w="752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Borrowing of long-term debt</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Arial" w:cs="Arial" w:eastAsia="Arial" w:hAnsi="Arial"/>
                <w:sz w:val="16"/>
                <w:szCs w:val="16"/>
                <w:color w:val="auto"/>
              </w:rPr>
              <w:t>Repayment of long-term debt</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Payment of cash dividends</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Arial" w:cs="Arial" w:eastAsia="Arial" w:hAnsi="Arial"/>
                <w:sz w:val="16"/>
                <w:szCs w:val="16"/>
                <w:color w:val="auto"/>
              </w:rPr>
              <w:t>Purchase of stock</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(575)</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financing activities</w:t>
            </w:r>
          </w:p>
        </w:tc>
        <w:tc>
          <w:tcPr>
            <w:tcW w:w="1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7"/>
        </w:trPr>
        <w:tc>
          <w:tcPr>
            <w:tcW w:w="20" w:type="dxa"/>
            <w:vAlign w:val="bottom"/>
            <w:tcBorders>
              <w:bottom w:val="single" w:sz="8" w:color="CCEEFF"/>
            </w:tcBorders>
          </w:tcPr>
          <w:p>
            <w:pPr>
              <w:spacing w:after="0"/>
              <w:rPr>
                <w:sz w:val="17"/>
                <w:szCs w:val="17"/>
                <w:color w:val="auto"/>
              </w:rPr>
            </w:pPr>
          </w:p>
        </w:tc>
        <w:tc>
          <w:tcPr>
            <w:tcW w:w="75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i w:val="1"/>
                <w:iCs w:val="1"/>
                <w:color w:val="auto"/>
              </w:rPr>
              <w:t>Net cash provided by (used in) financing activities</w:t>
            </w:r>
          </w:p>
        </w:tc>
        <w:tc>
          <w:tcPr>
            <w:tcW w:w="1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(626)</w:t>
            </w:r>
          </w:p>
        </w:tc>
      </w:tr>
      <w:tr>
        <w:trPr>
          <w:trHeight w:val="212"/>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EFFECT OF EXCHANGE RATE ON CASH, CASH EQUIVALENTS, AND RESTRICTED CASH</w:t>
            </w:r>
          </w:p>
        </w:tc>
        <w:tc>
          <w:tcPr>
            <w:tcW w:w="1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20" w:type="dxa"/>
            <w:vAlign w:val="bottom"/>
          </w:tcPr>
          <w:p>
            <w:pPr>
              <w:spacing w:after="0"/>
              <w:rPr>
                <w:sz w:val="17"/>
                <w:szCs w:val="17"/>
                <w:color w:val="auto"/>
              </w:rPr>
            </w:pPr>
          </w:p>
        </w:tc>
        <w:tc>
          <w:tcPr>
            <w:tcW w:w="7520" w:type="dxa"/>
            <w:vAlign w:val="bottom"/>
            <w:gridSpan w:val="2"/>
          </w:tcPr>
          <w:p>
            <w:pPr>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1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210"/>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124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75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Supplemental cash flow information:</w:t>
            </w: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paid for income taxes, net</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340" w:type="dxa"/>
            <w:vAlign w:val="bottom"/>
            <w:gridSpan w:val="2"/>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13"/>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6"/>
                <w:szCs w:val="16"/>
                <w:color w:val="auto"/>
              </w:rPr>
              <w:t>Cash paid for interest, net</w:t>
            </w:r>
          </w:p>
        </w:tc>
        <w:tc>
          <w:tcPr>
            <w:tcW w:w="1240" w:type="dxa"/>
            <w:vAlign w:val="bottom"/>
          </w:tcPr>
          <w:p>
            <w:pPr>
              <w:jc w:val="right"/>
              <w:ind w:right="10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340" w:type="dxa"/>
            <w:vAlign w:val="bottom"/>
            <w:gridSpan w:val="2"/>
          </w:tcPr>
          <w:p>
            <w:pPr>
              <w:jc w:val="right"/>
              <w:ind w:right="10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Unpaid capital expenditures</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340" w:type="dxa"/>
            <w:vAlign w:val="bottom"/>
            <w:gridSpan w:val="2"/>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 and share amounts in millions, except per share amounts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6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Treasury Stock</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4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vMerge w:val="restart"/>
          </w:tcPr>
          <w:p>
            <w:pPr>
              <w:jc w:val="right"/>
              <w:ind w:right="240"/>
              <w:spacing w:after="0" w:line="135"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restart"/>
          </w:tcPr>
          <w:p>
            <w:pPr>
              <w:jc w:val="right"/>
              <w:ind w:right="16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48"/>
        </w:trPr>
        <w:tc>
          <w:tcPr>
            <w:tcW w:w="2680" w:type="dxa"/>
            <w:vAlign w:val="bottom"/>
          </w:tcPr>
          <w:p>
            <w:pPr>
              <w:spacing w:after="0"/>
              <w:rPr>
                <w:sz w:val="4"/>
                <w:szCs w:val="4"/>
                <w:color w:val="auto"/>
              </w:rPr>
            </w:pPr>
          </w:p>
        </w:tc>
        <w:tc>
          <w:tcPr>
            <w:tcW w:w="76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4"/>
                <w:szCs w:val="4"/>
                <w:color w:val="auto"/>
              </w:rPr>
            </w:pPr>
          </w:p>
        </w:tc>
        <w:tc>
          <w:tcPr>
            <w:tcW w:w="64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6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1,433</w:t>
            </w:r>
          </w:p>
        </w:tc>
        <w:tc>
          <w:tcPr>
            <w:tcW w:w="0" w:type="dxa"/>
            <w:vAlign w:val="bottom"/>
          </w:tcPr>
          <w:p>
            <w:pPr>
              <w:spacing w:after="0"/>
              <w:rPr>
                <w:sz w:val="1"/>
                <w:szCs w:val="1"/>
                <w:color w:val="auto"/>
              </w:rPr>
            </w:pPr>
          </w:p>
        </w:tc>
      </w:tr>
      <w:tr>
        <w:trPr>
          <w:trHeight w:val="213"/>
        </w:trPr>
        <w:tc>
          <w:tcPr>
            <w:tcW w:w="2680" w:type="dxa"/>
            <w:vAlign w:val="bottom"/>
          </w:tcPr>
          <w:p>
            <w:pPr>
              <w:ind w:left="140"/>
              <w:spacing w:after="0"/>
              <w:rPr>
                <w:sz w:val="20"/>
                <w:szCs w:val="20"/>
                <w:color w:val="auto"/>
              </w:rPr>
            </w:pPr>
            <w:r>
              <w:rPr>
                <w:rFonts w:ascii="Arial" w:cs="Arial" w:eastAsia="Arial" w:hAnsi="Arial"/>
                <w:sz w:val="16"/>
                <w:szCs w:val="16"/>
                <w:color w:val="auto"/>
              </w:rPr>
              <w:t>Net income attributed to LP</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 ($0.24 per share)</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2680" w:type="dxa"/>
            <w:vAlign w:val="bottom"/>
          </w:tcPr>
          <w:p>
            <w:pPr>
              <w:ind w:left="140"/>
              <w:spacing w:after="0"/>
              <w:rPr>
                <w:sz w:val="20"/>
                <w:szCs w:val="20"/>
                <w:color w:val="auto"/>
              </w:rPr>
            </w:pPr>
            <w:r>
              <w:rPr>
                <w:rFonts w:ascii="Arial" w:cs="Arial" w:eastAsia="Arial" w:hAnsi="Arial"/>
                <w:sz w:val="16"/>
                <w:szCs w:val="16"/>
                <w:color w:val="auto"/>
                <w:w w:val="95"/>
              </w:rPr>
              <w:t>Issuance of shares under stock plans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w w:val="94"/>
              </w:rPr>
              <w:t>Taxes paid related to net settlement of</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stock-based awards</w:t>
            </w: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140"/>
              <w:spacing w:after="0"/>
              <w:rPr>
                <w:sz w:val="20"/>
                <w:szCs w:val="20"/>
                <w:color w:val="auto"/>
              </w:rPr>
            </w:pPr>
            <w:r>
              <w:rPr>
                <w:rFonts w:ascii="Arial" w:cs="Arial" w:eastAsia="Arial" w:hAnsi="Arial"/>
                <w:sz w:val="16"/>
                <w:szCs w:val="16"/>
                <w:color w:val="auto"/>
              </w:rPr>
              <w:t>Purchase of stock</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Compensation expense associated</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 stock-based compensation</w:t>
            </w: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income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March 31, 2023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1,450</w:t>
            </w:r>
          </w:p>
        </w:tc>
        <w:tc>
          <w:tcPr>
            <w:tcW w:w="0" w:type="dxa"/>
            <w:vAlign w:val="bottom"/>
          </w:tcPr>
          <w:p>
            <w:pPr>
              <w:spacing w:after="0"/>
              <w:rPr>
                <w:sz w:val="1"/>
                <w:szCs w:val="1"/>
                <w:color w:val="auto"/>
              </w:rPr>
            </w:pPr>
          </w:p>
        </w:tc>
      </w:tr>
      <w:tr>
        <w:trPr>
          <w:trHeight w:val="207"/>
        </w:trPr>
        <w:tc>
          <w:tcPr>
            <w:tcW w:w="2680" w:type="dxa"/>
            <w:vAlign w:val="bottom"/>
          </w:tcPr>
          <w:p>
            <w:pPr>
              <w:ind w:left="140"/>
              <w:spacing w:after="0"/>
              <w:rPr>
                <w:sz w:val="20"/>
                <w:szCs w:val="20"/>
                <w:color w:val="auto"/>
              </w:rPr>
            </w:pPr>
            <w:r>
              <w:rPr>
                <w:rFonts w:ascii="Arial" w:cs="Arial" w:eastAsia="Arial" w:hAnsi="Arial"/>
                <w:sz w:val="16"/>
                <w:szCs w:val="16"/>
                <w:color w:val="auto"/>
              </w:rPr>
              <w:t>Net loss attributed to LP</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 ($0.24 per share)</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2680" w:type="dxa"/>
            <w:vAlign w:val="bottom"/>
          </w:tcPr>
          <w:p>
            <w:pPr>
              <w:ind w:left="140"/>
              <w:spacing w:after="0"/>
              <w:rPr>
                <w:sz w:val="20"/>
                <w:szCs w:val="20"/>
                <w:color w:val="auto"/>
              </w:rPr>
            </w:pPr>
            <w:r>
              <w:rPr>
                <w:rFonts w:ascii="Arial" w:cs="Arial" w:eastAsia="Arial" w:hAnsi="Arial"/>
                <w:sz w:val="16"/>
                <w:szCs w:val="16"/>
                <w:color w:val="auto"/>
                <w:w w:val="95"/>
              </w:rPr>
              <w:t>Issuance of shares under stock plans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2"/>
              </w:rPr>
              <w:t>Taxes paid related to net settlement of</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awards</w:t>
            </w: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140"/>
              <w:spacing w:after="0"/>
              <w:rPr>
                <w:sz w:val="20"/>
                <w:szCs w:val="20"/>
                <w:color w:val="auto"/>
              </w:rPr>
            </w:pPr>
            <w:r>
              <w:rPr>
                <w:rFonts w:ascii="Arial" w:cs="Arial" w:eastAsia="Arial" w:hAnsi="Arial"/>
                <w:sz w:val="16"/>
                <w:szCs w:val="16"/>
                <w:color w:val="auto"/>
              </w:rPr>
              <w:t>Purchase of stock</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Compensation expense associated</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 stock-based compensation</w:t>
            </w: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income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30, 2023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1,419</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16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Treasury Stock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0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restart"/>
          </w:tcPr>
          <w:p>
            <w:pPr>
              <w:jc w:val="right"/>
              <w:ind w:right="200"/>
              <w:spacing w:after="0" w:line="126"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vMerge w:val="restart"/>
          </w:tcPr>
          <w:p>
            <w:pPr>
              <w:jc w:val="right"/>
              <w:ind w:right="160"/>
              <w:spacing w:after="0" w:line="126"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vMerge w:val="restart"/>
          </w:tcPr>
          <w:p>
            <w:pPr>
              <w:jc w:val="center"/>
              <w:ind w:right="80"/>
              <w:spacing w:after="0" w:line="126"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center"/>
              <w:ind w:right="60"/>
              <w:spacing w:after="0" w:line="126"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52"/>
        </w:trPr>
        <w:tc>
          <w:tcPr>
            <w:tcW w:w="2700" w:type="dxa"/>
            <w:vAlign w:val="bottom"/>
          </w:tcPr>
          <w:p>
            <w:pPr>
              <w:spacing w:after="0"/>
              <w:rPr>
                <w:sz w:val="4"/>
                <w:szCs w:val="4"/>
                <w:color w:val="auto"/>
              </w:rPr>
            </w:pPr>
          </w:p>
        </w:tc>
        <w:tc>
          <w:tcPr>
            <w:tcW w:w="76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4"/>
                <w:szCs w:val="4"/>
                <w:color w:val="auto"/>
              </w:rPr>
            </w:pPr>
          </w:p>
        </w:tc>
        <w:tc>
          <w:tcPr>
            <w:tcW w:w="6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6"/>
                <w:szCs w:val="16"/>
                <w:b w:val="1"/>
                <w:bCs w:val="1"/>
                <w:color w:val="auto"/>
              </w:rPr>
              <w:t>17</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1,235</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Net income attributed to LP</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 ($0.22 per share)</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w w:val="96"/>
              </w:rPr>
              <w:t>Issuance of shares under stock plans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5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w w:val="94"/>
              </w:rPr>
              <w:t>Taxes paid related to net settlement of</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stock-based awards</w:t>
            </w: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Purchase of stock</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0"/>
              </w:rPr>
              <w:t>Compensation expense associated with</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March 31, 2022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6"/>
                <w:szCs w:val="16"/>
                <w:b w:val="1"/>
                <w:bCs w:val="1"/>
                <w:color w:val="auto"/>
              </w:rPr>
              <w:t>16</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1,613</w:t>
            </w:r>
          </w:p>
        </w:tc>
        <w:tc>
          <w:tcPr>
            <w:tcW w:w="0" w:type="dxa"/>
            <w:vAlign w:val="bottom"/>
          </w:tcPr>
          <w:p>
            <w:pPr>
              <w:spacing w:after="0"/>
              <w:rPr>
                <w:sz w:val="1"/>
                <w:szCs w:val="1"/>
                <w:color w:val="auto"/>
              </w:rPr>
            </w:pPr>
          </w:p>
        </w:tc>
      </w:tr>
      <w:tr>
        <w:trPr>
          <w:trHeight w:val="226"/>
        </w:trPr>
        <w:tc>
          <w:tcPr>
            <w:tcW w:w="2700" w:type="dxa"/>
            <w:vAlign w:val="bottom"/>
            <w:tcBorders>
              <w:top w:val="single" w:sz="8" w:color="CCEEFF"/>
            </w:tcBorders>
          </w:tcPr>
          <w:p>
            <w:pPr>
              <w:ind w:left="140"/>
              <w:spacing w:after="0"/>
              <w:rPr>
                <w:sz w:val="20"/>
                <w:szCs w:val="20"/>
                <w:color w:val="auto"/>
              </w:rPr>
            </w:pPr>
            <w:r>
              <w:rPr>
                <w:rFonts w:ascii="Arial" w:cs="Arial" w:eastAsia="Arial" w:hAnsi="Arial"/>
                <w:sz w:val="16"/>
                <w:szCs w:val="16"/>
                <w:color w:val="auto"/>
              </w:rPr>
              <w:t>Net income attributed to LP</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9"/>
                <w:szCs w:val="19"/>
                <w:color w:val="auto"/>
              </w:rPr>
            </w:pPr>
          </w:p>
        </w:tc>
        <w:tc>
          <w:tcPr>
            <w:tcW w:w="64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 ($0.22 per share)</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w w:val="96"/>
              </w:rPr>
              <w:t>Issuance of shares under stock plans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w w:val="94"/>
              </w:rPr>
              <w:t>Taxes paid related to net settlement of</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stock-based awards</w:t>
            </w: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Purchase of stock</w:t>
            </w: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0"/>
              </w:rPr>
              <w:t>Compensation expense associated with</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30, 2022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1,484</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62" w:right="359" w:bottom="1440" w:gutter="0" w:footer="0" w:header="0"/>
        </w:sectPr>
      </w:pPr>
    </w:p>
    <w:bookmarkStart w:id="9" w:name="page10"/>
    <w:bookmarkEnd w:id="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FOR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Louisiana-Pacific Corporation and our subsidiaries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reliability, and sustainability. The principal customers for our building solutions are retailers, wholesalers, and home building and industrial businesses in North America and South America, with limited sales to Asia, Australia, and Europe. The Company operates 22 plants across the U.S., Canada, Chile, and Brazil through foreign subsidiaries, and operates additional facilities through a joint venture. References to "LP," the "Company," "we," "our," and "us" refer to Louisiana-Pacific Corporation and its consolidated subsidiaries as a whole.</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2022, we sold our 50% equity interest in two joint ventures that produce I-joists, and we sold the remaining assets related to the Engineered Wood Product (EWP) segment. Accordingly, the results of our previously owned EWP segment have been presented as discontinued operations in our Condensed Consolidated Statements of Income for all periods presented. See "Note 7 –Discontinued Operations" for additional information.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2023, we acquired a manufacturing facility in Wawa, Ontario from Wawa OSB, Inc. a subsidiary of Forex Inc., for $80 million, financed by a combination of cash on hand and availability under the Amended Credit Facility (defined below). The manufacturing facility is expected to be converted into an LP® SmartSide® Trim &amp; Siding mill. We are evaluating project schedules and market demand to determine when construction will begin. The facility will remain shut down until such time construction is completed.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Presentation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generally accepted accounting principles in the United States (U.S. GAAP) for interim financial information. Accordingly, they do not include all the information and footnotes required by U.S. GAAP for complete consolidated financial statements. In the opinion of management, all adjustments considered necessary for a fair presentation have been included and are of a normal and recurring nature. These Condensed Consolidated Financial Statements and related Notes should be read in conjunction with our annual report on Form 10-K for the fiscal year ended December 31, 2022, filed with the SEC on February 21, 2023 (2022 Annual Report on Form 10-K). Results of operations for interim periods are not necessarily indicative of results to be expected for an entire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our reportable segment revenues, disaggregated by revenue source. We disaggregate revenue from contracts with customers into major product lines. We have determined that disaggregating revenue into these categories depicts how the nature, amount, timing, and uncertainty of revenue and cash flows are affected by economic factors.</w:t>
      </w:r>
    </w:p>
    <w:p>
      <w:pPr>
        <w:spacing w:after="0" w:line="6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As noted in the segment reporting information in “Note 17 - Selected Segment Data” below, our reportable segments are Siding, Oriented Strand Board (OSB), and South America (dollar amounts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1"/>
              </w:rPr>
              <w:t>Three Months Ended June 30, 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2780" w:type="dxa"/>
            <w:vAlign w:val="bottom"/>
            <w:gridSpan w:val="4"/>
          </w:tcPr>
          <w:p>
            <w:pPr>
              <w:spacing w:after="0"/>
              <w:rPr>
                <w:sz w:val="20"/>
                <w:szCs w:val="20"/>
                <w:color w:val="auto"/>
              </w:rPr>
            </w:pPr>
            <w:r>
              <w:rPr>
                <w:rFonts w:ascii="Arial" w:cs="Arial" w:eastAsia="Arial" w:hAnsi="Arial"/>
                <w:sz w:val="16"/>
                <w:szCs w:val="16"/>
                <w:b w:val="1"/>
                <w:bCs w:val="1"/>
                <w:color w:val="auto"/>
              </w:rPr>
              <w:t>By Product type and family:</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Siding</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OSB</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w w:val="90"/>
              </w:rPr>
              <w:t>South America</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Inter-segment</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w w:val="87"/>
              </w:rPr>
              <w:t>Value-add</w:t>
            </w:r>
          </w:p>
        </w:tc>
        <w:tc>
          <w:tcPr>
            <w:tcW w:w="2120" w:type="dxa"/>
            <w:vAlign w:val="bottom"/>
            <w:tcBorders>
              <w:bottom w:val="single" w:sz="8" w:color="CCEEFF"/>
            </w:tcBorders>
            <w:gridSpan w:val="2"/>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Arial" w:cs="Arial" w:eastAsia="Arial" w:hAnsi="Arial"/>
                <w:sz w:val="16"/>
                <w:szCs w:val="16"/>
                <w:color w:val="auto"/>
              </w:rPr>
              <w:t>Siding Solutions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318</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4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324</w:t>
            </w: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Structural Solutions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09"/>
        </w:trPr>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52</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w:t>
            </w: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3"/>
            <w:shd w:val="clear" w:color="auto" w:fill="CCEEFF"/>
          </w:tcPr>
          <w:p>
            <w:pPr>
              <w:spacing w:after="0" w:line="158" w:lineRule="exact"/>
              <w:rPr>
                <w:sz w:val="20"/>
                <w:szCs w:val="20"/>
                <w:color w:val="auto"/>
              </w:rPr>
            </w:pPr>
            <w:r>
              <w:rPr>
                <w:rFonts w:ascii="Arial" w:cs="Arial" w:eastAsia="Arial" w:hAnsi="Arial"/>
                <w:sz w:val="16"/>
                <w:szCs w:val="16"/>
                <w:color w:val="auto"/>
                <w:w w:val="93"/>
              </w:rPr>
              <w:t>Commodity</w:t>
            </w:r>
          </w:p>
        </w:tc>
        <w:tc>
          <w:tcPr>
            <w:tcW w:w="20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Arial" w:cs="Arial" w:eastAsia="Arial" w:hAnsi="Arial"/>
                <w:sz w:val="16"/>
                <w:szCs w:val="16"/>
                <w:color w:val="auto"/>
              </w:rPr>
              <w:t>OSB - commodity</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64"/>
        </w:trPr>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2780" w:type="dxa"/>
            <w:vAlign w:val="bottom"/>
            <w:gridSpan w:val="4"/>
          </w:tcPr>
          <w:p>
            <w:pPr>
              <w:spacing w:after="0" w:line="175" w:lineRule="exact"/>
              <w:rPr>
                <w:sz w:val="20"/>
                <w:szCs w:val="20"/>
                <w:color w:val="auto"/>
              </w:rPr>
            </w:pPr>
            <w:r>
              <w:rPr>
                <w:rFonts w:ascii="Arial" w:cs="Arial" w:eastAsia="Arial" w:hAnsi="Arial"/>
                <w:sz w:val="16"/>
                <w:szCs w:val="16"/>
                <w:color w:val="auto"/>
              </w:rPr>
              <w:t>Other</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Other products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16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8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1"/>
              </w:rPr>
              <w:t>Three Months Ended June 30, 2022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2780" w:type="dxa"/>
            <w:vAlign w:val="bottom"/>
            <w:gridSpan w:val="4"/>
          </w:tcPr>
          <w:p>
            <w:pPr>
              <w:spacing w:after="0"/>
              <w:rPr>
                <w:sz w:val="20"/>
                <w:szCs w:val="20"/>
                <w:color w:val="auto"/>
              </w:rPr>
            </w:pPr>
            <w:r>
              <w:rPr>
                <w:rFonts w:ascii="Arial" w:cs="Arial" w:eastAsia="Arial" w:hAnsi="Arial"/>
                <w:sz w:val="16"/>
                <w:szCs w:val="16"/>
                <w:b w:val="1"/>
                <w:bCs w:val="1"/>
                <w:color w:val="auto"/>
              </w:rPr>
              <w:t>By Product type and family:</w:t>
            </w:r>
          </w:p>
        </w:tc>
        <w:tc>
          <w:tcPr>
            <w:tcW w:w="260" w:type="dxa"/>
            <w:vAlign w:val="bottom"/>
          </w:tcPr>
          <w:p>
            <w:pPr>
              <w:spacing w:after="0"/>
              <w:rPr>
                <w:sz w:val="20"/>
                <w:szCs w:val="20"/>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Siding</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320"/>
              <w:spacing w:after="0"/>
              <w:rPr>
                <w:sz w:val="20"/>
                <w:szCs w:val="20"/>
                <w:color w:val="auto"/>
              </w:rPr>
            </w:pPr>
            <w:r>
              <w:rPr>
                <w:rFonts w:ascii="Arial" w:cs="Arial" w:eastAsia="Arial" w:hAnsi="Arial"/>
                <w:sz w:val="16"/>
                <w:szCs w:val="16"/>
                <w:b w:val="1"/>
                <w:bCs w:val="1"/>
                <w:color w:val="auto"/>
              </w:rPr>
              <w:t>OSB</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0"/>
              </w:rPr>
              <w:t>South America</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Inter-segment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w w:val="87"/>
              </w:rPr>
              <w:t>Value-add</w:t>
            </w:r>
          </w:p>
        </w:tc>
        <w:tc>
          <w:tcPr>
            <w:tcW w:w="2120" w:type="dxa"/>
            <w:vAlign w:val="bottom"/>
            <w:tcBorders>
              <w:bottom w:val="single" w:sz="8" w:color="CCEEFF"/>
            </w:tcBorders>
            <w:gridSpan w:val="2"/>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Arial" w:cs="Arial" w:eastAsia="Arial" w:hAnsi="Arial"/>
                <w:sz w:val="16"/>
                <w:szCs w:val="16"/>
                <w:color w:val="auto"/>
              </w:rPr>
              <w:t>Siding Solutions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356</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4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362</w:t>
            </w: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Structural Solutions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r>
      <w:tr>
        <w:trPr>
          <w:trHeight w:val="210"/>
        </w:trPr>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70</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3"/>
            <w:shd w:val="clear" w:color="auto" w:fill="CCEEFF"/>
          </w:tcPr>
          <w:p>
            <w:pPr>
              <w:spacing w:after="0" w:line="158" w:lineRule="exact"/>
              <w:rPr>
                <w:sz w:val="20"/>
                <w:szCs w:val="20"/>
                <w:color w:val="auto"/>
              </w:rPr>
            </w:pPr>
            <w:r>
              <w:rPr>
                <w:rFonts w:ascii="Arial" w:cs="Arial" w:eastAsia="Arial" w:hAnsi="Arial"/>
                <w:sz w:val="16"/>
                <w:szCs w:val="16"/>
                <w:color w:val="auto"/>
                <w:w w:val="93"/>
              </w:rPr>
              <w:t>Commodity</w:t>
            </w:r>
          </w:p>
        </w:tc>
        <w:tc>
          <w:tcPr>
            <w:tcW w:w="20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Arial" w:cs="Arial" w:eastAsia="Arial" w:hAnsi="Arial"/>
                <w:sz w:val="16"/>
                <w:szCs w:val="16"/>
                <w:color w:val="auto"/>
              </w:rPr>
              <w:t>OSB - commodity</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63"/>
        </w:trPr>
        <w:tc>
          <w:tcPr>
            <w:tcW w:w="20" w:type="dxa"/>
            <w:vAlign w:val="bottom"/>
            <w:shd w:val="clear" w:color="auto" w:fill="CCEEFF"/>
          </w:tcPr>
          <w:p>
            <w:pPr>
              <w:spacing w:after="0"/>
              <w:rPr>
                <w:sz w:val="22"/>
                <w:szCs w:val="22"/>
                <w:color w:val="auto"/>
              </w:rPr>
            </w:pPr>
          </w:p>
        </w:tc>
        <w:tc>
          <w:tcPr>
            <w:tcW w:w="2780" w:type="dxa"/>
            <w:vAlign w:val="bottom"/>
            <w:gridSpan w:val="4"/>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2780" w:type="dxa"/>
            <w:vAlign w:val="bottom"/>
            <w:gridSpan w:val="4"/>
          </w:tcPr>
          <w:p>
            <w:pPr>
              <w:spacing w:after="0" w:line="175" w:lineRule="exact"/>
              <w:rPr>
                <w:sz w:val="20"/>
                <w:szCs w:val="20"/>
                <w:color w:val="auto"/>
              </w:rPr>
            </w:pPr>
            <w:r>
              <w:rPr>
                <w:rFonts w:ascii="Arial" w:cs="Arial" w:eastAsia="Arial" w:hAnsi="Arial"/>
                <w:sz w:val="16"/>
                <w:szCs w:val="16"/>
                <w:color w:val="auto"/>
              </w:rPr>
              <w:t>Other</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Other products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358</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673</w:t>
            </w:r>
          </w:p>
        </w:tc>
        <w:tc>
          <w:tcPr>
            <w:tcW w:w="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70</w:t>
            </w:r>
          </w:p>
        </w:tc>
        <w:tc>
          <w:tcPr>
            <w:tcW w:w="4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ind w:left="92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4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1,130</w:t>
            </w: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40" w:right="379" w:bottom="1440" w:gutter="0" w:footer="0" w:header="0"/>
        </w:sectPr>
      </w:pPr>
    </w:p>
    <w:bookmarkStart w:id="11" w:name="page12"/>
    <w:bookmarkEnd w:id="11"/>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6"/>
          </w:tcPr>
          <w:p>
            <w:pPr>
              <w:jc w:val="right"/>
              <w:ind w:right="180"/>
              <w:spacing w:after="0"/>
              <w:rPr>
                <w:sz w:val="20"/>
                <w:szCs w:val="20"/>
                <w:color w:val="auto"/>
              </w:rPr>
            </w:pPr>
            <w:r>
              <w:rPr>
                <w:rFonts w:ascii="Arial" w:cs="Arial" w:eastAsia="Arial" w:hAnsi="Arial"/>
                <w:sz w:val="16"/>
                <w:szCs w:val="16"/>
                <w:b w:val="1"/>
                <w:bCs w:val="1"/>
                <w:color w:val="auto"/>
                <w:w w:val="93"/>
              </w:rPr>
              <w:t>Six Months Ended June 30, 2023</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780" w:type="dxa"/>
            <w:vAlign w:val="bottom"/>
            <w:gridSpan w:val="4"/>
          </w:tcPr>
          <w:p>
            <w:pPr>
              <w:spacing w:after="0"/>
              <w:rPr>
                <w:sz w:val="20"/>
                <w:szCs w:val="20"/>
                <w:color w:val="auto"/>
              </w:rPr>
            </w:pPr>
            <w:r>
              <w:rPr>
                <w:rFonts w:ascii="Arial" w:cs="Arial" w:eastAsia="Arial" w:hAnsi="Arial"/>
                <w:sz w:val="16"/>
                <w:szCs w:val="16"/>
                <w:b w:val="1"/>
                <w:bCs w:val="1"/>
                <w:color w:val="auto"/>
              </w:rPr>
              <w:t>By Product type and family:</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Siding</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OSB</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w w:val="90"/>
              </w:rPr>
              <w:t>South America</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Inter-segment</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w w:val="87"/>
              </w:rPr>
              <w:t>Value-add</w:t>
            </w:r>
          </w:p>
        </w:tc>
        <w:tc>
          <w:tcPr>
            <w:tcW w:w="2120" w:type="dxa"/>
            <w:vAlign w:val="bottom"/>
            <w:tcBorders>
              <w:bottom w:val="single" w:sz="8" w:color="CCEEFF"/>
            </w:tcBorders>
            <w:gridSpan w:val="2"/>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Arial" w:cs="Arial" w:eastAsia="Arial" w:hAnsi="Arial"/>
                <w:sz w:val="16"/>
                <w:szCs w:val="16"/>
                <w:color w:val="auto"/>
              </w:rPr>
              <w:t>Siding Solutions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647</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c>
          <w:tcPr>
            <w:tcW w:w="4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ind w:left="7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ind w:left="920"/>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661</w:t>
            </w: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Structural Solutions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r>
      <w:tr>
        <w:trPr>
          <w:trHeight w:val="209"/>
        </w:trPr>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239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106</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w:t>
            </w: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3"/>
            <w:shd w:val="clear" w:color="auto" w:fill="CCEEFF"/>
          </w:tcPr>
          <w:p>
            <w:pPr>
              <w:spacing w:after="0" w:line="158" w:lineRule="exact"/>
              <w:rPr>
                <w:sz w:val="20"/>
                <w:szCs w:val="20"/>
                <w:color w:val="auto"/>
              </w:rPr>
            </w:pPr>
            <w:r>
              <w:rPr>
                <w:rFonts w:ascii="Arial" w:cs="Arial" w:eastAsia="Arial" w:hAnsi="Arial"/>
                <w:sz w:val="16"/>
                <w:szCs w:val="16"/>
                <w:color w:val="auto"/>
                <w:w w:val="93"/>
              </w:rPr>
              <w:t>Commodity</w:t>
            </w:r>
          </w:p>
        </w:tc>
        <w:tc>
          <w:tcPr>
            <w:tcW w:w="20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Arial" w:cs="Arial" w:eastAsia="Arial" w:hAnsi="Arial"/>
                <w:sz w:val="16"/>
                <w:szCs w:val="16"/>
                <w:color w:val="auto"/>
              </w:rPr>
              <w:t>OSB - commodity</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175</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r>
      <w:tr>
        <w:trPr>
          <w:trHeight w:val="264"/>
        </w:trPr>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2780" w:type="dxa"/>
            <w:vAlign w:val="bottom"/>
            <w:gridSpan w:val="4"/>
          </w:tcPr>
          <w:p>
            <w:pPr>
              <w:spacing w:after="0" w:line="175" w:lineRule="exact"/>
              <w:rPr>
                <w:sz w:val="20"/>
                <w:szCs w:val="20"/>
                <w:color w:val="auto"/>
              </w:rPr>
            </w:pPr>
            <w:r>
              <w:rPr>
                <w:rFonts w:ascii="Arial" w:cs="Arial" w:eastAsia="Arial" w:hAnsi="Arial"/>
                <w:sz w:val="16"/>
                <w:szCs w:val="16"/>
                <w:color w:val="auto"/>
              </w:rPr>
              <w:t>Other</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Other products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17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418</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108</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8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6"/>
          </w:tcPr>
          <w:p>
            <w:pPr>
              <w:jc w:val="right"/>
              <w:ind w:right="180"/>
              <w:spacing w:after="0"/>
              <w:rPr>
                <w:sz w:val="20"/>
                <w:szCs w:val="20"/>
                <w:color w:val="auto"/>
              </w:rPr>
            </w:pPr>
            <w:r>
              <w:rPr>
                <w:rFonts w:ascii="Arial" w:cs="Arial" w:eastAsia="Arial" w:hAnsi="Arial"/>
                <w:sz w:val="16"/>
                <w:szCs w:val="16"/>
                <w:b w:val="1"/>
                <w:bCs w:val="1"/>
                <w:color w:val="auto"/>
                <w:w w:val="93"/>
              </w:rPr>
              <w:t>Six Months Ended June 30, 2022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780" w:type="dxa"/>
            <w:vAlign w:val="bottom"/>
            <w:gridSpan w:val="4"/>
          </w:tcPr>
          <w:p>
            <w:pPr>
              <w:spacing w:after="0"/>
              <w:rPr>
                <w:sz w:val="20"/>
                <w:szCs w:val="20"/>
                <w:color w:val="auto"/>
              </w:rPr>
            </w:pPr>
            <w:r>
              <w:rPr>
                <w:rFonts w:ascii="Arial" w:cs="Arial" w:eastAsia="Arial" w:hAnsi="Arial"/>
                <w:sz w:val="16"/>
                <w:szCs w:val="16"/>
                <w:b w:val="1"/>
                <w:bCs w:val="1"/>
                <w:color w:val="auto"/>
              </w:rPr>
              <w:t>By Product type and family:</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Siding</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OSB</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w w:val="90"/>
              </w:rPr>
              <w:t>South America</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Inter-segment</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w w:val="87"/>
              </w:rPr>
              <w:t>Value-add</w:t>
            </w:r>
          </w:p>
        </w:tc>
        <w:tc>
          <w:tcPr>
            <w:tcW w:w="2120" w:type="dxa"/>
            <w:vAlign w:val="bottom"/>
            <w:tcBorders>
              <w:bottom w:val="single" w:sz="8" w:color="CCEEFF"/>
            </w:tcBorders>
            <w:gridSpan w:val="2"/>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Arial" w:cs="Arial" w:eastAsia="Arial" w:hAnsi="Arial"/>
                <w:sz w:val="16"/>
                <w:szCs w:val="16"/>
                <w:color w:val="auto"/>
              </w:rPr>
              <w:t>Siding Solutions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686</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4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ind w:left="7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ind w:left="920"/>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698</w:t>
            </w: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Structural Solutions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w:t>
            </w:r>
          </w:p>
        </w:tc>
      </w:tr>
      <w:tr>
        <w:trPr>
          <w:trHeight w:val="210"/>
        </w:trPr>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791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135</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1,611</w:t>
            </w: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3"/>
            <w:shd w:val="clear" w:color="auto" w:fill="CCEEFF"/>
          </w:tcPr>
          <w:p>
            <w:pPr>
              <w:spacing w:after="0" w:line="158" w:lineRule="exact"/>
              <w:rPr>
                <w:sz w:val="20"/>
                <w:szCs w:val="20"/>
                <w:color w:val="auto"/>
              </w:rPr>
            </w:pPr>
            <w:r>
              <w:rPr>
                <w:rFonts w:ascii="Arial" w:cs="Arial" w:eastAsia="Arial" w:hAnsi="Arial"/>
                <w:sz w:val="16"/>
                <w:szCs w:val="16"/>
                <w:color w:val="auto"/>
                <w:w w:val="93"/>
              </w:rPr>
              <w:t>Commodity</w:t>
            </w:r>
          </w:p>
        </w:tc>
        <w:tc>
          <w:tcPr>
            <w:tcW w:w="20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Arial" w:cs="Arial" w:eastAsia="Arial" w:hAnsi="Arial"/>
                <w:sz w:val="16"/>
                <w:szCs w:val="16"/>
                <w:color w:val="auto"/>
              </w:rPr>
              <w:t>OSB - commodity</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621</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w:t>
            </w:r>
          </w:p>
        </w:tc>
      </w:tr>
      <w:tr>
        <w:trPr>
          <w:trHeight w:val="263"/>
        </w:trPr>
        <w:tc>
          <w:tcPr>
            <w:tcW w:w="20" w:type="dxa"/>
            <w:vAlign w:val="bottom"/>
            <w:shd w:val="clear" w:color="auto" w:fill="CCEEFF"/>
          </w:tcPr>
          <w:p>
            <w:pPr>
              <w:spacing w:after="0"/>
              <w:rPr>
                <w:sz w:val="22"/>
                <w:szCs w:val="22"/>
                <w:color w:val="auto"/>
              </w:rPr>
            </w:pPr>
          </w:p>
        </w:tc>
        <w:tc>
          <w:tcPr>
            <w:tcW w:w="2780" w:type="dxa"/>
            <w:vAlign w:val="bottom"/>
            <w:gridSpan w:val="4"/>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2780" w:type="dxa"/>
            <w:vAlign w:val="bottom"/>
            <w:gridSpan w:val="4"/>
          </w:tcPr>
          <w:p>
            <w:pPr>
              <w:spacing w:after="0" w:line="175" w:lineRule="exact"/>
              <w:rPr>
                <w:sz w:val="20"/>
                <w:szCs w:val="20"/>
                <w:color w:val="auto"/>
              </w:rPr>
            </w:pPr>
            <w:r>
              <w:rPr>
                <w:rFonts w:ascii="Arial" w:cs="Arial" w:eastAsia="Arial" w:hAnsi="Arial"/>
                <w:sz w:val="16"/>
                <w:szCs w:val="16"/>
                <w:color w:val="auto"/>
              </w:rPr>
              <w:t>Other</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Other products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55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689</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1,417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137</w:t>
            </w:r>
          </w:p>
        </w:tc>
        <w:tc>
          <w:tcPr>
            <w:tcW w:w="4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ind w:left="760"/>
              <w:spacing w:after="0"/>
              <w:rPr>
                <w:sz w:val="20"/>
                <w:szCs w:val="20"/>
                <w:color w:val="auto"/>
              </w:rPr>
            </w:pPr>
            <w:r>
              <w:rPr>
                <w:rFonts w:ascii="Arial" w:cs="Arial" w:eastAsia="Arial" w:hAnsi="Arial"/>
                <w:sz w:val="16"/>
                <w:szCs w:val="16"/>
                <w:color w:val="auto"/>
              </w:rPr>
              <w:t>55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ind w:left="920"/>
              <w:spacing w:after="0"/>
              <w:rPr>
                <w:sz w:val="20"/>
                <w:szCs w:val="20"/>
                <w:color w:val="auto"/>
              </w:rPr>
            </w:pPr>
            <w:r>
              <w:rPr>
                <w:rFonts w:ascii="Arial" w:cs="Arial" w:eastAsia="Arial" w:hAnsi="Arial"/>
                <w:sz w:val="16"/>
                <w:szCs w:val="16"/>
                <w:color w:val="auto"/>
              </w:rPr>
              <w:t>(2)</w:t>
            </w:r>
          </w:p>
        </w:tc>
        <w:tc>
          <w:tcPr>
            <w:tcW w:w="44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2,297</w:t>
            </w: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Revenue is recognized when obligations under the terms of a contract </w:t>
      </w:r>
      <w:r>
        <w:rPr>
          <w:rFonts w:ascii="Arial" w:cs="Arial" w:eastAsia="Arial" w:hAnsi="Arial"/>
          <w:sz w:val="18"/>
          <w:szCs w:val="18"/>
          <w:i w:val="1"/>
          <w:iCs w:val="1"/>
          <w:color w:val="auto"/>
        </w:rPr>
        <w:t>(i.e.</w:t>
      </w:r>
      <w:r>
        <w:rPr>
          <w:rFonts w:ascii="Arial" w:cs="Arial" w:eastAsia="Arial" w:hAnsi="Arial"/>
          <w:sz w:val="18"/>
          <w:szCs w:val="18"/>
          <w:color w:val="auto"/>
        </w:rPr>
        <w:t>, purchase orders) with our customers are satisfied; generally, this occurs with the transfer of control of our products at a point in time. Revenue is measured as the amount of consideration we expect to receive in exchange for transferring goods. The shipping cost incurred by us to deliver products to our customers is recorded in cost of sales. The expected costs associated with our warranties continue to be recognized as an expense when the products are sold.</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businesses routinely incur customer program costs to obtain favorable product placement, promote sales of products, and maintain competitive pricing. Customer program costs and incentives, including rebates and promotion and volume allowances, are accounted for as deductions from Net sales at the time the program is initiated. These reductions from revenue are recorded at the time of sale or the implementation of the program based on management’s best estimates. Estimates are based on historical and projected experience for each type of program or customer. Volume allowances are accrued based on management’s estimation of customer volume achievement and other factors incorporated into customer agreements, such as new product purchases, store sell-through, and merchandising support. Management adjusts accruals when circumstances indicate (typically as a result of a change in volume expectations).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time, we invoice the retailers and recognize revenue for these consignment transactions. We do not offer a right of return for products shipped to the retailers’ stores from the distribution centers.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Basic earnings per share is based on the weighted-average number of shares of common stock outstanding. Diluted earnings per share is based upon the weighted-average number of shares of common stock outstanding, plus all potentially dilutive securities that were assumed to be converted into common shares at the beginning of the period under the treasury stock method. This method requires that the effect of potentially dilutive common stock equivalents (stock options, stock-settled appreciation rights (SSARs), restricted stock units, and performance stock units) be excluded from the calculation of diluted earnings per share for the periods in which losses from continuing operations are reported because the effect is anti-dilutive.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basic and diluted earnings per share (dollar and share amounts 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5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2022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160" w:type="dxa"/>
            <w:vAlign w:val="bottom"/>
            <w:gridSpan w:val="2"/>
            <w:shd w:val="clear" w:color="auto" w:fill="CCEEFF"/>
          </w:tcPr>
          <w:p>
            <w:pPr>
              <w:jc w:val="right"/>
              <w:ind w:right="9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Net loss attributed to non-controlling interest</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attributed to LP from continuing operations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Income from discontinued operations, net of income taxes</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attributed to LP</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1160" w:type="dxa"/>
            <w:vAlign w:val="bottom"/>
            <w:gridSpan w:val="2"/>
            <w:shd w:val="clear" w:color="auto" w:fill="CCEEFF"/>
          </w:tcPr>
          <w:p>
            <w:pPr>
              <w:jc w:val="right"/>
              <w:ind w:right="94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common shares outstanding - basic</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Dilutive effect of employee stock plans</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Shares used for diluted earnings per share</w:t>
            </w:r>
          </w:p>
        </w:tc>
        <w:tc>
          <w:tcPr>
            <w:tcW w:w="9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attributed to LP per share - basic:</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Continuing operations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(0.28)</w:t>
            </w:r>
          </w:p>
        </w:tc>
        <w:tc>
          <w:tcPr>
            <w:tcW w:w="1160" w:type="dxa"/>
            <w:vAlign w:val="bottom"/>
            <w:gridSpan w:val="2"/>
          </w:tcPr>
          <w:p>
            <w:pPr>
              <w:jc w:val="right"/>
              <w:ind w:right="94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96"/>
              </w:rPr>
              <w:t>4.30</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0.02</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9.25</w:t>
            </w:r>
          </w:p>
        </w:tc>
      </w:tr>
      <w:tr>
        <w:trPr>
          <w:trHeight w:val="216"/>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Discontinued operations</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0.46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attributed to LP per share - basic</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(0.28)</w:t>
            </w:r>
          </w:p>
        </w:tc>
        <w:tc>
          <w:tcPr>
            <w:tcW w:w="1160" w:type="dxa"/>
            <w:vAlign w:val="bottom"/>
            <w:gridSpan w:val="2"/>
          </w:tcPr>
          <w:p>
            <w:pPr>
              <w:jc w:val="right"/>
              <w:ind w:right="94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96"/>
              </w:rPr>
              <w:t>4.76</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0.02</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10.43</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Net income (loss) attributed to LP per share - diluted:</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Continuing operations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160" w:type="dxa"/>
            <w:vAlign w:val="bottom"/>
            <w:gridSpan w:val="2"/>
            <w:shd w:val="clear" w:color="auto" w:fill="CCEEFF"/>
          </w:tcPr>
          <w:p>
            <w:pPr>
              <w:jc w:val="right"/>
              <w:ind w:right="9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4.28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Discontinued operations</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0.45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attributed to LP per share - diluted</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160" w:type="dxa"/>
            <w:vAlign w:val="bottom"/>
            <w:gridSpan w:val="2"/>
            <w:shd w:val="clear" w:color="auto" w:fill="CCEEFF"/>
          </w:tcPr>
          <w:p>
            <w:pPr>
              <w:jc w:val="right"/>
              <w:ind w:right="9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4.73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and minimize the use of unobservable inputs when measuring fair value. We are required to classify these financial assets and liabilities into two groups: (i) recurring—measured on a periodic basis, and (ii) non-recurring—measured on an as-needed basis.</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net carrying value of the 3.625% Senior Notes due in 2029 (2029 Senior Notes) was $347 million and $346 million as of June 30, 2023 and December 31, 2022, respectively. The fair value was estimated to be $307 million and $306 million as of June 30, 2023 and December 31, 2022, respectively, based on market quotations. The 2029 Senior Notes and other long-term debt are categorized as Level 1 in the U.S. GAAP fair value hierarchy. Fair values are based on trading activity among the Company’s lenders and the average bid and ask price is determined using published rates.</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2022, LP entered into a Second Amended and Restated Credit Agreement with American AgCredit, PCA, as administrative agent and sole lead arranger, and CoBank, ACB, as letter of credit issuer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Agreement), relating to its revolving credit facility (as amended, the Amended Credit Facility). The Credit Agreement provides for a revolving credit facility in the principal amount of up to $550 million, with a $60 million sub-limit for letters of credit. The Credit Agreement, and all loans thereunder, become due on November 29, 2028. As of June 30, 2023, there was $30 million in outstanding borrowings under our Amended Credit Facility. The carrying value of the Amended Credit Facility approximates fair value.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Carrying amounts reported on the balance sheet for cash and cash equivalents, accounts receivables, and accounts payable approximate fair value due to the short-term maturity of these items.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Receivables consisted of the following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1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June 30, 2023</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7"/>
              </w:rPr>
              <w:t>December 31, 2022</w:t>
            </w:r>
          </w:p>
        </w:tc>
      </w:tr>
      <w:tr>
        <w:trPr>
          <w:trHeight w:val="213"/>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receivables</w:t>
            </w:r>
          </w:p>
        </w:tc>
        <w:tc>
          <w:tcPr>
            <w:tcW w:w="1640" w:type="dxa"/>
            <w:vAlign w:val="bottom"/>
            <w:shd w:val="clear" w:color="auto" w:fill="CCEEFF"/>
          </w:tcPr>
          <w:p>
            <w:pPr>
              <w:jc w:val="right"/>
              <w:ind w:right="14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1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receivable</w:t>
            </w:r>
          </w:p>
        </w:tc>
        <w:tc>
          <w:tcPr>
            <w:tcW w:w="16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Allowance for doubtful accounts</w:t>
            </w:r>
          </w:p>
        </w:tc>
        <w:tc>
          <w:tcPr>
            <w:tcW w:w="1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40" w:type="dxa"/>
            <w:vAlign w:val="bottom"/>
            <w:shd w:val="clear" w:color="auto" w:fill="CCEEFF"/>
          </w:tcPr>
          <w:p>
            <w:pPr>
              <w:jc w:val="right"/>
              <w:ind w:right="14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 receivables are primarily generated by sales of our products to our wholesale and retail customers. Other receivables as of June 30, 2023 and December 31, 2022, primarily consist of sales tax receivables, vendor rebates, and other miscellaneous receivables.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Inventories are valued at the lower of cost or net realizable value. Inventory cost includes materials, labor, and operating overhead. The major types of inventories (work in process is not material and is included in Semi-finished inventory) are as follows (dollar amounts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June 30, 2023</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7"/>
              </w:rPr>
              <w:t>December 31, 2022</w:t>
            </w:r>
          </w:p>
        </w:tc>
      </w:tr>
      <w:tr>
        <w:trPr>
          <w:trHeight w:val="213"/>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Logs</w:t>
            </w:r>
          </w:p>
        </w:tc>
        <w:tc>
          <w:tcPr>
            <w:tcW w:w="1640" w:type="dxa"/>
            <w:vAlign w:val="bottom"/>
            <w:shd w:val="clear" w:color="auto" w:fill="CCEEFF"/>
          </w:tcPr>
          <w:p>
            <w:pPr>
              <w:jc w:val="right"/>
              <w:ind w:right="14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Other raw materials</w:t>
            </w:r>
          </w:p>
        </w:tc>
        <w:tc>
          <w:tcPr>
            <w:tcW w:w="1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Semi-finished inventories</w:t>
            </w:r>
          </w:p>
        </w:tc>
        <w:tc>
          <w:tcPr>
            <w:tcW w:w="16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Finished products</w:t>
            </w:r>
          </w:p>
        </w:tc>
        <w:tc>
          <w:tcPr>
            <w:tcW w:w="1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40" w:type="dxa"/>
            <w:vAlign w:val="bottom"/>
            <w:shd w:val="clear" w:color="auto" w:fill="CCEEFF"/>
          </w:tcPr>
          <w:p>
            <w:pPr>
              <w:jc w:val="right"/>
              <w:ind w:right="14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DISCONTINUED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2022, the Company sold its 50% equity interest in two joint ventures that produce I-joists for $59 million, resulting in a pre-tax gain associated with the sale of $39 million recorded in the year ended December 31, 2022 within Income from discontinued operations, net of income taxes in the Condensed Consolidated Statements of Income.</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1, 2022, the Company completed the sale of the assets related to the EWP segment. As a result of the sale, the Company received $217 million in gross cash proceeds after taking into account working capital adjustments. The Company paid $12 million in direct transaction costs, resulting in net proceeds of $205 million. During the year ended December 31, 2022, the Company recorded a pre-tax gain of approximately $118 million within Income from discontinued operations, net of income taxes in the Condensed Consolidated Statements of Income.</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closing, the Company entered into the transition services agreement with the purchaser of the assets, pursuant to which the Company agreed to support the various activities of the EWP segment, which concluded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 w:name="page15"/>
    <w:bookmarkEnd w:id="14"/>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2023.</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classified the results of its EWP segment as discontinued operations in its Condensed Consolidated Statements of Income for the prior period presented. The following table presents the financial results of the EWP segment for the three and six months ended June 30, 2022 (dollar amounts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Three Months Ended</w:t>
            </w:r>
          </w:p>
        </w:tc>
        <w:tc>
          <w:tcPr>
            <w:tcW w:w="120" w:type="dxa"/>
            <w:vAlign w:val="bottom"/>
          </w:tcPr>
          <w:p>
            <w:pPr>
              <w:spacing w:after="0"/>
              <w:rPr>
                <w:sz w:val="16"/>
                <w:szCs w:val="16"/>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b w:val="1"/>
                <w:bCs w:val="1"/>
                <w:color w:val="auto"/>
                <w:w w:val="98"/>
              </w:rPr>
              <w:t>Six Months Ended June</w:t>
            </w:r>
          </w:p>
        </w:tc>
      </w:tr>
      <w:tr>
        <w:trPr>
          <w:trHeight w:val="213"/>
        </w:trPr>
        <w:tc>
          <w:tcPr>
            <w:tcW w:w="7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7"/>
              </w:rPr>
              <w:t>June 30,</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30,</w:t>
            </w:r>
          </w:p>
        </w:tc>
      </w:tr>
      <w:tr>
        <w:trPr>
          <w:trHeight w:val="209"/>
        </w:trPr>
        <w:tc>
          <w:tcPr>
            <w:tcW w:w="7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2022</w:t>
            </w:r>
          </w:p>
        </w:tc>
      </w:tr>
      <w:tr>
        <w:trPr>
          <w:trHeight w:val="212"/>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218</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388</w:t>
            </w:r>
          </w:p>
        </w:tc>
      </w:tr>
      <w:tr>
        <w:trPr>
          <w:trHeight w:val="213"/>
        </w:trPr>
        <w:tc>
          <w:tcPr>
            <w:tcW w:w="7440" w:type="dxa"/>
            <w:vAlign w:val="bottom"/>
          </w:tcPr>
          <w:p>
            <w:pPr>
              <w:ind w:left="360"/>
              <w:spacing w:after="0"/>
              <w:rPr>
                <w:sz w:val="20"/>
                <w:szCs w:val="20"/>
                <w:color w:val="auto"/>
              </w:rPr>
            </w:pPr>
            <w:r>
              <w:rPr>
                <w:rFonts w:ascii="Arial" w:cs="Arial" w:eastAsia="Arial" w:hAnsi="Arial"/>
                <w:sz w:val="16"/>
                <w:szCs w:val="16"/>
                <w:color w:val="auto"/>
              </w:rPr>
              <w:t>Cost of sales</w:t>
            </w: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r>
      <w:tr>
        <w:trPr>
          <w:trHeight w:val="212"/>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3"/>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12"/>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operations of discontinued operations</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w:t>
            </w:r>
          </w:p>
        </w:tc>
      </w:tr>
      <w:tr>
        <w:trPr>
          <w:trHeight w:val="213"/>
        </w:trPr>
        <w:tc>
          <w:tcPr>
            <w:tcW w:w="74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Gain on disposal before income taxes</w:t>
            </w: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1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discontinued operations before income taxes</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w:t>
            </w:r>
          </w:p>
        </w:tc>
      </w:tr>
      <w:tr>
        <w:trPr>
          <w:trHeight w:val="213"/>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Provision for income taxes</w:t>
            </w: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35"/>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discontinued operations, net of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total cash provided by operations and total cash provided by investing activities related to the EWP segment and included in the Condensed Consolidated Statements of Cash Flows for the six months ended June 30, 2022 (dollar amounts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discontinued operating activities</w:t>
            </w:r>
          </w:p>
        </w:tc>
        <w:tc>
          <w:tcPr>
            <w:tcW w:w="34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0"/>
        </w:trPr>
        <w:tc>
          <w:tcPr>
            <w:tcW w:w="6680" w:type="dxa"/>
            <w:vAlign w:val="bottom"/>
          </w:tcPr>
          <w:p>
            <w:pPr>
              <w:ind w:left="40"/>
              <w:spacing w:after="0"/>
              <w:rPr>
                <w:sz w:val="20"/>
                <w:szCs w:val="20"/>
                <w:color w:val="auto"/>
              </w:rPr>
            </w:pPr>
            <w:r>
              <w:rPr>
                <w:rFonts w:ascii="Arial" w:cs="Arial" w:eastAsia="Arial" w:hAnsi="Arial"/>
                <w:sz w:val="16"/>
                <w:szCs w:val="16"/>
                <w:color w:val="auto"/>
              </w:rPr>
              <w:t>Net cash provided by (used in) discontinued investing activities</w:t>
            </w:r>
          </w:p>
        </w:tc>
        <w:tc>
          <w:tcPr>
            <w:tcW w:w="34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56</w:t>
            </w:r>
          </w:p>
        </w:tc>
      </w:tr>
    </w:tbl>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discontinued investing activities for the six months ended June 30, 2022, includes $59 million of proceeds from the sale of our 50% equity interest in two joint ventures that produce I-joists.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BUSINESS EXIT CHARGES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second quarter of 2023, we ceased the manufacturing operations of Entekra Holdings, LLC (Entekra), an off-site framing operation previously reported within our “Other” category, which comprises other products that are not individually significant. Business exit charges were $34 million, which include the following for the three months ended June 30, 2023 (dollar amounts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2"/>
              </w:rPr>
              <w:t>Three Months Ended June 30,</w:t>
            </w:r>
          </w:p>
        </w:tc>
      </w:tr>
      <w:tr>
        <w:trPr>
          <w:trHeight w:val="199"/>
        </w:trPr>
        <w:tc>
          <w:tcPr>
            <w:tcW w:w="88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b w:val="1"/>
                <w:bCs w:val="1"/>
                <w:color w:val="auto"/>
              </w:rPr>
              <w:t>2023</w:t>
            </w:r>
          </w:p>
        </w:tc>
      </w:tr>
      <w:tr>
        <w:trPr>
          <w:trHeight w:val="210"/>
        </w:trPr>
        <w:tc>
          <w:tcPr>
            <w:tcW w:w="88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Impairment of property, plant and equipment, operating lease assets, and other intangible assets</w:t>
            </w:r>
            <w:r>
              <w:rPr>
                <w:rFonts w:ascii="Arial" w:cs="Arial" w:eastAsia="Arial" w:hAnsi="Arial"/>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8860" w:type="dxa"/>
            <w:vAlign w:val="bottom"/>
          </w:tcPr>
          <w:p>
            <w:pPr>
              <w:ind w:left="20"/>
              <w:spacing w:after="0" w:line="216" w:lineRule="exact"/>
              <w:rPr>
                <w:sz w:val="20"/>
                <w:szCs w:val="20"/>
                <w:color w:val="auto"/>
              </w:rPr>
            </w:pPr>
            <w:r>
              <w:rPr>
                <w:rFonts w:ascii="Arial" w:cs="Arial" w:eastAsia="Arial" w:hAnsi="Arial"/>
                <w:sz w:val="16"/>
                <w:szCs w:val="16"/>
                <w:color w:val="auto"/>
              </w:rPr>
              <w:t>Inventory write-down</w:t>
            </w:r>
            <w:r>
              <w:rPr>
                <w:rFonts w:ascii="Arial" w:cs="Arial" w:eastAsia="Arial" w:hAnsi="Arial"/>
                <w:sz w:val="21"/>
                <w:szCs w:val="21"/>
                <w:color w:val="auto"/>
                <w:vertAlign w:val="superscript"/>
              </w:rPr>
              <w:t>2</w:t>
            </w:r>
          </w:p>
        </w:tc>
        <w:tc>
          <w:tcPr>
            <w:tcW w:w="1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886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Other expenses including personnel-related costs such as severance</w:t>
            </w:r>
            <w:r>
              <w:rPr>
                <w:rFonts w:ascii="Arial" w:cs="Arial" w:eastAsia="Arial" w:hAnsi="Arial"/>
                <w:sz w:val="21"/>
                <w:szCs w:val="21"/>
                <w:color w:val="auto"/>
                <w:vertAlign w:val="superscript"/>
              </w:rPr>
              <w:t>3</w:t>
            </w:r>
          </w:p>
        </w:tc>
        <w:tc>
          <w:tcPr>
            <w:tcW w:w="12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7"/>
        </w:trPr>
        <w:tc>
          <w:tcPr>
            <w:tcW w:w="88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3"/>
        </w:trPr>
        <w:tc>
          <w:tcPr>
            <w:tcW w:w="8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Included within Impairment of long-lived assets, net on the Condensed Consolidated Income Statements.</w:t>
      </w:r>
    </w:p>
    <w:p>
      <w:pPr>
        <w:spacing w:after="0" w:line="203" w:lineRule="auto"/>
        <w:rPr>
          <w:sz w:val="20"/>
          <w:szCs w:val="20"/>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Included within Cost of sales on the Condensed Consolidated Income Statements.</w:t>
      </w:r>
    </w:p>
    <w:p>
      <w:pPr>
        <w:spacing w:after="0"/>
        <w:rPr>
          <w:sz w:val="20"/>
          <w:szCs w:val="20"/>
          <w:color w:val="auto"/>
        </w:rPr>
      </w:pPr>
      <w:r>
        <w:rPr>
          <w:rFonts w:ascii="Arial" w:cs="Arial" w:eastAsia="Arial" w:hAnsi="Arial"/>
          <w:sz w:val="18"/>
          <w:szCs w:val="18"/>
          <w:color w:val="auto"/>
          <w:vertAlign w:val="superscript"/>
        </w:rPr>
        <w:t>3</w:t>
      </w:r>
      <w:r>
        <w:rPr>
          <w:rFonts w:ascii="Arial" w:cs="Arial" w:eastAsia="Arial" w:hAnsi="Arial"/>
          <w:sz w:val="14"/>
          <w:szCs w:val="14"/>
          <w:color w:val="auto"/>
        </w:rPr>
        <w:t>Included within Other operating credits and charges, net on the Condensed Consolidated Income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OTHER INTANGIBLES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and indefinite-lived intangible assets are not amortized and are subject to assessment for impairment by applying a fair value-based test on an annual basis, or more frequently if circumstances indicate a potential impairment. The Company’s annual assessment date is October 1. During the three months ended June 30, 2023, we recorded impairment charges of $9 million related to developed technology and trademarks related to Entekra, which is discussed further in “Note 8 - Business Exit Charges.”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Changes in goodwill and other intangible assets for the six months ended June 30, 2023, are provided in the following table (dollar amounts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0"/>
              </w:rPr>
              <w:t>Timber Licenses</w:t>
            </w:r>
            <w:r>
              <w:rPr>
                <w:rFonts w:ascii="Arial" w:cs="Arial" w:eastAsia="Arial" w:hAnsi="Arial"/>
                <w:sz w:val="21"/>
                <w:szCs w:val="21"/>
                <w:b w:val="1"/>
                <w:bCs w:val="1"/>
                <w:color w:val="auto"/>
                <w:w w:val="90"/>
                <w:vertAlign w:val="superscript"/>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Goodwill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Developed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Trademarks</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3"/>
              </w:rPr>
              <w:t>Technology</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December 31, 2022</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40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Impairment charges</w:t>
            </w:r>
          </w:p>
        </w:tc>
        <w:tc>
          <w:tcPr>
            <w:tcW w:w="580" w:type="dxa"/>
            <w:vAlign w:val="bottom"/>
          </w:tcPr>
          <w:p>
            <w:pPr>
              <w:spacing w:after="0"/>
              <w:rPr>
                <w:sz w:val="18"/>
                <w:szCs w:val="18"/>
                <w:color w:val="auto"/>
              </w:rPr>
            </w:pPr>
          </w:p>
        </w:tc>
        <w:tc>
          <w:tcPr>
            <w:tcW w:w="700" w:type="dxa"/>
            <w:vAlign w:val="bottom"/>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Arial" w:cs="Arial" w:eastAsia="Arial" w:hAnsi="Arial"/>
                <w:sz w:val="16"/>
                <w:szCs w:val="16"/>
                <w:b w:val="1"/>
                <w:bCs w:val="1"/>
                <w:color w:val="auto"/>
              </w:rPr>
              <w:t>Ending balance June 30, 2023</w:t>
            </w:r>
          </w:p>
        </w:tc>
        <w:tc>
          <w:tcPr>
            <w:tcW w:w="580" w:type="dxa"/>
            <w:vAlign w:val="bottom"/>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ind w:left="480"/>
              <w:spacing w:after="0"/>
              <w:rPr>
                <w:sz w:val="20"/>
                <w:szCs w:val="20"/>
                <w:color w:val="auto"/>
              </w:rPr>
            </w:pPr>
            <w:r>
              <w:rPr>
                <w:rFonts w:ascii="Arial" w:cs="Arial" w:eastAsia="Arial" w:hAnsi="Arial"/>
                <w:sz w:val="16"/>
                <w:szCs w:val="16"/>
                <w:b w:val="1"/>
                <w:bCs w:val="1"/>
                <w:color w:val="auto"/>
              </w:rPr>
              <w:t>32</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Timber licenses are included in Timber and timberlands on the Condensed Consolidated Balance Sheets.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interim periods, we recognize income tax expense by applying the estimated annual effective income tax rate to year-to-date results unless this method does not result in a reliable estimate of year-to-date income tax expense. Each period, the income tax accrual is adjusted to the latest estimate, and the difference from the previously accrued year-to-date balance is adjusted in the current quarter. Changes in profitability estimates in various jurisdictions will impact our quarterly effective income tax rates.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tax provision for income taxes from continuing operations for the six months ended June 30, 2023 and 2022, reflected an estimated annual effective tax rate of 34% and 25%, respectively, excluding discrete items discussed below. The total tax provision for the three and six months ended June 30, 2023 was $21 million and $22 million, compared to $116 million and $240 million for the comparable periods in 2022, respectively. The total effective tax rate for continuing operations for the six months ended June 30, 2023 was 95%, compared to 24% for the comparable period in 2022. The total tax provision as a percentage of income from continuing operations is significantly higher for the six months ended June 30, 2023 when compared to same period in 2022. This is primarily a result of a discrete tax expense of $22 million being recorded in the quarter ended June 30, 2023 relating to the change in indefinite reinvestment assertion on Chile and Brazil earnings described in “Item 2 - Management's Discussion and Analysis of Financial Conditions and Results of Operation”.</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recognized net discrete tax expense of $15 million and discrete tax benefits of $9 million in the six months ended June 30, 2023 and 2022, respectively. The net discrete tax expense in the current year relates primarily to the second quarter change in management’s indefinite reinvestment assertion on Chile and Brazil earnings described in “Item 2 - Management's Discussion and Analysis of Financial Conditions and Results of Operation” of this quarterly report on Form 10-Q, while the net discrete tax benefit in the prior year primarily relates to excess tax benefits from stock-based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maintain reserves for various contingent liabilities as follows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Pr>
          <w:p>
            <w:pPr>
              <w:spacing w:after="0"/>
              <w:rPr>
                <w:sz w:val="18"/>
                <w:szCs w:val="18"/>
                <w:color w:val="auto"/>
              </w:rPr>
            </w:pPr>
          </w:p>
        </w:tc>
        <w:tc>
          <w:tcPr>
            <w:tcW w:w="1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June 30, 2023</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December 31, 2022</w:t>
            </w:r>
          </w:p>
        </w:tc>
      </w:tr>
      <w:tr>
        <w:trPr>
          <w:trHeight w:val="213"/>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Environmental reserves</w:t>
            </w:r>
          </w:p>
        </w:tc>
        <w:tc>
          <w:tcPr>
            <w:tcW w:w="1760" w:type="dxa"/>
            <w:vAlign w:val="bottom"/>
            <w:shd w:val="clear" w:color="auto" w:fill="CCEEFF"/>
          </w:tcPr>
          <w:p>
            <w:pPr>
              <w:jc w:val="right"/>
              <w:ind w:right="15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89"/>
              </w:rPr>
              <w:t>27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ind w:left="1740"/>
              <w:spacing w:after="0"/>
              <w:rPr>
                <w:sz w:val="20"/>
                <w:szCs w:val="20"/>
                <w:color w:val="auto"/>
              </w:rPr>
            </w:pPr>
            <w:r>
              <w:rPr>
                <w:rFonts w:ascii="Arial" w:cs="Arial" w:eastAsia="Arial" w:hAnsi="Arial"/>
                <w:sz w:val="16"/>
                <w:szCs w:val="16"/>
                <w:color w:val="auto"/>
              </w:rPr>
              <w:t>27</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Other reserves</w:t>
            </w:r>
          </w:p>
        </w:tc>
        <w:tc>
          <w:tcPr>
            <w:tcW w:w="17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w w:val="89"/>
              </w:rPr>
              <w:t>16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1740"/>
              <w:spacing w:after="0"/>
              <w:rPr>
                <w:sz w:val="20"/>
                <w:szCs w:val="20"/>
                <w:color w:val="auto"/>
              </w:rPr>
            </w:pPr>
            <w:r>
              <w:rPr>
                <w:rFonts w:ascii="Arial" w:cs="Arial" w:eastAsia="Arial" w:hAnsi="Arial"/>
                <w:sz w:val="16"/>
                <w:szCs w:val="16"/>
                <w:color w:val="auto"/>
              </w:rPr>
              <w:t>—</w:t>
            </w:r>
          </w:p>
        </w:tc>
      </w:tr>
      <w:tr>
        <w:trPr>
          <w:trHeight w:val="213"/>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contingencies</w:t>
            </w:r>
          </w:p>
        </w:tc>
        <w:tc>
          <w:tcPr>
            <w:tcW w:w="176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89"/>
              </w:rPr>
              <w:t>43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shd w:val="clear" w:color="auto" w:fill="CCEEFF"/>
          </w:tcPr>
          <w:p>
            <w:pPr>
              <w:ind w:left="1740"/>
              <w:spacing w:after="0"/>
              <w:rPr>
                <w:sz w:val="20"/>
                <w:szCs w:val="20"/>
                <w:color w:val="auto"/>
              </w:rPr>
            </w:pPr>
            <w:r>
              <w:rPr>
                <w:rFonts w:ascii="Arial" w:cs="Arial" w:eastAsia="Arial" w:hAnsi="Arial"/>
                <w:sz w:val="16"/>
                <w:szCs w:val="16"/>
                <w:color w:val="auto"/>
              </w:rPr>
              <w:t>27</w:t>
            </w: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Current portion (included in Accounts payable and accrued liabilities)</w:t>
            </w:r>
          </w:p>
        </w:tc>
        <w:tc>
          <w:tcPr>
            <w:tcW w:w="17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w w:val="98"/>
              </w:rPr>
              <w:t>(17)</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1760"/>
              <w:spacing w:after="0"/>
              <w:rPr>
                <w:sz w:val="20"/>
                <w:szCs w:val="20"/>
                <w:color w:val="auto"/>
              </w:rPr>
            </w:pPr>
            <w:r>
              <w:rPr>
                <w:rFonts w:ascii="Arial" w:cs="Arial" w:eastAsia="Arial" w:hAnsi="Arial"/>
                <w:sz w:val="16"/>
                <w:szCs w:val="16"/>
                <w:color w:val="auto"/>
              </w:rPr>
              <w:t>(1)</w:t>
            </w:r>
          </w:p>
        </w:tc>
      </w:tr>
      <w:tr>
        <w:trPr>
          <w:trHeight w:val="230"/>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portion</w:t>
            </w:r>
          </w:p>
        </w:tc>
        <w:tc>
          <w:tcPr>
            <w:tcW w:w="1760" w:type="dxa"/>
            <w:vAlign w:val="bottom"/>
            <w:shd w:val="clear" w:color="auto" w:fill="CCEEFF"/>
          </w:tcPr>
          <w:p>
            <w:pPr>
              <w:jc w:val="right"/>
              <w:ind w:right="15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89"/>
              </w:rPr>
              <w:t>26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ind w:left="1740"/>
              <w:spacing w:after="0"/>
              <w:rPr>
                <w:sz w:val="20"/>
                <w:szCs w:val="20"/>
                <w:color w:val="auto"/>
              </w:rPr>
            </w:pPr>
            <w:r>
              <w:rPr>
                <w:rFonts w:ascii="Arial" w:cs="Arial" w:eastAsia="Arial" w:hAnsi="Arial"/>
                <w:sz w:val="16"/>
                <w:szCs w:val="16"/>
                <w:color w:val="auto"/>
              </w:rPr>
              <w:t>26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Estimates of our loss contingencies are based on various assumptions and judgments. Due to the numerous uncertainties and variables associated with these assumptions and judgments, both the precision and reliability of the resulting estimates of the related contingencies are subject to substantial uncertainties. We regularly monitor our estimated exposure to contingencies and, as additional information becomes known, may change our estimates significantly. While no estimate of the range of any such change can be made at this time, the amount that we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ultimately pay in connection with these matters could materially exceed, in either the near term or the longer term, the amounts accrued to date. Our estimates of our loss contingencies do not reflect potential future recoveries from insurance carriers except to the extent that recovery may, from time to time, be deemed probable as a result of an insurer’s agreement to payment terms.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maintain a reserve for undiscounted estimated environmental loss contingencies. This reserve is primarily for estimated future costs of remediation of hazardous or toxic substances at numerous sites currently or previously owned by the Company. Our estimates of our environmental loss contingencies are based on various assumptions and judgments, the specific nature of which varies considering the particular facts and circumstances surrounding each environmental loss contingency. These estimates typically reflect assumptions and judgments as to the probable nature, magnitude, and timing of the required investigation, remediation, and/or monitoring activities and the probable cost of these activities, and in some cases, reflect assumptions and judgments as to the obligation or willingness and ability of third parties to bear a proportionate or allocated share of the cost of these activities. Due to the numerous uncertainties and variables associated with these assumptions and judgments, and the effects of changes in governmental regulation and environmental technologies, both the precision and reliability of the resulting estimates of the related contingencies are subject to substantial uncertainties. We regularly monitor our estimated exposure to environmental loss contingencies and, as additional information becomes known, may change our estimates significantly.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Proceedings</w:t>
      </w:r>
    </w:p>
    <w:p>
      <w:pPr>
        <w:spacing w:after="0" w:line="121"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From time to time, we and our subsidiaries are parties to certain legal proceedings. During the second quarter of 2023, we agreed to pay $16 million to resolve certain patent-related claims and to obtain certain patent rights, which is recorded within Other operating credits and charges.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the information currently available, management believes the resolution of such ongoing and future proceedings will not have a material effect on our financial position, results of operations, cash flows,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IMPAIRMENT OF LONG-LIVED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review the carrying values of our long-lived assets for potential impairments and believe we have adequate support for the carrying values of our long-lived assets. If demand and pricing for our products fall to levels significantly below cycle average demand and pricing, should we decide to invest capital in alternative projects, or should changes occur related to our wood supply for our mills, it is possible that future impairment charges will be required. As of June 30, 2023, there were no indications of impairment.</w:t>
      </w:r>
    </w:p>
    <w:p>
      <w:pPr>
        <w:spacing w:after="0" w:line="6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also review from time to time potential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 During the three months ended June 30, 2023, we recorded impairment charges of $12 million and $3 million related to property, plant, and equipment and operating lease assets related to Entekra which were written down to fair value based on Level 2 inputs under ASC 820 using quoted market prices. See further discussion in “Note 8 - Business Exit Charges.” As of June 30, 2023, there were no other indications of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PRODUCT WARRANTIES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offer warranties on the sale of most of our products and record an accrual for estimated future claims. Such accruals are based upon historical experience and management’s estimate of the level of future claims. The activity in warranty reserves for the three and six months ended June 30, 2023 and 2022, is summarized in the following table (dollar amounts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4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9"/>
              </w:rPr>
              <w:t>8</w:t>
            </w:r>
          </w:p>
        </w:tc>
        <w:tc>
          <w:tcPr>
            <w:tcW w:w="122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819"/>
              <w:spacing w:after="0"/>
              <w:rPr>
                <w:sz w:val="20"/>
                <w:szCs w:val="20"/>
                <w:color w:val="auto"/>
              </w:rPr>
            </w:pPr>
            <w:r>
              <w:rPr>
                <w:rFonts w:ascii="Arial" w:cs="Arial" w:eastAsia="Arial" w:hAnsi="Arial"/>
                <w:sz w:val="16"/>
                <w:szCs w:val="16"/>
                <w:color w:val="auto"/>
                <w:w w:val="89"/>
              </w:rPr>
              <w:t>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79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color w:val="auto"/>
              </w:rPr>
              <w:t>Accrued to expense</w:t>
            </w:r>
          </w:p>
        </w:tc>
        <w:tc>
          <w:tcPr>
            <w:tcW w:w="1040" w:type="dxa"/>
            <w:vAlign w:val="bottom"/>
          </w:tcPr>
          <w:p>
            <w:pPr>
              <w:spacing w:after="0"/>
              <w:rPr>
                <w:sz w:val="18"/>
                <w:szCs w:val="18"/>
                <w:color w:val="auto"/>
              </w:rPr>
            </w:pPr>
          </w:p>
        </w:tc>
        <w:tc>
          <w:tcPr>
            <w:tcW w:w="380" w:type="dxa"/>
            <w:vAlign w:val="bottom"/>
          </w:tcPr>
          <w:p>
            <w:pPr>
              <w:jc w:val="center"/>
              <w:ind w:left="99"/>
              <w:spacing w:after="0"/>
              <w:rPr>
                <w:sz w:val="20"/>
                <w:szCs w:val="20"/>
                <w:color w:val="auto"/>
              </w:rPr>
            </w:pPr>
            <w:r>
              <w:rPr>
                <w:rFonts w:ascii="Arial" w:cs="Arial" w:eastAsia="Arial" w:hAnsi="Arial"/>
                <w:sz w:val="16"/>
                <w:szCs w:val="16"/>
                <w:color w:val="auto"/>
                <w:w w:val="89"/>
              </w:rPr>
              <w:t>1</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ind w:left="819"/>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center"/>
              <w:ind w:left="79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Payments made</w:t>
            </w:r>
          </w:p>
        </w:tc>
        <w:tc>
          <w:tcPr>
            <w:tcW w:w="10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ind w:left="79"/>
              <w:spacing w:after="0"/>
              <w:rPr>
                <w:sz w:val="20"/>
                <w:szCs w:val="20"/>
                <w:color w:val="auto"/>
              </w:rPr>
            </w:pPr>
            <w:r>
              <w:rPr>
                <w:rFonts w:ascii="Arial" w:cs="Arial" w:eastAsia="Arial" w:hAnsi="Arial"/>
                <w:sz w:val="16"/>
                <w:szCs w:val="16"/>
                <w:color w:val="auto"/>
                <w:w w:val="91"/>
              </w:rPr>
              <w:t>(1)</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77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77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5140" w:type="dxa"/>
            <w:vAlign w:val="bottom"/>
          </w:tcPr>
          <w:p>
            <w:pPr>
              <w:ind w:left="20"/>
              <w:spacing w:after="0"/>
              <w:rPr>
                <w:sz w:val="20"/>
                <w:szCs w:val="20"/>
                <w:color w:val="auto"/>
              </w:rPr>
            </w:pPr>
            <w:r>
              <w:rPr>
                <w:rFonts w:ascii="Arial" w:cs="Arial" w:eastAsia="Arial" w:hAnsi="Arial"/>
                <w:sz w:val="16"/>
                <w:szCs w:val="16"/>
                <w:color w:val="auto"/>
              </w:rPr>
              <w:t>Total warranty reserves</w:t>
            </w:r>
          </w:p>
        </w:tc>
        <w:tc>
          <w:tcPr>
            <w:tcW w:w="1040" w:type="dxa"/>
            <w:vAlign w:val="bottom"/>
          </w:tcPr>
          <w:p>
            <w:pPr>
              <w:spacing w:after="0"/>
              <w:rPr>
                <w:sz w:val="18"/>
                <w:szCs w:val="18"/>
                <w:color w:val="auto"/>
              </w:rPr>
            </w:pPr>
          </w:p>
        </w:tc>
        <w:tc>
          <w:tcPr>
            <w:tcW w:w="380" w:type="dxa"/>
            <w:vAlign w:val="bottom"/>
          </w:tcPr>
          <w:p>
            <w:pPr>
              <w:jc w:val="center"/>
              <w:ind w:left="99"/>
              <w:spacing w:after="0"/>
              <w:rPr>
                <w:sz w:val="20"/>
                <w:szCs w:val="20"/>
                <w:color w:val="auto"/>
              </w:rPr>
            </w:pPr>
            <w:r>
              <w:rPr>
                <w:rFonts w:ascii="Arial" w:cs="Arial" w:eastAsia="Arial" w:hAnsi="Arial"/>
                <w:sz w:val="16"/>
                <w:szCs w:val="16"/>
                <w:color w:val="auto"/>
                <w:w w:val="89"/>
              </w:rPr>
              <w:t>8</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ind w:left="819"/>
              <w:spacing w:after="0"/>
              <w:rPr>
                <w:sz w:val="20"/>
                <w:szCs w:val="20"/>
                <w:color w:val="auto"/>
              </w:rPr>
            </w:pPr>
            <w:r>
              <w:rPr>
                <w:rFonts w:ascii="Arial" w:cs="Arial" w:eastAsia="Arial" w:hAnsi="Arial"/>
                <w:sz w:val="16"/>
                <w:szCs w:val="16"/>
                <w:color w:val="auto"/>
                <w:w w:val="89"/>
              </w:rPr>
              <w:t>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center"/>
              <w:ind w:left="79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9"/>
        </w:trPr>
        <w:tc>
          <w:tcPr>
            <w:tcW w:w="514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4"/>
              </w:rPr>
              <w:t>Current portion of warranty reserves (included in Accounts payable and</w:t>
            </w:r>
          </w:p>
        </w:tc>
        <w:tc>
          <w:tcPr>
            <w:tcW w:w="104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center"/>
              <w:ind w:left="79"/>
              <w:spacing w:after="0"/>
              <w:rPr>
                <w:sz w:val="20"/>
                <w:szCs w:val="20"/>
                <w:color w:val="auto"/>
              </w:rPr>
            </w:pPr>
            <w:r>
              <w:rPr>
                <w:rFonts w:ascii="Arial" w:cs="Arial" w:eastAsia="Arial" w:hAnsi="Arial"/>
                <w:sz w:val="16"/>
                <w:szCs w:val="16"/>
                <w:color w:val="auto"/>
                <w:w w:val="91"/>
              </w:rPr>
              <w:t>(2)</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center"/>
              <w:ind w:left="77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center"/>
              <w:ind w:left="77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liabilities)</w:t>
            </w:r>
          </w:p>
        </w:tc>
        <w:tc>
          <w:tcPr>
            <w:tcW w:w="10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5140" w:type="dxa"/>
            <w:vAlign w:val="bottom"/>
          </w:tcPr>
          <w:p>
            <w:pPr>
              <w:ind w:left="360"/>
              <w:spacing w:after="0" w:line="146" w:lineRule="exact"/>
              <w:rPr>
                <w:sz w:val="20"/>
                <w:szCs w:val="20"/>
                <w:color w:val="auto"/>
              </w:rPr>
            </w:pPr>
            <w:r>
              <w:rPr>
                <w:rFonts w:ascii="Arial" w:cs="Arial" w:eastAsia="Arial" w:hAnsi="Arial"/>
                <w:sz w:val="16"/>
                <w:szCs w:val="16"/>
                <w:color w:val="auto"/>
                <w:w w:val="99"/>
              </w:rPr>
              <w:t>Long-term portion of warranty reserves (included in Other long-term</w:t>
            </w:r>
          </w:p>
        </w:tc>
        <w:tc>
          <w:tcPr>
            <w:tcW w:w="1040" w:type="dxa"/>
            <w:vAlign w:val="bottom"/>
            <w:vMerge w:val="restart"/>
          </w:tcPr>
          <w:p>
            <w:pPr>
              <w:jc w:val="right"/>
              <w:ind w:right="859"/>
              <w:spacing w:after="0"/>
              <w:rPr>
                <w:sz w:val="20"/>
                <w:szCs w:val="20"/>
                <w:color w:val="auto"/>
              </w:rPr>
            </w:pPr>
            <w:r>
              <w:rPr>
                <w:rFonts w:ascii="Arial" w:cs="Arial" w:eastAsia="Arial" w:hAnsi="Arial"/>
                <w:sz w:val="16"/>
                <w:szCs w:val="16"/>
                <w:color w:val="auto"/>
                <w:w w:val="89"/>
              </w:rPr>
              <w:t>$</w:t>
            </w:r>
          </w:p>
        </w:tc>
        <w:tc>
          <w:tcPr>
            <w:tcW w:w="380" w:type="dxa"/>
            <w:vAlign w:val="bottom"/>
            <w:vMerge w:val="restart"/>
          </w:tcPr>
          <w:p>
            <w:pPr>
              <w:jc w:val="center"/>
              <w:ind w:left="99"/>
              <w:spacing w:after="0"/>
              <w:rPr>
                <w:sz w:val="20"/>
                <w:szCs w:val="20"/>
                <w:color w:val="auto"/>
              </w:rPr>
            </w:pPr>
            <w:r>
              <w:rPr>
                <w:rFonts w:ascii="Arial" w:cs="Arial" w:eastAsia="Arial" w:hAnsi="Arial"/>
                <w:sz w:val="16"/>
                <w:szCs w:val="16"/>
                <w:color w:val="auto"/>
                <w:w w:val="89"/>
              </w:rPr>
              <w:t>7</w:t>
            </w:r>
          </w:p>
        </w:tc>
        <w:tc>
          <w:tcPr>
            <w:tcW w:w="1220" w:type="dxa"/>
            <w:vAlign w:val="bottom"/>
            <w:gridSpan w:val="2"/>
            <w:vMerge w:val="restart"/>
          </w:tcPr>
          <w:p>
            <w:pPr>
              <w:jc w:val="right"/>
              <w:ind w:right="899"/>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4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center"/>
              <w:ind w:left="819"/>
              <w:spacing w:after="0"/>
              <w:rPr>
                <w:sz w:val="20"/>
                <w:szCs w:val="20"/>
                <w:color w:val="auto"/>
              </w:rPr>
            </w:pPr>
            <w:r>
              <w:rPr>
                <w:rFonts w:ascii="Arial" w:cs="Arial" w:eastAsia="Arial" w:hAnsi="Arial"/>
                <w:sz w:val="16"/>
                <w:szCs w:val="16"/>
                <w:color w:val="auto"/>
                <w:w w:val="89"/>
              </w:rPr>
              <w:t>7</w:t>
            </w:r>
          </w:p>
        </w:tc>
        <w:tc>
          <w:tcPr>
            <w:tcW w:w="4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center"/>
              <w:ind w:left="79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5"/>
        </w:trPr>
        <w:tc>
          <w:tcPr>
            <w:tcW w:w="5140" w:type="dxa"/>
            <w:vAlign w:val="bottom"/>
          </w:tcPr>
          <w:p>
            <w:pPr>
              <w:ind w:left="360"/>
              <w:spacing w:after="0"/>
              <w:rPr>
                <w:sz w:val="20"/>
                <w:szCs w:val="20"/>
                <w:color w:val="auto"/>
              </w:rPr>
            </w:pPr>
            <w:r>
              <w:rPr>
                <w:rFonts w:ascii="Arial" w:cs="Arial" w:eastAsia="Arial" w:hAnsi="Arial"/>
                <w:sz w:val="16"/>
                <w:szCs w:val="16"/>
                <w:color w:val="auto"/>
              </w:rPr>
              <w:t>liabilities)</w:t>
            </w:r>
          </w:p>
        </w:tc>
        <w:tc>
          <w:tcPr>
            <w:tcW w:w="104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continue to monitor warranty and other claims associated with our products and believe, as of June 30, 2023, that the warranty reserve balances associated with these matters are adequate to cover future warranty payments. However, it is possible that additional changes may be required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DEFINED BENEFIT PENSION PLANS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net periodic pension cost for our defined benefit pension and postretirement plans during the three and six months ended June 30, 2023 and 2022 (dollar amounts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40" w:type="dxa"/>
            <w:vAlign w:val="bottom"/>
          </w:tcPr>
          <w:p>
            <w:pPr>
              <w:spacing w:after="0"/>
              <w:rPr>
                <w:sz w:val="18"/>
                <w:szCs w:val="18"/>
                <w:color w:val="auto"/>
              </w:rPr>
            </w:pPr>
          </w:p>
        </w:tc>
        <w:tc>
          <w:tcPr>
            <w:tcW w:w="26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1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2"/>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5140" w:type="dxa"/>
            <w:vAlign w:val="bottom"/>
          </w:tcPr>
          <w:p>
            <w:pPr>
              <w:ind w:left="20"/>
              <w:spacing w:after="0" w:line="216" w:lineRule="exact"/>
              <w:rPr>
                <w:sz w:val="20"/>
                <w:szCs w:val="20"/>
                <w:color w:val="auto"/>
              </w:rPr>
            </w:pPr>
            <w:r>
              <w:rPr>
                <w:rFonts w:ascii="Arial" w:cs="Arial" w:eastAsia="Arial" w:hAnsi="Arial"/>
                <w:sz w:val="16"/>
                <w:szCs w:val="16"/>
                <w:color w:val="auto"/>
              </w:rPr>
              <w:t>Other components of net periodic pension cost</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cost</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5140" w:type="dxa"/>
            <w:vAlign w:val="bottom"/>
          </w:tcPr>
          <w:p>
            <w:pPr>
              <w:ind w:left="140"/>
              <w:spacing w:after="0"/>
              <w:rPr>
                <w:sz w:val="20"/>
                <w:szCs w:val="20"/>
                <w:color w:val="auto"/>
              </w:rPr>
            </w:pPr>
            <w:r>
              <w:rPr>
                <w:rFonts w:ascii="Arial" w:cs="Arial" w:eastAsia="Arial" w:hAnsi="Arial"/>
                <w:sz w:val="16"/>
                <w:szCs w:val="16"/>
                <w:color w:val="auto"/>
              </w:rPr>
              <w:t>Expected return on plan assets</w:t>
            </w:r>
          </w:p>
        </w:tc>
        <w:tc>
          <w:tcPr>
            <w:tcW w:w="104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prior service cost</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Amortization of net loss</w:t>
            </w: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periodic pension costs before loss due to settlement</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51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Loss due to settlement</w:t>
            </w: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periodic pension cost</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Other components of net periodic pension cost are included in Other non-operating items on our Condensed Consolidated Statements of Income.</w:t>
      </w:r>
    </w:p>
    <w:p>
      <w:pPr>
        <w:spacing w:after="0" w:line="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November 2021, the Company initiated the termination of our frozen U.S. and Canadian defined benefit pension plans (collectively, the Plan), which would result in the full settlement of the Company's Plan obligations. During the year ended December 31, 2022, the Company liquidated substantially all of the Plan assets to fund lump-sum distributions to participants and purchase non-participating group annuity contracts. As a result, a substantial portion of the Plan was settled during the year ended December 31, 2022. During the three months ended March 31, 2023, the Company completed the termination of the Plan resulting in the recognition of non-cash, pre-tax charges of $6 million from Accumulated comprehensive loss to Other non-operating items in our Condensed Consolidated Statements of Income. Liquidation of remaining Plan assets in surplus of the defined benefit pension obligation will be made once the Plan satisfies all regulatory requirements, which is expected to be completed during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changes recognized in Other comprehensive loss were as follows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w w:val="98"/>
              </w:rPr>
              <w:t>Three Months Ended June 30,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62"/>
        </w:trPr>
        <w:tc>
          <w:tcPr>
            <w:tcW w:w="51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4"/>
              </w:rPr>
              <w:t>Net actuarial gain (loss) and prior service (cost) arising during the period, net</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440" w:type="dxa"/>
            <w:vAlign w:val="bottom"/>
            <w:gridSpan w:val="2"/>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tax</w:t>
            </w:r>
          </w:p>
        </w:tc>
        <w:tc>
          <w:tcPr>
            <w:tcW w:w="28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6"/>
              </w:rPr>
              <w:t>Amortization of actuarial loss, prior service cost and settlements, net of tax</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5"/>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amounts recognized in Other comprehensive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ACCUMULATED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Accumulated comprehensive loss is provided in the following table for the three months ended June 30, 2023, and 2022 (dollar amounts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Pension</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6"/>
                <w:szCs w:val="16"/>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Other</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40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Adjustments</w:t>
            </w:r>
          </w:p>
        </w:tc>
        <w:tc>
          <w:tcPr>
            <w:tcW w:w="12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2023</w:t>
            </w:r>
          </w:p>
        </w:tc>
        <w:tc>
          <w:tcPr>
            <w:tcW w:w="1000" w:type="dxa"/>
            <w:vAlign w:val="bottom"/>
            <w:shd w:val="clear" w:color="auto" w:fill="CCEEFF"/>
          </w:tcPr>
          <w:p>
            <w:pPr>
              <w:jc w:val="right"/>
              <w:ind w:right="841"/>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120" w:type="dxa"/>
            <w:vAlign w:val="bottom"/>
            <w:gridSpan w:val="2"/>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line="216" w:lineRule="exact"/>
              <w:rPr>
                <w:sz w:val="20"/>
                <w:szCs w:val="20"/>
                <w:color w:val="auto"/>
              </w:rPr>
            </w:pPr>
            <w:r>
              <w:rPr>
                <w:rFonts w:ascii="Arial" w:cs="Arial" w:eastAsia="Arial" w:hAnsi="Arial"/>
                <w:sz w:val="16"/>
                <w:szCs w:val="16"/>
                <w:color w:val="auto"/>
              </w:rPr>
              <w:t>Reclassified to income statement, net of taxes</w:t>
            </w:r>
            <w:r>
              <w:rPr>
                <w:rFonts w:ascii="Arial" w:cs="Arial" w:eastAsia="Arial" w:hAnsi="Arial"/>
                <w:sz w:val="21"/>
                <w:szCs w:val="21"/>
                <w:color w:val="auto"/>
                <w:vertAlign w:val="superscript"/>
              </w:rPr>
              <w:t>1</w:t>
            </w:r>
          </w:p>
        </w:tc>
        <w:tc>
          <w:tcPr>
            <w:tcW w:w="10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Translation adjustments</w:t>
            </w:r>
          </w:p>
        </w:tc>
        <w:tc>
          <w:tcPr>
            <w:tcW w:w="10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1000" w:type="dxa"/>
            <w:vAlign w:val="bottom"/>
          </w:tcPr>
          <w:p>
            <w:pPr>
              <w:jc w:val="right"/>
              <w:ind w:right="841"/>
              <w:spacing w:after="0"/>
              <w:rPr>
                <w:sz w:val="20"/>
                <w:szCs w:val="20"/>
                <w:color w:val="auto"/>
              </w:rPr>
            </w:pPr>
            <w:r>
              <w:rPr>
                <w:rFonts w:ascii="Arial" w:cs="Arial" w:eastAsia="Arial" w:hAnsi="Arial"/>
                <w:sz w:val="15"/>
                <w:szCs w:val="15"/>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1120" w:type="dxa"/>
            <w:vAlign w:val="bottom"/>
            <w:gridSpan w:val="2"/>
          </w:tcPr>
          <w:p>
            <w:pPr>
              <w:jc w:val="right"/>
              <w:ind w:right="81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ind w:left="140"/>
              <w:spacing w:after="0"/>
              <w:rPr>
                <w:sz w:val="20"/>
                <w:szCs w:val="20"/>
                <w:color w:val="auto"/>
              </w:rPr>
            </w:pPr>
            <w:r>
              <w:rPr>
                <w:rFonts w:ascii="Arial" w:cs="Arial" w:eastAsia="Arial" w:hAnsi="Arial"/>
                <w:sz w:val="16"/>
                <w:szCs w:val="16"/>
                <w:b w:val="1"/>
                <w:bCs w:val="1"/>
                <w:color w:val="auto"/>
              </w:rPr>
              <w:t>—</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540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Pension</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24"/>
                <w:szCs w:val="24"/>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Other</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4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Adjustments</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2022</w:t>
            </w: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120" w:type="dxa"/>
            <w:vAlign w:val="bottom"/>
            <w:gridSpan w:val="2"/>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line="216" w:lineRule="exact"/>
              <w:rPr>
                <w:sz w:val="20"/>
                <w:szCs w:val="20"/>
                <w:color w:val="auto"/>
              </w:rPr>
            </w:pPr>
            <w:r>
              <w:rPr>
                <w:rFonts w:ascii="Arial" w:cs="Arial" w:eastAsia="Arial" w:hAnsi="Arial"/>
                <w:sz w:val="16"/>
                <w:szCs w:val="16"/>
                <w:color w:val="auto"/>
              </w:rPr>
              <w:t>Reclassified to income statement, net of taxes</w:t>
            </w:r>
            <w:r>
              <w:rPr>
                <w:rFonts w:ascii="Arial" w:cs="Arial" w:eastAsia="Arial" w:hAnsi="Arial"/>
                <w:sz w:val="21"/>
                <w:szCs w:val="21"/>
                <w:color w:val="auto"/>
                <w:vertAlign w:val="superscript"/>
              </w:rPr>
              <w:t>1</w:t>
            </w:r>
          </w:p>
        </w:tc>
        <w:tc>
          <w:tcPr>
            <w:tcW w:w="10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adjustments</w:t>
            </w:r>
          </w:p>
        </w:tc>
        <w:tc>
          <w:tcPr>
            <w:tcW w:w="10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0"/>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1000" w:type="dxa"/>
            <w:vAlign w:val="bottom"/>
            <w:tcBorders>
              <w:bottom w:val="single" w:sz="8" w:color="auto"/>
            </w:tcBorders>
          </w:tcPr>
          <w:p>
            <w:pPr>
              <w:jc w:val="right"/>
              <w:ind w:right="821"/>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1 Amounts of actuarial loss and prior service cost are components of net periodic benefit cost. See “Note 14 - Defined Benefit Pension Plans” above for additional details.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Accumulated comprehensive loss is provided in the following table for the six months ended June 30, 2023 and 2022 (dollar amounts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Pension</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40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Adjustments</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000" w:type="dxa"/>
            <w:vAlign w:val="bottom"/>
            <w:shd w:val="clear" w:color="auto" w:fill="CCEEFF"/>
          </w:tcPr>
          <w:p>
            <w:pPr>
              <w:jc w:val="right"/>
              <w:ind w:right="841"/>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line="216" w:lineRule="exact"/>
              <w:rPr>
                <w:sz w:val="20"/>
                <w:szCs w:val="20"/>
                <w:color w:val="auto"/>
              </w:rPr>
            </w:pPr>
            <w:r>
              <w:rPr>
                <w:rFonts w:ascii="Arial" w:cs="Arial" w:eastAsia="Arial" w:hAnsi="Arial"/>
                <w:sz w:val="16"/>
                <w:szCs w:val="16"/>
                <w:color w:val="auto"/>
              </w:rPr>
              <w:t>Reclassified to income statement, net of taxes</w:t>
            </w:r>
            <w:r>
              <w:rPr>
                <w:rFonts w:ascii="Arial" w:cs="Arial" w:eastAsia="Arial" w:hAnsi="Arial"/>
                <w:sz w:val="21"/>
                <w:szCs w:val="21"/>
                <w:color w:val="auto"/>
                <w:vertAlign w:val="superscript"/>
              </w:rPr>
              <w:t>1</w:t>
            </w:r>
          </w:p>
        </w:tc>
        <w:tc>
          <w:tcPr>
            <w:tcW w:w="10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Translation adjustments</w:t>
            </w:r>
          </w:p>
        </w:tc>
        <w:tc>
          <w:tcPr>
            <w:tcW w:w="10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9"/>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1000" w:type="dxa"/>
            <w:vAlign w:val="bottom"/>
          </w:tcPr>
          <w:p>
            <w:pPr>
              <w:jc w:val="right"/>
              <w:ind w:right="841"/>
              <w:spacing w:after="0"/>
              <w:rPr>
                <w:sz w:val="20"/>
                <w:szCs w:val="20"/>
                <w:color w:val="auto"/>
              </w:rPr>
            </w:pPr>
            <w:r>
              <w:rPr>
                <w:rFonts w:ascii="Arial" w:cs="Arial" w:eastAsia="Arial" w:hAnsi="Arial"/>
                <w:sz w:val="15"/>
                <w:szCs w:val="15"/>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ind w:left="860"/>
              <w:spacing w:after="0"/>
              <w:rPr>
                <w:sz w:val="20"/>
                <w:szCs w:val="20"/>
                <w:color w:val="auto"/>
              </w:rPr>
            </w:pPr>
            <w:r>
              <w:rPr>
                <w:rFonts w:ascii="Arial" w:cs="Arial" w:eastAsia="Arial" w:hAnsi="Arial"/>
                <w:sz w:val="16"/>
                <w:szCs w:val="16"/>
                <w:b w:val="1"/>
                <w:bCs w:val="1"/>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540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Pension</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40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Adjustments</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line="216" w:lineRule="exact"/>
              <w:rPr>
                <w:sz w:val="20"/>
                <w:szCs w:val="20"/>
                <w:color w:val="auto"/>
              </w:rPr>
            </w:pPr>
            <w:r>
              <w:rPr>
                <w:rFonts w:ascii="Arial" w:cs="Arial" w:eastAsia="Arial" w:hAnsi="Arial"/>
                <w:sz w:val="16"/>
                <w:szCs w:val="16"/>
                <w:color w:val="auto"/>
              </w:rPr>
              <w:t>Reclassified to income statement, net of taxes</w:t>
            </w:r>
            <w:r>
              <w:rPr>
                <w:rFonts w:ascii="Arial" w:cs="Arial" w:eastAsia="Arial" w:hAnsi="Arial"/>
                <w:sz w:val="21"/>
                <w:szCs w:val="21"/>
                <w:color w:val="auto"/>
                <w:vertAlign w:val="superscript"/>
              </w:rPr>
              <w:t>1</w:t>
            </w:r>
          </w:p>
        </w:tc>
        <w:tc>
          <w:tcPr>
            <w:tcW w:w="10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Translation adjustments</w:t>
            </w:r>
          </w:p>
        </w:tc>
        <w:tc>
          <w:tcPr>
            <w:tcW w:w="10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0"/>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1000" w:type="dxa"/>
            <w:vAlign w:val="bottom"/>
          </w:tcPr>
          <w:p>
            <w:pPr>
              <w:jc w:val="right"/>
              <w:ind w:right="821"/>
              <w:spacing w:after="0"/>
              <w:rPr>
                <w:sz w:val="20"/>
                <w:szCs w:val="20"/>
                <w:color w:val="auto"/>
              </w:rPr>
            </w:pPr>
            <w:r>
              <w:rPr>
                <w:rFonts w:ascii="Arial" w:cs="Arial" w:eastAsia="Arial" w:hAnsi="Arial"/>
                <w:sz w:val="16"/>
                <w:szCs w:val="16"/>
                <w:b w:val="1"/>
                <w:bCs w:val="1"/>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(74)</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(105)</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ind w:left="860"/>
              <w:spacing w:after="0"/>
              <w:rPr>
                <w:sz w:val="20"/>
                <w:szCs w:val="20"/>
                <w:color w:val="auto"/>
              </w:rPr>
            </w:pPr>
            <w:r>
              <w:rPr>
                <w:rFonts w:ascii="Arial" w:cs="Arial" w:eastAsia="Arial" w:hAnsi="Arial"/>
                <w:sz w:val="16"/>
                <w:szCs w:val="16"/>
                <w:b w:val="1"/>
                <w:bCs w:val="1"/>
                <w:color w:val="auto"/>
              </w:rPr>
              <w:t>(1)</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(181)</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1 Amounts of actuarial loss and prior service cost are components of net periodic benefit cost. See “Note 14 - Defined Benefit Pension Plans” above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OTHER OPERATING AND NON-OPERATING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credits and charges,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credits and charges, net, is comprised of the following components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200" w:type="dxa"/>
            <w:vAlign w:val="bottom"/>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2022</w:t>
            </w: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 recoveries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6"/>
                <w:szCs w:val="16"/>
                <w:color w:val="auto"/>
              </w:rPr>
              <w:t>13</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Reorganization charges</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ind w:left="880"/>
              <w:spacing w:after="0"/>
              <w:rPr>
                <w:sz w:val="20"/>
                <w:szCs w:val="20"/>
                <w:color w:val="auto"/>
              </w:rPr>
            </w:pPr>
            <w:r>
              <w:rPr>
                <w:rFonts w:ascii="Arial" w:cs="Arial" w:eastAsia="Arial" w:hAnsi="Arial"/>
                <w:sz w:val="16"/>
                <w:szCs w:val="16"/>
                <w:color w:val="auto"/>
              </w:rPr>
              <w:t>(1)</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Legal settlement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Environmental costs</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ind w:left="880"/>
              <w:spacing w:after="0"/>
              <w:rPr>
                <w:sz w:val="20"/>
                <w:szCs w:val="20"/>
                <w:color w:val="auto"/>
              </w:rPr>
            </w:pPr>
            <w:r>
              <w:rPr>
                <w:rFonts w:ascii="Arial" w:cs="Arial" w:eastAsia="Arial" w:hAnsi="Arial"/>
                <w:sz w:val="16"/>
                <w:szCs w:val="16"/>
                <w:color w:val="auto"/>
              </w:rPr>
              <w:t>(2)</w:t>
            </w:r>
          </w:p>
        </w:tc>
      </w:tr>
      <w:tr>
        <w:trPr>
          <w:trHeight w:val="21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Other operating credits and charges, net</w:t>
            </w:r>
          </w:p>
        </w:tc>
        <w:tc>
          <w:tcPr>
            <w:tcW w:w="1000" w:type="dxa"/>
            <w:vAlign w:val="bottom"/>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1220" w:type="dxa"/>
            <w:vAlign w:val="bottom"/>
            <w:gridSpan w:val="2"/>
          </w:tcPr>
          <w:p>
            <w:pPr>
              <w:jc w:val="right"/>
              <w:ind w:right="91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ind w:left="860"/>
              <w:spacing w:after="0"/>
              <w:rPr>
                <w:sz w:val="20"/>
                <w:szCs w:val="20"/>
                <w:color w:val="auto"/>
              </w:rPr>
            </w:pPr>
            <w:r>
              <w:rPr>
                <w:rFonts w:ascii="Arial" w:cs="Arial" w:eastAsia="Arial" w:hAnsi="Arial"/>
                <w:sz w:val="16"/>
                <w:szCs w:val="16"/>
                <w:b w:val="1"/>
                <w:bCs w:val="1"/>
                <w:color w:val="auto"/>
              </w:rPr>
              <w:t>10</w:t>
            </w:r>
          </w:p>
        </w:tc>
      </w:tr>
      <w:tr>
        <w:trPr>
          <w:trHeight w:val="21"/>
        </w:trPr>
        <w:tc>
          <w:tcPr>
            <w:tcW w:w="5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items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non-operating items is comprised of the following components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0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Six Months Ended June 30,</w:t>
            </w:r>
          </w:p>
        </w:tc>
        <w:tc>
          <w:tcPr>
            <w:tcW w:w="360" w:type="dxa"/>
            <w:vAlign w:val="bottom"/>
            <w:tcBorders>
              <w:bottom w:val="single" w:sz="8" w:color="auto"/>
            </w:tcBorders>
          </w:tcPr>
          <w:p>
            <w:pPr>
              <w:spacing w:after="0"/>
              <w:rPr>
                <w:sz w:val="18"/>
                <w:szCs w:val="18"/>
                <w:color w:val="auto"/>
              </w:rPr>
            </w:pPr>
          </w:p>
        </w:tc>
      </w:tr>
      <w:tr>
        <w:trPr>
          <w:trHeight w:val="199"/>
        </w:trPr>
        <w:tc>
          <w:tcPr>
            <w:tcW w:w="5300" w:type="dxa"/>
            <w:vAlign w:val="bottom"/>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7"/>
                <w:szCs w:val="17"/>
                <w:color w:val="auto"/>
              </w:rPr>
            </w:pPr>
          </w:p>
        </w:tc>
      </w:tr>
      <w:tr>
        <w:trPr>
          <w:trHeight w:val="210"/>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periodic pension cost, excluding service cost</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80" w:type="dxa"/>
            <w:vAlign w:val="bottom"/>
            <w:gridSpan w:val="2"/>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w:t>
            </w:r>
          </w:p>
        </w:tc>
      </w:tr>
      <w:tr>
        <w:trPr>
          <w:trHeight w:val="213"/>
        </w:trPr>
        <w:tc>
          <w:tcPr>
            <w:tcW w:w="5300" w:type="dxa"/>
            <w:vAlign w:val="bottom"/>
          </w:tcPr>
          <w:p>
            <w:pPr>
              <w:ind w:left="20"/>
              <w:spacing w:after="0"/>
              <w:rPr>
                <w:sz w:val="20"/>
                <w:szCs w:val="20"/>
                <w:color w:val="auto"/>
              </w:rPr>
            </w:pPr>
            <w:r>
              <w:rPr>
                <w:rFonts w:ascii="Arial" w:cs="Arial" w:eastAsia="Arial" w:hAnsi="Arial"/>
                <w:sz w:val="16"/>
                <w:szCs w:val="16"/>
                <w:color w:val="auto"/>
              </w:rPr>
              <w:t>Pension settlement charges</w:t>
            </w:r>
          </w:p>
        </w:tc>
        <w:tc>
          <w:tcPr>
            <w:tcW w:w="104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gain (loss)</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(8)</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80" w:type="dxa"/>
            <w:vAlign w:val="bottom"/>
            <w:gridSpan w:val="2"/>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120" w:type="dxa"/>
            <w:vAlign w:val="bottom"/>
            <w:gridSpan w:val="2"/>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(5)</w:t>
            </w:r>
          </w:p>
        </w:tc>
      </w:tr>
      <w:tr>
        <w:trPr>
          <w:trHeight w:val="216"/>
        </w:trPr>
        <w:tc>
          <w:tcPr>
            <w:tcW w:w="5300" w:type="dxa"/>
            <w:vAlign w:val="bottom"/>
          </w:tcPr>
          <w:p>
            <w:pPr>
              <w:ind w:left="2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non-operating items</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4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(8)</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80" w:type="dxa"/>
            <w:vAlign w:val="bottom"/>
            <w:gridSpan w:val="2"/>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120" w:type="dxa"/>
            <w:vAlign w:val="bottom"/>
            <w:gridSpan w:val="2"/>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(8)</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SELECTED SEGMENT DATA</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in three segments: Siding, OSB, and South America. Our business units have been aggregated into these three segments based upon the similarity of economic characteristics, customers, and distribution methods. Our results of operations are summarized below for each of these segments separately, as well as for the “Other” category, which comprises other products that are not individually significant.</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evaluate the performance of our business segments based on Net sales and segment Adjusted EBITDA (defined below). Accordingly, our chief operating decision maker evaluates performance and allocates resources based primarily on Net sales and segment Adjusted EBITDA for our business segments. Segment Adjusted EBITDA is defined as Income (loss) attributed to LP from continuing operations before interest expense, provision for income taxes, depreciation and amortization, and excludes stock-based compensation expense, loss on impairment attributed to LP, business exit charges, product-line discontinuance charges, other operating credits and charges, net, loss on early debt extinguishment, investment income, pension settlement charges, and other non-operating items.</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three months ended June 30, 2023, we updated our definition of Adjusted EBITDA to exclude other business exit charges not classified as exit operations. Business exit charges consist of inventory and other asset impairment and exit charges related to the exit of businesses not individually significant. We consider business exit charges to be outside the performance of our ongoing core business operations and believe that presenting Adjusted EBITDA excluding business exit charges provides increased transparency as to the operating costs of our current business performance. We did not revise prior years’ Adjusted EBITDA amounts because there were no significant costs similar in nature to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Information about our business segments is as follows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40" w:type="dxa"/>
            <w:vAlign w:val="bottom"/>
          </w:tcPr>
          <w:p>
            <w:pPr>
              <w:spacing w:after="0"/>
              <w:rPr>
                <w:sz w:val="18"/>
                <w:szCs w:val="18"/>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June 30,</w:t>
            </w:r>
          </w:p>
        </w:tc>
      </w:tr>
      <w:tr>
        <w:trPr>
          <w:trHeight w:val="207"/>
        </w:trPr>
        <w:tc>
          <w:tcPr>
            <w:tcW w:w="51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420" w:type="dxa"/>
            <w:vAlign w:val="bottom"/>
          </w:tcPr>
          <w:p>
            <w:pPr>
              <w:spacing w:after="0"/>
              <w:rPr>
                <w:sz w:val="17"/>
                <w:szCs w:val="17"/>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2"/>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Net sales</w:t>
            </w:r>
          </w:p>
        </w:tc>
        <w:tc>
          <w:tcPr>
            <w:tcW w:w="10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19"/>
        </w:trPr>
        <w:tc>
          <w:tcPr>
            <w:tcW w:w="5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Siding</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120" w:type="dxa"/>
            <w:vAlign w:val="bottom"/>
            <w:gridSpan w:val="2"/>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4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4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r>
      <w:tr>
        <w:trPr>
          <w:trHeight w:val="213"/>
        </w:trPr>
        <w:tc>
          <w:tcPr>
            <w:tcW w:w="5140" w:type="dxa"/>
            <w:vAlign w:val="bottom"/>
          </w:tcPr>
          <w:p>
            <w:pPr>
              <w:ind w:left="360"/>
              <w:spacing w:after="0"/>
              <w:rPr>
                <w:sz w:val="20"/>
                <w:szCs w:val="20"/>
                <w:color w:val="auto"/>
              </w:rPr>
            </w:pPr>
            <w:r>
              <w:rPr>
                <w:rFonts w:ascii="Arial" w:cs="Arial" w:eastAsia="Arial" w:hAnsi="Arial"/>
                <w:sz w:val="16"/>
                <w:szCs w:val="16"/>
                <w:color w:val="auto"/>
              </w:rPr>
              <w:t>OSB</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229</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1,417</w:t>
            </w:r>
          </w:p>
        </w:tc>
      </w:tr>
      <w:tr>
        <w:trPr>
          <w:trHeight w:val="219"/>
        </w:trPr>
        <w:tc>
          <w:tcPr>
            <w:tcW w:w="5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South America</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3"/>
        </w:trPr>
        <w:tc>
          <w:tcPr>
            <w:tcW w:w="5140" w:type="dxa"/>
            <w:vAlign w:val="bottom"/>
          </w:tcPr>
          <w:p>
            <w:pPr>
              <w:ind w:left="360"/>
              <w:spacing w:after="0"/>
              <w:rPr>
                <w:sz w:val="20"/>
                <w:szCs w:val="20"/>
                <w:color w:val="auto"/>
              </w:rPr>
            </w:pPr>
            <w:r>
              <w:rPr>
                <w:rFonts w:ascii="Arial" w:cs="Arial" w:eastAsia="Arial" w:hAnsi="Arial"/>
                <w:sz w:val="16"/>
                <w:szCs w:val="16"/>
                <w:color w:val="auto"/>
              </w:rPr>
              <w:t>Other</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9"/>
        </w:trPr>
        <w:tc>
          <w:tcPr>
            <w:tcW w:w="5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Intersegment sales</w:t>
            </w: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5140" w:type="dxa"/>
            <w:vAlign w:val="bottom"/>
          </w:tcPr>
          <w:p>
            <w:pPr>
              <w:ind w:left="140"/>
              <w:spacing w:after="0"/>
              <w:rPr>
                <w:sz w:val="20"/>
                <w:szCs w:val="20"/>
                <w:color w:val="auto"/>
              </w:rPr>
            </w:pPr>
            <w:r>
              <w:rPr>
                <w:rFonts w:ascii="Arial" w:cs="Arial" w:eastAsia="Arial" w:hAnsi="Arial"/>
                <w:sz w:val="16"/>
                <w:szCs w:val="16"/>
                <w:b w:val="1"/>
                <w:bCs w:val="1"/>
                <w:color w:val="auto"/>
              </w:rPr>
              <w:t>Total sales</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611</w:t>
            </w:r>
          </w:p>
        </w:tc>
        <w:tc>
          <w:tcPr>
            <w:tcW w:w="140" w:type="dxa"/>
            <w:vAlign w:val="bottom"/>
          </w:tcPr>
          <w:p>
            <w:pPr>
              <w:spacing w:after="0"/>
              <w:rPr>
                <w:sz w:val="17"/>
                <w:szCs w:val="17"/>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1,130</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1,195</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2,297</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TO ADJUSTED EBITDA</w:t>
            </w: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1000" w:type="dxa"/>
            <w:vAlign w:val="bottom"/>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1120" w:type="dxa"/>
            <w:vAlign w:val="bottom"/>
            <w:gridSpan w:val="2"/>
          </w:tcPr>
          <w:p>
            <w:pPr>
              <w:jc w:val="right"/>
              <w:ind w:right="79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385</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868</w:t>
            </w: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(deduct):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color w:val="auto"/>
              </w:rPr>
              <w:t>Net loss attributed to non-controlling interest</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discontinued operations, net of income taxes</w:t>
            </w: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06"/>
        </w:trPr>
        <w:tc>
          <w:tcPr>
            <w:tcW w:w="5140" w:type="dxa"/>
            <w:vAlign w:val="bottom"/>
          </w:tcPr>
          <w:p>
            <w:pPr>
              <w:ind w:left="140"/>
              <w:spacing w:after="0"/>
              <w:rPr>
                <w:sz w:val="20"/>
                <w:szCs w:val="20"/>
                <w:color w:val="auto"/>
              </w:rPr>
            </w:pPr>
            <w:r>
              <w:rPr>
                <w:rFonts w:ascii="Arial" w:cs="Arial" w:eastAsia="Arial" w:hAnsi="Arial"/>
                <w:sz w:val="16"/>
                <w:szCs w:val="16"/>
                <w:color w:val="auto"/>
              </w:rPr>
              <w:t>Income (loss) attributed to LP from continuing operations</w:t>
            </w:r>
          </w:p>
        </w:tc>
        <w:tc>
          <w:tcPr>
            <w:tcW w:w="10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770</w:t>
            </w: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color w:val="auto"/>
              </w:rPr>
              <w:t>Other operating credits and charges, net</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Business exit charges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color w:val="auto"/>
              </w:rPr>
              <w:t>Other non-operating items</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settlement charges</w:t>
            </w: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140" w:type="dxa"/>
            <w:vAlign w:val="bottom"/>
          </w:tcPr>
          <w:p>
            <w:pPr>
              <w:ind w:left="140"/>
              <w:spacing w:after="0"/>
              <w:rPr>
                <w:sz w:val="20"/>
                <w:szCs w:val="20"/>
                <w:color w:val="auto"/>
              </w:rPr>
            </w:pPr>
            <w:r>
              <w:rPr>
                <w:rFonts w:ascii="Arial" w:cs="Arial" w:eastAsia="Arial" w:hAnsi="Arial"/>
                <w:sz w:val="16"/>
                <w:szCs w:val="16"/>
                <w:b w:val="1"/>
                <w:bCs w:val="1"/>
                <w:color w:val="auto"/>
              </w:rPr>
              <w:t>Adjusted EBITDA</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w:t>
            </w:r>
          </w:p>
        </w:tc>
        <w:tc>
          <w:tcPr>
            <w:tcW w:w="140" w:type="dxa"/>
            <w:vAlign w:val="bottom"/>
          </w:tcPr>
          <w:p>
            <w:pPr>
              <w:spacing w:after="0"/>
              <w:rPr>
                <w:sz w:val="17"/>
                <w:szCs w:val="17"/>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491</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1,089</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ADJUSTED EBITDA</w:t>
            </w: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color w:val="auto"/>
              </w:rPr>
              <w:t>Siding</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59</w:t>
            </w:r>
          </w:p>
        </w:tc>
        <w:tc>
          <w:tcPr>
            <w:tcW w:w="1120" w:type="dxa"/>
            <w:vAlign w:val="bottom"/>
            <w:gridSpan w:val="2"/>
          </w:tcPr>
          <w:p>
            <w:pPr>
              <w:jc w:val="right"/>
              <w:ind w:right="79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78</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126</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OSB</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w:t>
            </w: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color w:val="auto"/>
              </w:rPr>
              <w:t>South America</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35"/>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 Adjusted EBITDA</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1,089</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1" w:name="page22"/>
    <w:bookmarkEnd w:id="21"/>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Management's Discussion and Analysis of Financial Condition and Results of Operations should be read in conjunction with our Condensed Consolidated Financial Statements and related Notes and other financial information appearing elsewhere in this quarterly report on Form 10-Q. The following discussion includes statements that are forward-looking statements that are based on the beliefs of our management, as well as assumptions made by and information currently available to our management. See "Cautionary Statement Regarding 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leading provider of high-performance building solutions that meet the demands of builders, remodelers, and homeowners worldwide. We have leveraged our expertise in serving the new home construction, repair and remodeling, and outdoor structures markets to become an industry leader known for innovation, quality, reliability, and sustainability. Our manufacturing facilities are located in the U.S., Canada, Chile, and Brazil.</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To serve these markets, we primarily operate in three segments: Siding, OSB, and South America.</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year ended December 31, 2022, we sold our 50% equity interest in two joint ventures that produce I-joists, and we sold the remaining assets related to the EWP segment. Accordingly, the results of our previously owned EWP segment have been presented as discontinued operations in our Condensed Consolidated Statements of Income for all periods presented. See "Note 7 –Discontinued Operations" for additional information.</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2023, we acquired a manufacturing facility in Wawa, Ontario from Wawa OSB, Inc. a subsidiary of Forex Inc., for $80 million, financed by a combination of cash on hand and availability under the Amended Credit Facility . The manufacturing facility is expected to be converted into an LP® SmartSide® Trim &amp; Siding mill. We are evaluating project schedules and market demand to determine when construction will begin. The facility will remain shut down until such time construction is completed.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for Building Products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Demand for our products correlates positively with new home construction and repair and remodeling activity in North America, which historically has been characterized by significant cyclicality. The U.S. Census Bureau reported on July 19, 2023, that actual single-family housing starts were 14% lower for the three months ended June 30, 2023, and 21% lower for the six months ended June 30, 2023, as compared to the same periods in 2022. Actual multi-family housing starts for the three and six months ended June 30, 2023 were about 6% lower and 2% lower, respectively, as compared to the same period in 2022. Repair and remodeling activity is difficult to reasonably measure, but many indications, suggest that repair and remodeling activity is continuing to show resiliency.</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Future economic conditions in the United States and the demand for homes are uncertain due to inflationary impacts on the economy, including interest rates, employment levels, consumer confidence, and financial markets, among other things. Additionally, we have experienced increases in material prices, supply disruptions, and labor challenges, which we continue to address as we work to meet the demands of builders, remodelers, and homeowners worldwide. The potential effect of these factors on our future operational and financial performance is uncertain. As a result, our past performance may not be indicative of future results.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and Demand for Siding</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Siding Solutions is a specialty building material and is subject to competition from various siding technologies, including vinyl, stucco, wood, fiber cement, brick, and others. We believe we are the largest manufacturer in the engineered wood siding market. We have consistently grown our Siding Solutions above the underlying market growth rates. Siding Solutions is generally less sensitive to new housing market cyclicality since demand comes from other markets, including sheds and repair and remodel. Our growth in this market depends upon the continued displacement of vinyl, wood, fiber cement, stucco, bricks, and other alternatives, our product innovation and our technological expertise in wood and wood composites to address the needs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Supply and Demand for OSB</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OSB is a commodity product, and it is subject to competition from manufacturers worldwide. Product supply is influenced primarily by fluctuations in available manufacturing capacity and imports. The ratio of overall OSB demand to capacity generally drives price. During the three and six months ended June 30, 2023, OSB commodity prices have fallen with the decline in market demand for OSB commodity product. We cannot predict whether the prices of our OSB products will remain at current levels or increase or decrease in the future.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additional factors affecting our results, refer to the “Overview” within our “Management's Discussion and Analysis of Financial Condition and Results of Operations” section and our “Risk Factors” section contained in our 2022 Annual Report on Form 10-K, and to the “Cautionary Statement Regarding Forward-Looking Statements” section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Significant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1 of the Notes to the Condensed Consolidated Financial Statements included in our 2022 Annual Report on Form 10-K is a discussion of our significant accounting policies and significant accounting estimates and judgments. Throughout the preparation of the financial statements, we employ significant judgments in the application of accounting principles and methods. These judgments are primarily related to the assumptions used to arrive at various estimates.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application of principles, methods, and assumptions used to determine our significant estimates since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 and Other Key Performance Indicators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evaluating our business, we utilize non-GAAP financial measures that fall within the meaning of SEC Regulation G and Regulation S-K Item 10(e), which we believe provide users of the financial information with additional meaningful comparison to prior reported results. Non-GAAP financial measures do not have standardized definitions and are not defined by U.S. GAAP. In this quarterly report on Form 10-Q, we disclose income (loss) attributed to LP from continuing operations before interest expense, provision for income taxes, depreciation and amortization, and excluding stock-based compensation expense, loss on impairment attributed to LP, business exit charges, product-line discontinuance charges, other operating credits and charges, net, loss on early debt extinguishment, investment income, pension settlement charges, and other non-operating items, as Adjusted EBITDA from continuing operations (Adjusted EBITDA), which is a non-GAAP financial measure.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 We also disclose income (loss) attributed to LP from continuing operations, excluding loss on impairment attributed to LP, business exit charges, product-line discontinuance charges, interest expense outside of normal operations, other operating credits and charges, net, loss on early debt extinguishment, gain (loss) on acquisition, and pension settlement charges, and adjusting for a normalized tax rate as Adjusted Income (Adjusted Income). We also disclose Adjusted Diluted EPS, which is calculated as Adjusted Income divided by diluted shares outstanding. We believe that Adjusted Diluted EPS and Adjusted Income are useful measures for evaluating our ability to generate earnings and that providing these measures should allow interested persons to more readily compare the earnings for past and future periods.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Adjusted Income, and Adjusted Diluted EPS are not substitutes for the U.S. GAAP measures of Net income (loss), Income (loss) attributed to LP from continuing operations, and Income (loss) attributed to LP from continuing operations per diluted share or for any other U.S. GAAP measures of operating performance. It should be noted that other companies may present similarly titled measures differently, and therefore, as presented by us, these measures may not be comparable to similarly titled measures reported by other companies. Adjusted EBITDA, Adjusted Income, and Adjusted Diluted EPS have material limitations as performance measures because they exclude items that are actually incurred or experienced in connection with the operation of our business.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June 30, 2023, we updated our definition of Adjusted EBITDA, Adjusted Income, and Adjusted Diluted EPS to exclude other business exit charges not classified as discontinued operations. Business exit charges consist of inventory and other asset impairment and exit charges related to the exit of other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3" w:name="page24"/>
    <w:bookmarkEnd w:id="23"/>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 individually significant. We consider business exit charges to be outside the performance of our ongoing core business operations and believe that presenting Adjusted EBITDA, Adjusted Income, and Adjusted Diluted EPS excluding business exit charges provides increased transparency as to the operating costs of our current business performance. We did not revise prior years’ Adjusted EBITDA, Adjusted Income, and Adjusted Diluted EPS amounts because there were no significant costs similar in nature to these items.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income to Adjusted EBITDA (dollar amounts in millions):</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1180" w:type="dxa"/>
            <w:vAlign w:val="bottom"/>
            <w:gridSpan w:val="2"/>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868</w:t>
            </w:r>
          </w:p>
        </w:tc>
        <w:tc>
          <w:tcPr>
            <w:tcW w:w="0" w:type="dxa"/>
            <w:vAlign w:val="bottom"/>
          </w:tcPr>
          <w:p>
            <w:pPr>
              <w:spacing w:after="0"/>
              <w:rPr>
                <w:sz w:val="1"/>
                <w:szCs w:val="1"/>
                <w:color w:val="auto"/>
              </w:rPr>
            </w:pPr>
          </w:p>
        </w:tc>
      </w:tr>
      <w:tr>
        <w:trPr>
          <w:trHeight w:val="213"/>
        </w:trPr>
        <w:tc>
          <w:tcPr>
            <w:tcW w:w="5060" w:type="dxa"/>
            <w:vAlign w:val="bottom"/>
          </w:tcPr>
          <w:p>
            <w:pPr>
              <w:ind w:left="20"/>
              <w:spacing w:after="0"/>
              <w:rPr>
                <w:sz w:val="20"/>
                <w:szCs w:val="20"/>
                <w:color w:val="auto"/>
              </w:rPr>
            </w:pPr>
            <w:r>
              <w:rPr>
                <w:rFonts w:ascii="Arial" w:cs="Arial" w:eastAsia="Arial" w:hAnsi="Arial"/>
                <w:sz w:val="16"/>
                <w:szCs w:val="16"/>
                <w:color w:val="auto"/>
              </w:rPr>
              <w:t>Add (deduct):</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 attributed to non-controlling interest</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Income from discontinued operations, net of income taxes</w:t>
            </w: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attributed to LP from continuing operations</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13"/>
        </w:trPr>
        <w:tc>
          <w:tcPr>
            <w:tcW w:w="5060" w:type="dxa"/>
            <w:vAlign w:val="bottom"/>
          </w:tcPr>
          <w:p>
            <w:pPr>
              <w:ind w:left="140"/>
              <w:spacing w:after="0"/>
              <w:rPr>
                <w:sz w:val="20"/>
                <w:szCs w:val="20"/>
                <w:color w:val="auto"/>
              </w:rPr>
            </w:pPr>
            <w:r>
              <w:rPr>
                <w:rFonts w:ascii="Arial" w:cs="Arial" w:eastAsia="Arial" w:hAnsi="Arial"/>
                <w:sz w:val="16"/>
                <w:szCs w:val="16"/>
                <w:color w:val="auto"/>
              </w:rPr>
              <w:t>Provision for income taxes</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3"/>
        </w:trPr>
        <w:tc>
          <w:tcPr>
            <w:tcW w:w="5060" w:type="dxa"/>
            <w:vAlign w:val="bottom"/>
          </w:tcPr>
          <w:p>
            <w:pPr>
              <w:ind w:left="140"/>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operating credits and charges, net</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5060" w:type="dxa"/>
            <w:vAlign w:val="bottom"/>
          </w:tcPr>
          <w:p>
            <w:pPr>
              <w:ind w:left="140"/>
              <w:spacing w:after="0"/>
              <w:rPr>
                <w:sz w:val="20"/>
                <w:szCs w:val="20"/>
                <w:color w:val="auto"/>
              </w:rPr>
            </w:pPr>
            <w:r>
              <w:rPr>
                <w:rFonts w:ascii="Arial" w:cs="Arial" w:eastAsia="Arial" w:hAnsi="Arial"/>
                <w:sz w:val="16"/>
                <w:szCs w:val="16"/>
                <w:color w:val="auto"/>
              </w:rPr>
              <w:t>Business exit charges</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5060" w:type="dxa"/>
            <w:vAlign w:val="bottom"/>
          </w:tcPr>
          <w:p>
            <w:pPr>
              <w:ind w:left="140"/>
              <w:spacing w:after="0"/>
              <w:rPr>
                <w:sz w:val="20"/>
                <w:szCs w:val="20"/>
                <w:color w:val="auto"/>
              </w:rPr>
            </w:pPr>
            <w:r>
              <w:rPr>
                <w:rFonts w:ascii="Arial" w:cs="Arial" w:eastAsia="Arial" w:hAnsi="Arial"/>
                <w:sz w:val="16"/>
                <w:szCs w:val="16"/>
                <w:color w:val="auto"/>
              </w:rPr>
              <w:t>Investment income</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non-operating items</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5060" w:type="dxa"/>
            <w:vAlign w:val="bottom"/>
          </w:tcPr>
          <w:p>
            <w:pPr>
              <w:ind w:left="140"/>
              <w:spacing w:after="0"/>
              <w:rPr>
                <w:sz w:val="20"/>
                <w:szCs w:val="20"/>
                <w:color w:val="auto"/>
              </w:rPr>
            </w:pPr>
            <w:r>
              <w:rPr>
                <w:rFonts w:ascii="Arial" w:cs="Arial" w:eastAsia="Arial" w:hAnsi="Arial"/>
                <w:sz w:val="16"/>
                <w:szCs w:val="16"/>
                <w:color w:val="auto"/>
              </w:rPr>
              <w:t>Pension settlement charges</w:t>
            </w: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w:t>
            </w:r>
          </w:p>
        </w:tc>
        <w:tc>
          <w:tcPr>
            <w:tcW w:w="1180" w:type="dxa"/>
            <w:vAlign w:val="bottom"/>
            <w:gridSpan w:val="2"/>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1,089</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SEGMENT ADJUSTED EBITDA</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6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Siding</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180" w:type="dxa"/>
            <w:vAlign w:val="bottom"/>
            <w:gridSpan w:val="2"/>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3"/>
        </w:trPr>
        <w:tc>
          <w:tcPr>
            <w:tcW w:w="5060" w:type="dxa"/>
            <w:vAlign w:val="bottom"/>
          </w:tcPr>
          <w:p>
            <w:pPr>
              <w:ind w:left="140"/>
              <w:spacing w:after="0"/>
              <w:rPr>
                <w:sz w:val="20"/>
                <w:szCs w:val="20"/>
                <w:color w:val="auto"/>
              </w:rPr>
            </w:pPr>
            <w:r>
              <w:rPr>
                <w:rFonts w:ascii="Arial" w:cs="Arial" w:eastAsia="Arial" w:hAnsi="Arial"/>
                <w:sz w:val="16"/>
                <w:szCs w:val="16"/>
                <w:color w:val="auto"/>
              </w:rPr>
              <w:t>OSB</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South America</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5060" w:type="dxa"/>
            <w:vAlign w:val="bottom"/>
          </w:tcPr>
          <w:p>
            <w:pPr>
              <w:ind w:left="14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5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Corporate</w:t>
            </w: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0"/>
        </w:trPr>
        <w:tc>
          <w:tcPr>
            <w:tcW w:w="5060" w:type="dxa"/>
            <w:vAlign w:val="bottom"/>
          </w:tcPr>
          <w:p>
            <w:pPr>
              <w:ind w:left="40"/>
              <w:spacing w:after="0"/>
              <w:rPr>
                <w:sz w:val="20"/>
                <w:szCs w:val="20"/>
                <w:color w:val="auto"/>
              </w:rPr>
            </w:pPr>
            <w:r>
              <w:rPr>
                <w:rFonts w:ascii="Arial" w:cs="Arial" w:eastAsia="Arial" w:hAnsi="Arial"/>
                <w:sz w:val="16"/>
                <w:szCs w:val="16"/>
                <w:b w:val="1"/>
                <w:bCs w:val="1"/>
                <w:color w:val="auto"/>
              </w:rPr>
              <w:t>Total Adjusted EBITDA</w:t>
            </w:r>
          </w:p>
        </w:tc>
        <w:tc>
          <w:tcPr>
            <w:tcW w:w="980" w:type="dxa"/>
            <w:vAlign w:val="bottom"/>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93</w:t>
            </w:r>
          </w:p>
        </w:tc>
        <w:tc>
          <w:tcPr>
            <w:tcW w:w="118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491</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159</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1,089</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following table provides the reconciliation of Net income to Adjusted Income (dollar amounts in millions, except per share amounts):</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58"/>
        </w:trPr>
        <w:tc>
          <w:tcPr>
            <w:tcW w:w="496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w w:val="98"/>
              </w:rPr>
              <w:t>Net income (loss) attributed to LP from continuing operations per</w:t>
            </w:r>
          </w:p>
        </w:tc>
        <w:tc>
          <w:tcPr>
            <w:tcW w:w="960" w:type="dxa"/>
            <w:vAlign w:val="bottom"/>
            <w:vMerge w:val="restart"/>
            <w:shd w:val="clear" w:color="auto" w:fill="CCEEFF"/>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(0.28)</w:t>
            </w:r>
          </w:p>
        </w:tc>
        <w:tc>
          <w:tcPr>
            <w:tcW w:w="1160" w:type="dxa"/>
            <w:vAlign w:val="bottom"/>
            <w:gridSpan w:val="2"/>
            <w:vMerge w:val="restart"/>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4.28</w:t>
            </w:r>
          </w:p>
        </w:tc>
        <w:tc>
          <w:tcPr>
            <w:tcW w:w="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0.02</w:t>
            </w:r>
          </w:p>
        </w:tc>
        <w:tc>
          <w:tcPr>
            <w:tcW w:w="460" w:type="dxa"/>
            <w:vAlign w:val="bottom"/>
            <w:gridSpan w:val="2"/>
            <w:vMerge w:val="restart"/>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9.19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share - diluted</w:t>
            </w:r>
          </w:p>
        </w:tc>
        <w:tc>
          <w:tcPr>
            <w:tcW w:w="96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1160" w:type="dxa"/>
            <w:vAlign w:val="bottom"/>
            <w:gridSpan w:val="2"/>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4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868</w:t>
            </w:r>
          </w:p>
        </w:tc>
        <w:tc>
          <w:tcPr>
            <w:tcW w:w="0" w:type="dxa"/>
            <w:vAlign w:val="bottom"/>
          </w:tcPr>
          <w:p>
            <w:pPr>
              <w:spacing w:after="0"/>
              <w:rPr>
                <w:sz w:val="1"/>
                <w:szCs w:val="1"/>
                <w:color w:val="auto"/>
              </w:rPr>
            </w:pP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Add (deduct):</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 attributed to non-controlling interest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9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Income from discontinued operations, net of income taxes</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3"/>
        </w:trPr>
        <w:tc>
          <w:tcPr>
            <w:tcW w:w="4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attributed to LP from continuing operations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13"/>
        </w:trPr>
        <w:tc>
          <w:tcPr>
            <w:tcW w:w="4960" w:type="dxa"/>
            <w:vAlign w:val="bottom"/>
          </w:tcPr>
          <w:p>
            <w:pPr>
              <w:ind w:left="120"/>
              <w:spacing w:after="0"/>
              <w:rPr>
                <w:sz w:val="20"/>
                <w:szCs w:val="20"/>
                <w:color w:val="auto"/>
              </w:rPr>
            </w:pPr>
            <w:r>
              <w:rPr>
                <w:rFonts w:ascii="Arial" w:cs="Arial" w:eastAsia="Arial" w:hAnsi="Arial"/>
                <w:sz w:val="16"/>
                <w:szCs w:val="16"/>
                <w:color w:val="auto"/>
              </w:rPr>
              <w:t>Other operating credits and charges, net</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Business exit charges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60" w:type="dxa"/>
            <w:vAlign w:val="bottom"/>
          </w:tcPr>
          <w:p>
            <w:pPr>
              <w:ind w:left="120"/>
              <w:spacing w:after="0"/>
              <w:rPr>
                <w:sz w:val="20"/>
                <w:szCs w:val="20"/>
                <w:color w:val="auto"/>
              </w:rPr>
            </w:pPr>
            <w:r>
              <w:rPr>
                <w:rFonts w:ascii="Arial" w:cs="Arial" w:eastAsia="Arial" w:hAnsi="Arial"/>
                <w:sz w:val="16"/>
                <w:szCs w:val="16"/>
                <w:color w:val="auto"/>
              </w:rPr>
              <w:t>Pension settlement charges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Reported tax provision</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07"/>
        </w:trPr>
        <w:tc>
          <w:tcPr>
            <w:tcW w:w="4960" w:type="dxa"/>
            <w:vAlign w:val="bottom"/>
          </w:tcPr>
          <w:p>
            <w:pPr>
              <w:ind w:left="120"/>
              <w:spacing w:after="0"/>
              <w:rPr>
                <w:sz w:val="20"/>
                <w:szCs w:val="20"/>
                <w:color w:val="auto"/>
              </w:rPr>
            </w:pPr>
            <w:r>
              <w:rPr>
                <w:rFonts w:ascii="Arial" w:cs="Arial" w:eastAsia="Arial" w:hAnsi="Arial"/>
                <w:sz w:val="16"/>
                <w:szCs w:val="16"/>
                <w:color w:val="auto"/>
              </w:rPr>
              <w:t>Adjusted income before tax</w:t>
            </w: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1,001</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Normalized tax provision at 25%</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0"/>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Adjusted Income</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340</w:t>
            </w:r>
          </w:p>
        </w:tc>
        <w:tc>
          <w:tcPr>
            <w:tcW w:w="4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751</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 shares outstanding</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6"/>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Adjusted Diluted EPS</w:t>
            </w:r>
          </w:p>
        </w:tc>
        <w:tc>
          <w:tcPr>
            <w:tcW w:w="960" w:type="dxa"/>
            <w:vAlign w:val="bottom"/>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0.55</w:t>
            </w:r>
          </w:p>
        </w:tc>
        <w:tc>
          <w:tcPr>
            <w:tcW w:w="116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4.19</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0.89</w:t>
            </w:r>
          </w:p>
        </w:tc>
        <w:tc>
          <w:tcPr>
            <w:tcW w:w="46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8.96</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In addition, management monitors certain key performance indicators to evaluate our business performance, which include our Overall Equipment Effectiveness (OEE) and our sales volume relative to housing starts, as provided by reports from the U.S. Census Bureau.</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tables set forth: (1) housing starts, (2) our North American sales volume, and (3) OEE. We consider the following items to be key performance indicators because LP’s management uses these metrics to evaluate our business and trends, measure our performance, and make strategic decisions, and believes that the key performance indicators presented provide additional perspective and insights when analyzing the core operating performance of LP. These key performance indicators should not be considered superior to, as a substitute for, or as an alternative to, and should be considered in conjunction with, the U.S. GAAP financial measures presented herein. These measures may not be comparable to similarly-titled performance indicators used by other companies.</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monitor housing starts, which is a leading external indicator of residential construction in the United States that correlates with the demand for many of our products. We believe that this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housing starts data presented by us may not be comparable to similarly-titled indicators reported by other companies.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ind w:left="20"/>
              <w:spacing w:after="0"/>
              <w:rPr>
                <w:sz w:val="20"/>
                <w:szCs w:val="20"/>
                <w:color w:val="auto"/>
              </w:rPr>
            </w:pPr>
            <w:r>
              <w:rPr>
                <w:rFonts w:ascii="Arial" w:cs="Arial" w:eastAsia="Arial" w:hAnsi="Arial"/>
                <w:sz w:val="16"/>
                <w:szCs w:val="16"/>
                <w:color w:val="auto"/>
              </w:rPr>
              <w:t>(thousands of units)</w:t>
            </w:r>
          </w:p>
        </w:tc>
        <w:tc>
          <w:tcPr>
            <w:tcW w:w="296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298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Six Months Ended June 30,</w:t>
            </w:r>
          </w:p>
        </w:tc>
      </w:tr>
      <w:tr>
        <w:trPr>
          <w:trHeight w:val="207"/>
        </w:trPr>
        <w:tc>
          <w:tcPr>
            <w:tcW w:w="5180" w:type="dxa"/>
            <w:vAlign w:val="bottom"/>
          </w:tcPr>
          <w:p>
            <w:pPr>
              <w:spacing w:after="0"/>
              <w:rPr>
                <w:sz w:val="17"/>
                <w:szCs w:val="17"/>
                <w:color w:val="auto"/>
              </w:rPr>
            </w:pPr>
          </w:p>
        </w:tc>
        <w:tc>
          <w:tcPr>
            <w:tcW w:w="14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54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14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54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2"/>
        </w:trPr>
        <w:tc>
          <w:tcPr>
            <w:tcW w:w="518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b w:val="1"/>
                <w:bCs w:val="1"/>
                <w:color w:val="auto"/>
              </w:rPr>
              <w:t>Housing starts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Single-Family</w:t>
            </w:r>
          </w:p>
        </w:tc>
        <w:tc>
          <w:tcPr>
            <w:tcW w:w="1420" w:type="dxa"/>
            <w:vAlign w:val="bottom"/>
          </w:tcPr>
          <w:p>
            <w:pPr>
              <w:jc w:val="right"/>
              <w:spacing w:after="0"/>
              <w:rPr>
                <w:sz w:val="20"/>
                <w:szCs w:val="20"/>
                <w:color w:val="auto"/>
              </w:rPr>
            </w:pPr>
            <w:r>
              <w:rPr>
                <w:rFonts w:ascii="Arial" w:cs="Arial" w:eastAsia="Arial" w:hAnsi="Arial"/>
                <w:sz w:val="16"/>
                <w:szCs w:val="16"/>
                <w:color w:val="auto"/>
              </w:rPr>
              <w:t>261</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303</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570</w:t>
            </w: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Multi-Family</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10"/>
        </w:trPr>
        <w:tc>
          <w:tcPr>
            <w:tcW w:w="5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399</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714</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840</w:t>
            </w:r>
          </w:p>
        </w:tc>
      </w:tr>
      <w:tr>
        <w:trPr>
          <w:trHeight w:val="24"/>
        </w:trPr>
        <w:tc>
          <w:tcPr>
            <w:tcW w:w="5180" w:type="dxa"/>
            <w:vAlign w:val="bottom"/>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r>
    </w:tbl>
    <w:p>
      <w:pPr>
        <w:spacing w:after="0" w:line="107" w:lineRule="exact"/>
        <w:rPr>
          <w:sz w:val="20"/>
          <w:szCs w:val="20"/>
          <w:color w:val="auto"/>
        </w:rPr>
      </w:pPr>
    </w:p>
    <w:p>
      <w:pPr>
        <w:ind w:left="100" w:hanging="74"/>
        <w:spacing w:after="0"/>
        <w:tabs>
          <w:tab w:leader="none" w:pos="10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Actual U.S. housing starts data reported by U.S. Census Bureau as published through July 19,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We monitor sales volumes for our products in our Siding, OSB, and South America segments, which we define as the number of units of our products sold within the applicable period. Evaluating sales volume by product type helps us identify and address changes in product demand, broad market factors that may affect our performance, and opportunities for future growth. It should be noted that other companies may present sales volumes differently and, therefore, as presented by us, sales volumes may not be comparable to similarly-titled measures reported by other companies. We believe that sales volumes can be a useful measure for evaluating and understanding our business.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sales volumes for the three and six months ended June 30, 2023 and 2022:</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12"/>
          </w:tcPr>
          <w:p>
            <w:pPr>
              <w:jc w:val="right"/>
              <w:ind w:right="620"/>
              <w:spacing w:after="0"/>
              <w:rPr>
                <w:sz w:val="20"/>
                <w:szCs w:val="20"/>
                <w:color w:val="auto"/>
              </w:rPr>
            </w:pPr>
            <w:r>
              <w:rPr>
                <w:rFonts w:ascii="Arial" w:cs="Arial" w:eastAsia="Arial" w:hAnsi="Arial"/>
                <w:sz w:val="16"/>
                <w:szCs w:val="16"/>
                <w:b w:val="1"/>
                <w:bCs w:val="1"/>
                <w:color w:val="auto"/>
              </w:rPr>
              <w:t>Three Months Ended June 30, 2023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11"/>
          </w:tcPr>
          <w:p>
            <w:pPr>
              <w:jc w:val="right"/>
              <w:ind w:right="640"/>
              <w:spacing w:after="0"/>
              <w:rPr>
                <w:sz w:val="20"/>
                <w:szCs w:val="20"/>
                <w:color w:val="auto"/>
              </w:rPr>
            </w:pPr>
            <w:r>
              <w:rPr>
                <w:rFonts w:ascii="Arial" w:cs="Arial" w:eastAsia="Arial" w:hAnsi="Arial"/>
                <w:sz w:val="16"/>
                <w:szCs w:val="16"/>
                <w:b w:val="1"/>
                <w:bCs w:val="1"/>
                <w:color w:val="auto"/>
              </w:rPr>
              <w:t>Three Months Ended June 30, 2022</w:t>
            </w:r>
          </w:p>
        </w:tc>
        <w:tc>
          <w:tcPr>
            <w:tcW w:w="0" w:type="dxa"/>
            <w:vAlign w:val="bottom"/>
          </w:tcPr>
          <w:p>
            <w:pPr>
              <w:spacing w:after="0"/>
              <w:rPr>
                <w:sz w:val="1"/>
                <w:szCs w:val="1"/>
                <w:color w:val="auto"/>
              </w:rPr>
            </w:pPr>
          </w:p>
        </w:tc>
      </w:tr>
      <w:tr>
        <w:trPr>
          <w:trHeight w:val="172"/>
        </w:trPr>
        <w:tc>
          <w:tcPr>
            <w:tcW w:w="3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Sales Volume</w:t>
            </w:r>
          </w:p>
        </w:tc>
        <w:tc>
          <w:tcPr>
            <w:tcW w:w="1080" w:type="dxa"/>
            <w:vAlign w:val="bottom"/>
            <w:gridSpan w:val="3"/>
            <w:vMerge w:val="restart"/>
          </w:tcPr>
          <w:p>
            <w:pPr>
              <w:ind w:left="240"/>
              <w:spacing w:after="0"/>
              <w:rPr>
                <w:sz w:val="20"/>
                <w:szCs w:val="20"/>
                <w:color w:val="auto"/>
              </w:rPr>
            </w:pPr>
            <w:r>
              <w:rPr>
                <w:rFonts w:ascii="Arial" w:cs="Arial" w:eastAsia="Arial" w:hAnsi="Arial"/>
                <w:sz w:val="16"/>
                <w:szCs w:val="16"/>
                <w:b w:val="1"/>
                <w:bCs w:val="1"/>
                <w:color w:val="auto"/>
              </w:rPr>
              <w:t>Siding</w:t>
            </w:r>
          </w:p>
        </w:tc>
        <w:tc>
          <w:tcPr>
            <w:tcW w:w="840" w:type="dxa"/>
            <w:vAlign w:val="bottom"/>
            <w:gridSpan w:val="3"/>
            <w:vMerge w:val="restart"/>
          </w:tcPr>
          <w:p>
            <w:pPr>
              <w:jc w:val="right"/>
              <w:ind w:right="279"/>
              <w:spacing w:after="0"/>
              <w:rPr>
                <w:sz w:val="20"/>
                <w:szCs w:val="20"/>
                <w:color w:val="auto"/>
              </w:rPr>
            </w:pPr>
            <w:r>
              <w:rPr>
                <w:rFonts w:ascii="Arial" w:cs="Arial" w:eastAsia="Arial" w:hAnsi="Arial"/>
                <w:sz w:val="16"/>
                <w:szCs w:val="16"/>
                <w:b w:val="1"/>
                <w:bCs w:val="1"/>
                <w:color w:val="auto"/>
              </w:rPr>
              <w:t>OSB</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right"/>
              <w:ind w:right="540"/>
              <w:spacing w:after="0" w:line="172" w:lineRule="exact"/>
              <w:rPr>
                <w:sz w:val="20"/>
                <w:szCs w:val="20"/>
                <w:color w:val="auto"/>
              </w:rPr>
            </w:pPr>
            <w:r>
              <w:rPr>
                <w:rFonts w:ascii="Arial" w:cs="Arial" w:eastAsia="Arial" w:hAnsi="Arial"/>
                <w:sz w:val="16"/>
                <w:szCs w:val="16"/>
                <w:b w:val="1"/>
                <w:bCs w:val="1"/>
                <w:color w:val="auto"/>
                <w:w w:val="88"/>
              </w:rPr>
              <w:t>South</w:t>
            </w: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4"/>
                <w:szCs w:val="14"/>
                <w:color w:val="auto"/>
              </w:rPr>
            </w:pPr>
          </w:p>
        </w:tc>
        <w:tc>
          <w:tcPr>
            <w:tcW w:w="1040" w:type="dxa"/>
            <w:vAlign w:val="bottom"/>
            <w:gridSpan w:val="3"/>
            <w:vMerge w:val="restart"/>
          </w:tcPr>
          <w:p>
            <w:pPr>
              <w:jc w:val="right"/>
              <w:ind w:right="279"/>
              <w:spacing w:after="0"/>
              <w:rPr>
                <w:sz w:val="20"/>
                <w:szCs w:val="20"/>
                <w:color w:val="auto"/>
              </w:rPr>
            </w:pPr>
            <w:r>
              <w:rPr>
                <w:rFonts w:ascii="Arial" w:cs="Arial" w:eastAsia="Arial" w:hAnsi="Arial"/>
                <w:sz w:val="16"/>
                <w:szCs w:val="16"/>
                <w:b w:val="1"/>
                <w:bCs w:val="1"/>
                <w:color w:val="auto"/>
              </w:rPr>
              <w:t>Siding</w:t>
            </w:r>
          </w:p>
        </w:tc>
        <w:tc>
          <w:tcPr>
            <w:tcW w:w="960" w:type="dxa"/>
            <w:vAlign w:val="bottom"/>
            <w:gridSpan w:val="3"/>
            <w:vMerge w:val="restart"/>
          </w:tcPr>
          <w:p>
            <w:pPr>
              <w:jc w:val="right"/>
              <w:ind w:right="379"/>
              <w:spacing w:after="0"/>
              <w:rPr>
                <w:sz w:val="20"/>
                <w:szCs w:val="20"/>
                <w:color w:val="auto"/>
              </w:rPr>
            </w:pPr>
            <w:r>
              <w:rPr>
                <w:rFonts w:ascii="Arial" w:cs="Arial" w:eastAsia="Arial" w:hAnsi="Arial"/>
                <w:sz w:val="16"/>
                <w:szCs w:val="16"/>
                <w:b w:val="1"/>
                <w:bCs w:val="1"/>
                <w:color w:val="auto"/>
              </w:rPr>
              <w:t>OSB</w:t>
            </w:r>
          </w:p>
        </w:tc>
        <w:tc>
          <w:tcPr>
            <w:tcW w:w="1040" w:type="dxa"/>
            <w:vAlign w:val="bottom"/>
            <w:gridSpan w:val="4"/>
          </w:tcPr>
          <w:p>
            <w:pPr>
              <w:jc w:val="right"/>
              <w:ind w:right="540"/>
              <w:spacing w:after="0" w:line="172" w:lineRule="exact"/>
              <w:rPr>
                <w:sz w:val="20"/>
                <w:szCs w:val="20"/>
                <w:color w:val="auto"/>
              </w:rPr>
            </w:pPr>
            <w:r>
              <w:rPr>
                <w:rFonts w:ascii="Arial" w:cs="Arial" w:eastAsia="Arial" w:hAnsi="Arial"/>
                <w:sz w:val="16"/>
                <w:szCs w:val="16"/>
                <w:b w:val="1"/>
                <w:bCs w:val="1"/>
                <w:color w:val="auto"/>
              </w:rPr>
              <w:t>South</w:t>
            </w:r>
          </w:p>
        </w:tc>
        <w:tc>
          <w:tcPr>
            <w:tcW w:w="660" w:type="dxa"/>
            <w:vAlign w:val="bottom"/>
            <w:gridSpan w:val="2"/>
            <w:vMerge w:val="restart"/>
          </w:tcPr>
          <w:p>
            <w:pPr>
              <w:jc w:val="right"/>
              <w:ind w:right="30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42"/>
        </w:trPr>
        <w:tc>
          <w:tcPr>
            <w:tcW w:w="3580" w:type="dxa"/>
            <w:vAlign w:val="bottom"/>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2"/>
              </w:rPr>
              <w:t>America</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73"/>
              </w:rPr>
              <w:t>America</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Siding Solutions (MMSF)</w:t>
            </w:r>
          </w:p>
        </w:tc>
        <w:tc>
          <w:tcPr>
            <w:tcW w:w="1080" w:type="dxa"/>
            <w:vAlign w:val="bottom"/>
            <w:gridSpan w:val="3"/>
            <w:shd w:val="clear" w:color="auto" w:fill="CCEEFF"/>
          </w:tcPr>
          <w:p>
            <w:pPr>
              <w:jc w:val="center"/>
              <w:ind w:left="419"/>
              <w:spacing w:after="0"/>
              <w:rPr>
                <w:sz w:val="20"/>
                <w:szCs w:val="20"/>
                <w:color w:val="auto"/>
              </w:rPr>
            </w:pPr>
            <w:r>
              <w:rPr>
                <w:rFonts w:ascii="Arial" w:cs="Arial" w:eastAsia="Arial" w:hAnsi="Arial"/>
                <w:sz w:val="16"/>
                <w:szCs w:val="16"/>
                <w:color w:val="auto"/>
                <w:w w:val="97"/>
              </w:rPr>
              <w:t>377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5"/>
            <w:shd w:val="clear" w:color="auto" w:fill="CCEEFF"/>
          </w:tcPr>
          <w:p>
            <w:pPr>
              <w:jc w:val="right"/>
              <w:ind w:right="300"/>
              <w:spacing w:after="0"/>
              <w:rPr>
                <w:sz w:val="20"/>
                <w:szCs w:val="20"/>
                <w:color w:val="auto"/>
              </w:rPr>
            </w:pPr>
            <w:r>
              <w:rPr>
                <w:rFonts w:ascii="Arial" w:cs="Arial" w:eastAsia="Arial" w:hAnsi="Arial"/>
                <w:sz w:val="16"/>
                <w:szCs w:val="16"/>
                <w:color w:val="auto"/>
              </w:rPr>
              <w:t>7</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384</w:t>
            </w:r>
          </w:p>
        </w:tc>
        <w:tc>
          <w:tcPr>
            <w:tcW w:w="1160" w:type="dxa"/>
            <w:vAlign w:val="bottom"/>
            <w:gridSpan w:val="4"/>
            <w:shd w:val="clear" w:color="auto" w:fill="CCEEFF"/>
          </w:tcPr>
          <w:p>
            <w:pPr>
              <w:jc w:val="right"/>
              <w:ind w:right="119"/>
              <w:spacing w:after="0"/>
              <w:rPr>
                <w:sz w:val="20"/>
                <w:szCs w:val="20"/>
                <w:color w:val="auto"/>
              </w:rPr>
            </w:pPr>
            <w:r>
              <w:rPr>
                <w:rFonts w:ascii="Arial" w:cs="Arial" w:eastAsia="Arial" w:hAnsi="Arial"/>
                <w:sz w:val="16"/>
                <w:szCs w:val="16"/>
                <w:color w:val="auto"/>
              </w:rPr>
              <w:t>448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gridSpan w:val="4"/>
            <w:shd w:val="clear" w:color="auto" w:fill="CCEEFF"/>
          </w:tcPr>
          <w:p>
            <w:pPr>
              <w:jc w:val="right"/>
              <w:ind w:right="340"/>
              <w:spacing w:after="0"/>
              <w:rPr>
                <w:sz w:val="20"/>
                <w:szCs w:val="20"/>
                <w:color w:val="auto"/>
              </w:rPr>
            </w:pPr>
            <w:r>
              <w:rPr>
                <w:rFonts w:ascii="Arial" w:cs="Arial" w:eastAsia="Arial" w:hAnsi="Arial"/>
                <w:sz w:val="16"/>
                <w:szCs w:val="16"/>
                <w:color w:val="auto"/>
              </w:rPr>
              <w:t>9</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Arial" w:cs="Arial" w:eastAsia="Arial" w:hAnsi="Arial"/>
                <w:sz w:val="16"/>
                <w:szCs w:val="16"/>
                <w:color w:val="auto"/>
              </w:rPr>
              <w:t>OSB - Structural Solutions (MMSF)</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jc w:val="center"/>
              <w:ind w:right="139"/>
              <w:spacing w:after="0"/>
              <w:rPr>
                <w:sz w:val="20"/>
                <w:szCs w:val="20"/>
                <w:color w:val="auto"/>
              </w:rPr>
            </w:pPr>
            <w:r>
              <w:rPr>
                <w:rFonts w:ascii="Arial" w:cs="Arial" w:eastAsia="Arial" w:hAnsi="Arial"/>
                <w:sz w:val="16"/>
                <w:szCs w:val="16"/>
                <w:color w:val="auto"/>
                <w:w w:val="99"/>
              </w:rPr>
              <w:t>—</w:t>
            </w:r>
          </w:p>
        </w:tc>
        <w:tc>
          <w:tcPr>
            <w:tcW w:w="840" w:type="dxa"/>
            <w:vAlign w:val="bottom"/>
            <w:gridSpan w:val="3"/>
          </w:tcPr>
          <w:p>
            <w:pPr>
              <w:jc w:val="right"/>
              <w:ind w:right="59"/>
              <w:spacing w:after="0"/>
              <w:rPr>
                <w:sz w:val="20"/>
                <w:szCs w:val="20"/>
                <w:color w:val="auto"/>
              </w:rPr>
            </w:pPr>
            <w:r>
              <w:rPr>
                <w:rFonts w:ascii="Arial" w:cs="Arial" w:eastAsia="Arial" w:hAnsi="Arial"/>
                <w:sz w:val="16"/>
                <w:szCs w:val="16"/>
                <w:color w:val="auto"/>
              </w:rPr>
              <w:t>412</w:t>
            </w:r>
          </w:p>
        </w:tc>
        <w:tc>
          <w:tcPr>
            <w:tcW w:w="1140" w:type="dxa"/>
            <w:vAlign w:val="bottom"/>
            <w:gridSpan w:val="5"/>
          </w:tcPr>
          <w:p>
            <w:pPr>
              <w:jc w:val="right"/>
              <w:ind w:right="360"/>
              <w:spacing w:after="0"/>
              <w:rPr>
                <w:sz w:val="20"/>
                <w:szCs w:val="20"/>
                <w:color w:val="auto"/>
              </w:rPr>
            </w:pPr>
            <w:r>
              <w:rPr>
                <w:rFonts w:ascii="Arial" w:cs="Arial" w:eastAsia="Arial" w:hAnsi="Arial"/>
                <w:sz w:val="16"/>
                <w:szCs w:val="16"/>
                <w:color w:val="auto"/>
              </w:rPr>
              <w:t>128</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jc w:val="right"/>
              <w:ind w:right="119"/>
              <w:spacing w:after="0"/>
              <w:rPr>
                <w:sz w:val="20"/>
                <w:szCs w:val="20"/>
                <w:color w:val="auto"/>
              </w:rPr>
            </w:pPr>
            <w:r>
              <w:rPr>
                <w:rFonts w:ascii="Arial" w:cs="Arial" w:eastAsia="Arial" w:hAnsi="Arial"/>
                <w:sz w:val="16"/>
                <w:szCs w:val="16"/>
                <w:color w:val="auto"/>
                <w:w w:val="87"/>
              </w:rPr>
              <w:t>—</w:t>
            </w:r>
          </w:p>
        </w:tc>
        <w:tc>
          <w:tcPr>
            <w:tcW w:w="960" w:type="dxa"/>
            <w:vAlign w:val="bottom"/>
            <w:gridSpan w:val="3"/>
          </w:tcPr>
          <w:p>
            <w:pPr>
              <w:jc w:val="right"/>
              <w:ind w:right="159"/>
              <w:spacing w:after="0"/>
              <w:rPr>
                <w:sz w:val="20"/>
                <w:szCs w:val="20"/>
                <w:color w:val="auto"/>
              </w:rPr>
            </w:pPr>
            <w:r>
              <w:rPr>
                <w:rFonts w:ascii="Arial" w:cs="Arial" w:eastAsia="Arial" w:hAnsi="Arial"/>
                <w:sz w:val="16"/>
                <w:szCs w:val="16"/>
                <w:color w:val="auto"/>
              </w:rPr>
              <w:t>514</w:t>
            </w:r>
          </w:p>
        </w:tc>
        <w:tc>
          <w:tcPr>
            <w:tcW w:w="1040" w:type="dxa"/>
            <w:vAlign w:val="bottom"/>
            <w:gridSpan w:val="4"/>
          </w:tcPr>
          <w:p>
            <w:pPr>
              <w:jc w:val="right"/>
              <w:ind w:right="340"/>
              <w:spacing w:after="0"/>
              <w:rPr>
                <w:sz w:val="20"/>
                <w:szCs w:val="20"/>
                <w:color w:val="auto"/>
              </w:rPr>
            </w:pPr>
            <w:r>
              <w:rPr>
                <w:rFonts w:ascii="Arial" w:cs="Arial" w:eastAsia="Arial" w:hAnsi="Arial"/>
                <w:sz w:val="16"/>
                <w:szCs w:val="16"/>
                <w:color w:val="auto"/>
              </w:rPr>
              <w:t>149</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OSB - commodity (MMSF)</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w w:val="99"/>
              </w:rPr>
              <w:t>—</w:t>
            </w:r>
          </w:p>
        </w:tc>
        <w:tc>
          <w:tcPr>
            <w:tcW w:w="84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7"/>
              </w:rPr>
              <w:t>—</w:t>
            </w:r>
          </w:p>
        </w:tc>
        <w:tc>
          <w:tcPr>
            <w:tcW w:w="96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bl>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6"/>
                <w:szCs w:val="16"/>
                <w:b w:val="1"/>
                <w:bCs w:val="1"/>
                <w:color w:val="auto"/>
                <w:w w:val="91"/>
              </w:rPr>
              <w:t>Six Months Ended June 30, 2023</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6"/>
                <w:szCs w:val="16"/>
                <w:b w:val="1"/>
                <w:bCs w:val="1"/>
                <w:color w:val="auto"/>
                <w:w w:val="92"/>
              </w:rPr>
              <w:t>Six Months Ended June 30, 2022</w:t>
            </w:r>
          </w:p>
        </w:tc>
        <w:tc>
          <w:tcPr>
            <w:tcW w:w="3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Sales Volume</w:t>
            </w:r>
          </w:p>
        </w:tc>
        <w:tc>
          <w:tcPr>
            <w:tcW w:w="1040" w:type="dxa"/>
            <w:vAlign w:val="bottom"/>
            <w:gridSpan w:val="3"/>
            <w:vMerge w:val="restart"/>
          </w:tcPr>
          <w:p>
            <w:pPr>
              <w:jc w:val="right"/>
              <w:ind w:right="259"/>
              <w:spacing w:after="0"/>
              <w:rPr>
                <w:sz w:val="20"/>
                <w:szCs w:val="20"/>
                <w:color w:val="auto"/>
              </w:rPr>
            </w:pPr>
            <w:r>
              <w:rPr>
                <w:rFonts w:ascii="Arial" w:cs="Arial" w:eastAsia="Arial" w:hAnsi="Arial"/>
                <w:sz w:val="16"/>
                <w:szCs w:val="16"/>
                <w:b w:val="1"/>
                <w:bCs w:val="1"/>
                <w:color w:val="auto"/>
              </w:rPr>
              <w:t>Siding</w:t>
            </w:r>
          </w:p>
        </w:tc>
        <w:tc>
          <w:tcPr>
            <w:tcW w:w="860" w:type="dxa"/>
            <w:vAlign w:val="bottom"/>
            <w:gridSpan w:val="3"/>
            <w:vMerge w:val="restart"/>
          </w:tcPr>
          <w:p>
            <w:pPr>
              <w:jc w:val="right"/>
              <w:ind w:right="259"/>
              <w:spacing w:after="0"/>
              <w:rPr>
                <w:sz w:val="20"/>
                <w:szCs w:val="20"/>
                <w:color w:val="auto"/>
              </w:rPr>
            </w:pPr>
            <w:r>
              <w:rPr>
                <w:rFonts w:ascii="Arial" w:cs="Arial" w:eastAsia="Arial" w:hAnsi="Arial"/>
                <w:sz w:val="16"/>
                <w:szCs w:val="16"/>
                <w:b w:val="1"/>
                <w:bCs w:val="1"/>
                <w:color w:val="auto"/>
              </w:rPr>
              <w:t>OSB</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right"/>
              <w:ind w:right="540"/>
              <w:spacing w:after="0" w:line="172" w:lineRule="exact"/>
              <w:rPr>
                <w:sz w:val="20"/>
                <w:szCs w:val="20"/>
                <w:color w:val="auto"/>
              </w:rPr>
            </w:pPr>
            <w:r>
              <w:rPr>
                <w:rFonts w:ascii="Arial" w:cs="Arial" w:eastAsia="Arial" w:hAnsi="Arial"/>
                <w:sz w:val="16"/>
                <w:szCs w:val="16"/>
                <w:b w:val="1"/>
                <w:bCs w:val="1"/>
                <w:color w:val="auto"/>
                <w:w w:val="88"/>
              </w:rPr>
              <w:t>South</w:t>
            </w: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4"/>
                <w:szCs w:val="14"/>
                <w:color w:val="auto"/>
              </w:rPr>
            </w:pPr>
          </w:p>
        </w:tc>
        <w:tc>
          <w:tcPr>
            <w:tcW w:w="1040" w:type="dxa"/>
            <w:vAlign w:val="bottom"/>
            <w:gridSpan w:val="3"/>
            <w:vMerge w:val="restart"/>
          </w:tcPr>
          <w:p>
            <w:pPr>
              <w:jc w:val="right"/>
              <w:ind w:right="279"/>
              <w:spacing w:after="0"/>
              <w:rPr>
                <w:sz w:val="20"/>
                <w:szCs w:val="20"/>
                <w:color w:val="auto"/>
              </w:rPr>
            </w:pPr>
            <w:r>
              <w:rPr>
                <w:rFonts w:ascii="Arial" w:cs="Arial" w:eastAsia="Arial" w:hAnsi="Arial"/>
                <w:sz w:val="16"/>
                <w:szCs w:val="16"/>
                <w:b w:val="1"/>
                <w:bCs w:val="1"/>
                <w:color w:val="auto"/>
              </w:rPr>
              <w:t>Siding</w:t>
            </w:r>
          </w:p>
        </w:tc>
        <w:tc>
          <w:tcPr>
            <w:tcW w:w="960" w:type="dxa"/>
            <w:vAlign w:val="bottom"/>
            <w:gridSpan w:val="3"/>
            <w:vMerge w:val="restart"/>
          </w:tcPr>
          <w:p>
            <w:pPr>
              <w:jc w:val="right"/>
              <w:ind w:right="379"/>
              <w:spacing w:after="0"/>
              <w:rPr>
                <w:sz w:val="20"/>
                <w:szCs w:val="20"/>
                <w:color w:val="auto"/>
              </w:rPr>
            </w:pPr>
            <w:r>
              <w:rPr>
                <w:rFonts w:ascii="Arial" w:cs="Arial" w:eastAsia="Arial" w:hAnsi="Arial"/>
                <w:sz w:val="16"/>
                <w:szCs w:val="16"/>
                <w:b w:val="1"/>
                <w:bCs w:val="1"/>
                <w:color w:val="auto"/>
              </w:rPr>
              <w:t>OSB</w:t>
            </w:r>
          </w:p>
        </w:tc>
        <w:tc>
          <w:tcPr>
            <w:tcW w:w="1040" w:type="dxa"/>
            <w:vAlign w:val="bottom"/>
            <w:gridSpan w:val="4"/>
          </w:tcPr>
          <w:p>
            <w:pPr>
              <w:jc w:val="right"/>
              <w:ind w:right="540"/>
              <w:spacing w:after="0" w:line="172" w:lineRule="exact"/>
              <w:rPr>
                <w:sz w:val="20"/>
                <w:szCs w:val="20"/>
                <w:color w:val="auto"/>
              </w:rPr>
            </w:pPr>
            <w:r>
              <w:rPr>
                <w:rFonts w:ascii="Arial" w:cs="Arial" w:eastAsia="Arial" w:hAnsi="Arial"/>
                <w:sz w:val="16"/>
                <w:szCs w:val="16"/>
                <w:b w:val="1"/>
                <w:bCs w:val="1"/>
                <w:color w:val="auto"/>
              </w:rPr>
              <w:t>South</w:t>
            </w:r>
          </w:p>
        </w:tc>
        <w:tc>
          <w:tcPr>
            <w:tcW w:w="660" w:type="dxa"/>
            <w:vAlign w:val="bottom"/>
            <w:gridSpan w:val="2"/>
            <w:vMerge w:val="restart"/>
          </w:tcPr>
          <w:p>
            <w:pPr>
              <w:jc w:val="right"/>
              <w:ind w:right="30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42"/>
        </w:trPr>
        <w:tc>
          <w:tcPr>
            <w:tcW w:w="3580" w:type="dxa"/>
            <w:vAlign w:val="bottom"/>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2"/>
              </w:rPr>
              <w:t>America</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73"/>
              </w:rPr>
              <w:t>America</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Siding Solutions (MMSF)</w:t>
            </w:r>
          </w:p>
        </w:tc>
        <w:tc>
          <w:tcPr>
            <w:tcW w:w="104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760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gridSpan w:val="5"/>
            <w:shd w:val="clear" w:color="auto" w:fill="CCEEFF"/>
          </w:tcPr>
          <w:p>
            <w:pPr>
              <w:jc w:val="right"/>
              <w:ind w:right="360"/>
              <w:spacing w:after="0"/>
              <w:rPr>
                <w:sz w:val="20"/>
                <w:szCs w:val="20"/>
                <w:color w:val="auto"/>
              </w:rPr>
            </w:pPr>
            <w:r>
              <w:rPr>
                <w:rFonts w:ascii="Arial" w:cs="Arial" w:eastAsia="Arial" w:hAnsi="Arial"/>
                <w:sz w:val="16"/>
                <w:szCs w:val="16"/>
                <w:color w:val="auto"/>
              </w:rPr>
              <w:t>19</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779</w:t>
            </w:r>
          </w:p>
        </w:tc>
        <w:tc>
          <w:tcPr>
            <w:tcW w:w="1160" w:type="dxa"/>
            <w:vAlign w:val="bottom"/>
            <w:gridSpan w:val="4"/>
            <w:shd w:val="clear" w:color="auto" w:fill="CCEEFF"/>
          </w:tcPr>
          <w:p>
            <w:pPr>
              <w:jc w:val="right"/>
              <w:ind w:right="119"/>
              <w:spacing w:after="0"/>
              <w:rPr>
                <w:sz w:val="20"/>
                <w:szCs w:val="20"/>
                <w:color w:val="auto"/>
              </w:rPr>
            </w:pPr>
            <w:r>
              <w:rPr>
                <w:rFonts w:ascii="Arial" w:cs="Arial" w:eastAsia="Arial" w:hAnsi="Arial"/>
                <w:sz w:val="16"/>
                <w:szCs w:val="16"/>
                <w:color w:val="auto"/>
              </w:rPr>
              <w:t>869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gridSpan w:val="4"/>
            <w:shd w:val="clear" w:color="auto" w:fill="CCEEFF"/>
          </w:tcPr>
          <w:p>
            <w:pPr>
              <w:jc w:val="right"/>
              <w:ind w:right="340"/>
              <w:spacing w:after="0"/>
              <w:rPr>
                <w:sz w:val="20"/>
                <w:szCs w:val="20"/>
                <w:color w:val="auto"/>
              </w:rPr>
            </w:pPr>
            <w:r>
              <w:rPr>
                <w:rFonts w:ascii="Arial" w:cs="Arial" w:eastAsia="Arial" w:hAnsi="Arial"/>
                <w:sz w:val="16"/>
                <w:szCs w:val="16"/>
                <w:color w:val="auto"/>
              </w:rPr>
              <w:t>16</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Arial" w:cs="Arial" w:eastAsia="Arial" w:hAnsi="Arial"/>
                <w:sz w:val="16"/>
                <w:szCs w:val="16"/>
                <w:color w:val="auto"/>
              </w:rPr>
              <w:t>OSB - Structural Solutions (MMSF)</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w w:val="87"/>
              </w:rPr>
              <w:t>—</w:t>
            </w:r>
          </w:p>
        </w:tc>
        <w:tc>
          <w:tcPr>
            <w:tcW w:w="860" w:type="dxa"/>
            <w:vAlign w:val="bottom"/>
            <w:gridSpan w:val="3"/>
          </w:tcPr>
          <w:p>
            <w:pPr>
              <w:jc w:val="right"/>
              <w:ind w:right="39"/>
              <w:spacing w:after="0"/>
              <w:rPr>
                <w:sz w:val="20"/>
                <w:szCs w:val="20"/>
                <w:color w:val="auto"/>
              </w:rPr>
            </w:pPr>
            <w:r>
              <w:rPr>
                <w:rFonts w:ascii="Arial" w:cs="Arial" w:eastAsia="Arial" w:hAnsi="Arial"/>
                <w:sz w:val="16"/>
                <w:szCs w:val="16"/>
                <w:color w:val="auto"/>
              </w:rPr>
              <w:t>739</w:t>
            </w:r>
          </w:p>
        </w:tc>
        <w:tc>
          <w:tcPr>
            <w:tcW w:w="1160" w:type="dxa"/>
            <w:vAlign w:val="bottom"/>
            <w:gridSpan w:val="5"/>
          </w:tcPr>
          <w:p>
            <w:pPr>
              <w:jc w:val="right"/>
              <w:ind w:right="360"/>
              <w:spacing w:after="0"/>
              <w:rPr>
                <w:sz w:val="20"/>
                <w:szCs w:val="20"/>
                <w:color w:val="auto"/>
              </w:rPr>
            </w:pPr>
            <w:r>
              <w:rPr>
                <w:rFonts w:ascii="Arial" w:cs="Arial" w:eastAsia="Arial" w:hAnsi="Arial"/>
                <w:sz w:val="16"/>
                <w:szCs w:val="16"/>
                <w:color w:val="auto"/>
              </w:rPr>
              <w:t>255</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jc w:val="right"/>
              <w:ind w:right="119"/>
              <w:spacing w:after="0"/>
              <w:rPr>
                <w:sz w:val="20"/>
                <w:szCs w:val="20"/>
                <w:color w:val="auto"/>
              </w:rPr>
            </w:pPr>
            <w:r>
              <w:rPr>
                <w:rFonts w:ascii="Arial" w:cs="Arial" w:eastAsia="Arial" w:hAnsi="Arial"/>
                <w:sz w:val="16"/>
                <w:szCs w:val="16"/>
                <w:color w:val="auto"/>
                <w:w w:val="87"/>
              </w:rPr>
              <w:t>—</w:t>
            </w:r>
          </w:p>
        </w:tc>
        <w:tc>
          <w:tcPr>
            <w:tcW w:w="960" w:type="dxa"/>
            <w:vAlign w:val="bottom"/>
            <w:gridSpan w:val="3"/>
          </w:tcPr>
          <w:p>
            <w:pPr>
              <w:jc w:val="right"/>
              <w:ind w:right="159"/>
              <w:spacing w:after="0"/>
              <w:rPr>
                <w:sz w:val="20"/>
                <w:szCs w:val="20"/>
                <w:color w:val="auto"/>
              </w:rPr>
            </w:pPr>
            <w:r>
              <w:rPr>
                <w:rFonts w:ascii="Arial" w:cs="Arial" w:eastAsia="Arial" w:hAnsi="Arial"/>
                <w:sz w:val="16"/>
                <w:szCs w:val="16"/>
                <w:color w:val="auto"/>
              </w:rPr>
              <w:t>1,040</w:t>
            </w:r>
          </w:p>
        </w:tc>
        <w:tc>
          <w:tcPr>
            <w:tcW w:w="1040" w:type="dxa"/>
            <w:vAlign w:val="bottom"/>
            <w:gridSpan w:val="4"/>
          </w:tcPr>
          <w:p>
            <w:pPr>
              <w:jc w:val="right"/>
              <w:ind w:right="340"/>
              <w:spacing w:after="0"/>
              <w:rPr>
                <w:sz w:val="20"/>
                <w:szCs w:val="20"/>
                <w:color w:val="auto"/>
              </w:rPr>
            </w:pPr>
            <w:r>
              <w:rPr>
                <w:rFonts w:ascii="Arial" w:cs="Arial" w:eastAsia="Arial" w:hAnsi="Arial"/>
                <w:sz w:val="16"/>
                <w:szCs w:val="16"/>
                <w:color w:val="auto"/>
              </w:rPr>
              <w:t>293</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OSB - commodity (MMSF)</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7"/>
              </w:rPr>
              <w:t>—</w:t>
            </w:r>
          </w:p>
        </w:tc>
        <w:tc>
          <w:tcPr>
            <w:tcW w:w="86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736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7"/>
              </w:rPr>
              <w:t>—</w:t>
            </w:r>
          </w:p>
        </w:tc>
        <w:tc>
          <w:tcPr>
            <w:tcW w:w="96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897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OEE of each of our mills to track improvements in the utilization and productivity of our manufacturing assets. OEE is a composite metric that considers asset uptime (adjusted for capital project downtime and similar events), production rates, and finished product quality. We believe that when used in conjunction with other metrics, OEE can be a useful measure for evaluating our ability to generate profits, and that providing this measure should allow interested persons to more readily monitor operational improvements. OEE for the three and six months ended June 30, 2023 and 2022, for each of our segments is listed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32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6"/>
                <w:szCs w:val="16"/>
                <w:b w:val="1"/>
                <w:bCs w:val="1"/>
                <w:color w:val="auto"/>
              </w:rPr>
              <w:t>Three Months Ended June 30,</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6"/>
                <w:szCs w:val="16"/>
                <w:b w:val="1"/>
                <w:bCs w:val="1"/>
                <w:color w:val="auto"/>
              </w:rPr>
              <w:t>Six Months Ended June 30,</w:t>
            </w:r>
          </w:p>
        </w:tc>
        <w:tc>
          <w:tcPr>
            <w:tcW w:w="560" w:type="dxa"/>
            <w:vAlign w:val="bottom"/>
            <w:tcBorders>
              <w:bottom w:val="single" w:sz="8" w:color="auto"/>
            </w:tcBorders>
          </w:tcPr>
          <w:p>
            <w:pPr>
              <w:spacing w:after="0"/>
              <w:rPr>
                <w:sz w:val="18"/>
                <w:szCs w:val="18"/>
                <w:color w:val="auto"/>
              </w:rPr>
            </w:pPr>
          </w:p>
        </w:tc>
      </w:tr>
      <w:tr>
        <w:trPr>
          <w:trHeight w:val="210"/>
        </w:trPr>
        <w:tc>
          <w:tcPr>
            <w:tcW w:w="35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19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2022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19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2022</w:t>
            </w:r>
          </w:p>
        </w:tc>
        <w:tc>
          <w:tcPr>
            <w:tcW w:w="560" w:type="dxa"/>
            <w:vAlign w:val="bottom"/>
          </w:tcPr>
          <w:p>
            <w:pPr>
              <w:spacing w:after="0"/>
              <w:rPr>
                <w:sz w:val="18"/>
                <w:szCs w:val="18"/>
                <w:color w:val="auto"/>
              </w:rPr>
            </w:pPr>
          </w:p>
        </w:tc>
      </w:tr>
      <w:tr>
        <w:trPr>
          <w:trHeight w:val="212"/>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Siding</w:t>
            </w:r>
          </w:p>
        </w:tc>
        <w:tc>
          <w:tcPr>
            <w:tcW w:w="12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75 %</w:t>
            </w:r>
          </w:p>
        </w:tc>
      </w:tr>
      <w:tr>
        <w:trPr>
          <w:trHeight w:val="213"/>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OSB</w:t>
            </w:r>
          </w:p>
        </w:tc>
        <w:tc>
          <w:tcPr>
            <w:tcW w:w="540" w:type="dxa"/>
            <w:vAlign w:val="bottom"/>
          </w:tcPr>
          <w:p>
            <w:pPr>
              <w:jc w:val="right"/>
              <w:spacing w:after="0"/>
              <w:rPr>
                <w:sz w:val="20"/>
                <w:szCs w:val="20"/>
                <w:color w:val="auto"/>
              </w:rPr>
            </w:pPr>
            <w:r>
              <w:rPr>
                <w:rFonts w:ascii="Arial" w:cs="Arial" w:eastAsia="Arial" w:hAnsi="Arial"/>
                <w:sz w:val="16"/>
                <w:szCs w:val="16"/>
                <w:color w:val="auto"/>
              </w:rPr>
              <w:t>75 %</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71 %</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75 %</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73 %</w:t>
            </w:r>
          </w:p>
        </w:tc>
      </w:tr>
      <w:tr>
        <w:trPr>
          <w:trHeight w:val="21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South America</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results of operations for each of our segments are discussed below, as are the results of operations for the “other” category, which comprises other products that are not individually significant. See "Note 17 - Selected Segment Data" of the Notes to the Condensed Consolidated Financial Statements included in "Item 1 - Financial Statements" of this quarterly report on Form 10-Q for further information regarding our segments.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Siding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Siding segment serves diverse end markets with a broad product offering of engineered wood siding, trim, and fascia, including LP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SmartSide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Trim</w:t>
      </w:r>
    </w:p>
    <w:p>
      <w:pPr>
        <w:spacing w:after="0" w:line="2" w:lineRule="exact"/>
        <w:rPr>
          <w:sz w:val="20"/>
          <w:szCs w:val="20"/>
          <w:color w:val="auto"/>
        </w:rPr>
      </w:pPr>
    </w:p>
    <w:p>
      <w:pPr>
        <w:ind w:firstLine="8"/>
        <w:spacing w:after="0" w:line="219" w:lineRule="auto"/>
        <w:tabs>
          <w:tab w:leader="none" w:pos="189" w:val="left"/>
        </w:tabs>
        <w:numPr>
          <w:ilvl w:val="0"/>
          <w:numId w:val="5"/>
        </w:numPr>
        <w:rPr>
          <w:rFonts w:ascii="Arial" w:cs="Arial" w:eastAsia="Arial" w:hAnsi="Arial"/>
          <w:sz w:val="18"/>
          <w:szCs w:val="18"/>
          <w:color w:val="auto"/>
        </w:rPr>
      </w:pPr>
      <w:r>
        <w:rPr>
          <w:rFonts w:ascii="Arial" w:cs="Arial" w:eastAsia="Arial" w:hAnsi="Arial"/>
          <w:sz w:val="18"/>
          <w:szCs w:val="18"/>
          <w:color w:val="auto"/>
        </w:rPr>
        <w:t>Siding, LP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SmartSide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ExpertFinish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Trim &amp; Siding, LP BuilderSeries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Lap Siding, and LP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Outdoor Building Solutions</w:t>
      </w:r>
      <w:r>
        <w:rPr>
          <w:rFonts w:ascii="Arial" w:cs="Arial" w:eastAsia="Arial" w:hAnsi="Arial"/>
          <w:sz w:val="10"/>
          <w:szCs w:val="10"/>
          <w:color w:val="auto"/>
        </w:rPr>
        <w:t>TM</w:t>
      </w:r>
      <w:r>
        <w:rPr>
          <w:rFonts w:ascii="Arial" w:cs="Arial" w:eastAsia="Arial" w:hAnsi="Arial"/>
          <w:sz w:val="18"/>
          <w:szCs w:val="18"/>
          <w:color w:val="auto"/>
        </w:rPr>
        <w:t xml:space="preserve"> (collectively referred to as Siding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Segment Net sales and Adjusted EBITDA for this segment were as follows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ind w:right="699"/>
              <w:spacing w:after="0"/>
              <w:rPr>
                <w:sz w:val="20"/>
                <w:szCs w:val="20"/>
                <w:color w:val="auto"/>
              </w:rPr>
            </w:pPr>
            <w:r>
              <w:rPr>
                <w:rFonts w:ascii="Arial" w:cs="Arial" w:eastAsia="Arial" w:hAnsi="Arial"/>
                <w:sz w:val="16"/>
                <w:szCs w:val="16"/>
                <w:b w:val="1"/>
                <w:bCs w:val="1"/>
                <w:color w:val="auto"/>
                <w:w w:val="92"/>
              </w:rPr>
              <w:t>Three Months Ended June 30,</w:t>
            </w:r>
          </w:p>
        </w:tc>
        <w:tc>
          <w:tcPr>
            <w:tcW w:w="1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799"/>
              <w:spacing w:after="0"/>
              <w:rPr>
                <w:sz w:val="20"/>
                <w:szCs w:val="20"/>
                <w:color w:val="auto"/>
              </w:rPr>
            </w:pPr>
            <w:r>
              <w:rPr>
                <w:rFonts w:ascii="Arial" w:cs="Arial" w:eastAsia="Arial" w:hAnsi="Arial"/>
                <w:sz w:val="16"/>
                <w:szCs w:val="16"/>
                <w:b w:val="1"/>
                <w:bCs w:val="1"/>
                <w:color w:val="auto"/>
                <w:w w:val="97"/>
              </w:rPr>
              <w:t>Six Months Ended June 30,</w:t>
            </w:r>
          </w:p>
        </w:tc>
      </w:tr>
      <w:tr>
        <w:trPr>
          <w:trHeight w:val="210"/>
        </w:trPr>
        <w:tc>
          <w:tcPr>
            <w:tcW w:w="37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320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80" w:type="dxa"/>
            <w:vAlign w:val="bottom"/>
            <w:gridSpan w:val="2"/>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651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7"/>
              </w:rPr>
              <w:t>126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(21)%</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Net sales in this segment by product line were as follows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719"/>
              <w:spacing w:after="0"/>
              <w:rPr>
                <w:sz w:val="20"/>
                <w:szCs w:val="20"/>
                <w:color w:val="auto"/>
              </w:rPr>
            </w:pPr>
            <w:r>
              <w:rPr>
                <w:rFonts w:ascii="Arial" w:cs="Arial" w:eastAsia="Arial" w:hAnsi="Arial"/>
                <w:sz w:val="16"/>
                <w:szCs w:val="16"/>
                <w:b w:val="1"/>
                <w:bCs w:val="1"/>
                <w:color w:val="auto"/>
                <w:w w:val="92"/>
              </w:rPr>
              <w:t>Three Months Ended June 30,</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819"/>
              <w:spacing w:after="0"/>
              <w:rPr>
                <w:sz w:val="20"/>
                <w:szCs w:val="20"/>
                <w:color w:val="auto"/>
              </w:rPr>
            </w:pPr>
            <w:r>
              <w:rPr>
                <w:rFonts w:ascii="Arial" w:cs="Arial" w:eastAsia="Arial" w:hAnsi="Arial"/>
                <w:sz w:val="16"/>
                <w:szCs w:val="16"/>
                <w:b w:val="1"/>
                <w:bCs w:val="1"/>
                <w:color w:val="auto"/>
                <w:w w:val="97"/>
              </w:rPr>
              <w:t>Six Months Ended June 30,</w:t>
            </w:r>
          </w:p>
        </w:tc>
      </w:tr>
      <w:tr>
        <w:trPr>
          <w:trHeight w:val="210"/>
        </w:trPr>
        <w:tc>
          <w:tcPr>
            <w:tcW w:w="37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Siding Solutions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318</w:t>
            </w:r>
          </w:p>
        </w:tc>
        <w:tc>
          <w:tcPr>
            <w:tcW w:w="3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860" w:type="dxa"/>
            <w:vAlign w:val="bottom"/>
            <w:gridSpan w:val="2"/>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647</w:t>
            </w:r>
          </w:p>
        </w:tc>
        <w:tc>
          <w:tcPr>
            <w:tcW w:w="3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Other</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54 %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26 %</w:t>
            </w:r>
          </w:p>
        </w:tc>
      </w:tr>
      <w:tr>
        <w:trPr>
          <w:trHeight w:val="238"/>
        </w:trPr>
        <w:tc>
          <w:tcPr>
            <w:tcW w:w="3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76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320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651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Percent changes in average Net sales prices and unit shipments for the three and six months ended June 30, 2023, compared to the corresponding periods in 2022,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320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auto"/>
                <w:w w:val="92"/>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Six Months Ended</w:t>
            </w:r>
          </w:p>
        </w:tc>
      </w:tr>
      <w:tr>
        <w:trPr>
          <w:trHeight w:val="213"/>
        </w:trPr>
        <w:tc>
          <w:tcPr>
            <w:tcW w:w="3720" w:type="dxa"/>
            <w:vAlign w:val="bottom"/>
          </w:tcPr>
          <w:p>
            <w:pPr>
              <w:spacing w:after="0"/>
              <w:rPr>
                <w:sz w:val="18"/>
                <w:szCs w:val="18"/>
                <w:color w:val="auto"/>
              </w:rPr>
            </w:pPr>
          </w:p>
        </w:tc>
        <w:tc>
          <w:tcPr>
            <w:tcW w:w="3200" w:type="dxa"/>
            <w:vAlign w:val="bottom"/>
            <w:tcBorders>
              <w:bottom w:val="single" w:sz="8" w:color="auto"/>
            </w:tcBorders>
            <w:gridSpan w:val="4"/>
          </w:tcPr>
          <w:p>
            <w:pPr>
              <w:jc w:val="center"/>
              <w:ind w:left="419"/>
              <w:spacing w:after="0"/>
              <w:rPr>
                <w:sz w:val="20"/>
                <w:szCs w:val="20"/>
                <w:color w:val="auto"/>
              </w:rPr>
            </w:pPr>
            <w:r>
              <w:rPr>
                <w:rFonts w:ascii="Arial" w:cs="Arial" w:eastAsia="Arial" w:hAnsi="Arial"/>
                <w:sz w:val="16"/>
                <w:szCs w:val="16"/>
                <w:b w:val="1"/>
                <w:bCs w:val="1"/>
                <w:color w:val="auto"/>
                <w:w w:val="88"/>
              </w:rPr>
              <w:t>June 30, 2023 versus 2022</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June 30, 2023 versus 2022</w:t>
            </w:r>
          </w:p>
        </w:tc>
      </w:tr>
      <w:tr>
        <w:trPr>
          <w:trHeight w:val="162"/>
        </w:trPr>
        <w:tc>
          <w:tcPr>
            <w:tcW w:w="3720" w:type="dxa"/>
            <w:vAlign w:val="bottom"/>
          </w:tcPr>
          <w:p>
            <w:pPr>
              <w:spacing w:after="0"/>
              <w:rPr>
                <w:sz w:val="14"/>
                <w:szCs w:val="14"/>
                <w:color w:val="auto"/>
              </w:rPr>
            </w:pPr>
          </w:p>
        </w:tc>
        <w:tc>
          <w:tcPr>
            <w:tcW w:w="1420" w:type="dxa"/>
            <w:vAlign w:val="bottom"/>
          </w:tcPr>
          <w:p>
            <w:pPr>
              <w:ind w:left="500"/>
              <w:spacing w:after="0" w:line="162" w:lineRule="exact"/>
              <w:rPr>
                <w:sz w:val="20"/>
                <w:szCs w:val="20"/>
                <w:color w:val="auto"/>
              </w:rPr>
            </w:pPr>
            <w:r>
              <w:rPr>
                <w:rFonts w:ascii="Arial" w:cs="Arial" w:eastAsia="Arial" w:hAnsi="Arial"/>
                <w:sz w:val="16"/>
                <w:szCs w:val="16"/>
                <w:color w:val="auto"/>
              </w:rPr>
              <w:t>Average Net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left="419"/>
              <w:spacing w:after="0" w:line="162" w:lineRule="exact"/>
              <w:rPr>
                <w:sz w:val="20"/>
                <w:szCs w:val="20"/>
                <w:color w:val="auto"/>
              </w:rPr>
            </w:pPr>
            <w:r>
              <w:rPr>
                <w:rFonts w:ascii="Arial" w:cs="Arial" w:eastAsia="Arial" w:hAnsi="Arial"/>
                <w:sz w:val="16"/>
                <w:szCs w:val="16"/>
                <w:color w:val="auto"/>
                <w:w w:val="98"/>
              </w:rPr>
              <w:t>Unit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ind w:left="500"/>
              <w:spacing w:after="0" w:line="162" w:lineRule="exact"/>
              <w:rPr>
                <w:sz w:val="20"/>
                <w:szCs w:val="20"/>
                <w:color w:val="auto"/>
              </w:rPr>
            </w:pPr>
            <w:r>
              <w:rPr>
                <w:rFonts w:ascii="Arial" w:cs="Arial" w:eastAsia="Arial" w:hAnsi="Arial"/>
                <w:sz w:val="16"/>
                <w:szCs w:val="16"/>
                <w:color w:val="auto"/>
              </w:rPr>
              <w:t>Average Net</w:t>
            </w:r>
          </w:p>
        </w:tc>
        <w:tc>
          <w:tcPr>
            <w:tcW w:w="120" w:type="dxa"/>
            <w:vAlign w:val="bottom"/>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Arial" w:cs="Arial" w:eastAsia="Arial" w:hAnsi="Arial"/>
                <w:sz w:val="16"/>
                <w:szCs w:val="16"/>
                <w:color w:val="auto"/>
                <w:w w:val="98"/>
              </w:rPr>
              <w:t>Unit</w:t>
            </w:r>
          </w:p>
        </w:tc>
      </w:tr>
      <w:tr>
        <w:trPr>
          <w:trHeight w:val="209"/>
        </w:trPr>
        <w:tc>
          <w:tcPr>
            <w:tcW w:w="37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Selling Price</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w w:val="89"/>
              </w:rPr>
              <w:t>Shipments</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Selling Price</w:t>
            </w:r>
          </w:p>
        </w:tc>
        <w:tc>
          <w:tcPr>
            <w:tcW w:w="12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Shipments</w:t>
            </w:r>
          </w:p>
        </w:tc>
      </w:tr>
      <w:tr>
        <w:trPr>
          <w:trHeight w:val="213"/>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Siding Solutions</w:t>
            </w: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effects of list price increases drove year-over-year increases in the average net selling price for the three and six months ended June 30, 2023. The volume decreases for the three and six months ended June 30, 2023 were driven by challenging new and existing home selling markets and elevated levels of channel inventory compared to the prior periods.</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Adjusted EBITDA decreased year-over-year by $19 million in the second quarter of 2023, reflecting the net impact of lower volumes, $6 million of raw material inflation, and $6 million of discretionary investments in support of future growth, including siding mill conversions and sales and marketing costs, partially offset by higher average selling prices. The year-over-year decrease in Adjusted EBITDA of $34 million for the six months ended June 30, 2023, reflects the net impact of lower volumes, $20 million of raw material inflation, and $9 million of discretionary investments in support of future growth, including siding mill conversions and sales and marketing costs, partially offset by higher average selling prices.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OSB</w:t>
      </w:r>
    </w:p>
    <w:p>
      <w:pPr>
        <w:spacing w:after="0" w:line="117"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The OSB segment manufactures and distributes OSB structural panel products, including our value-added OSB portfolio known as LP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Structural Solutions (which includes LP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TechShield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Radiant Barrier, LP WeatherLogic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Air &amp; Water Barrier, LP Legacy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Premium Sub-Flooring, LP NovaCore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Thermal Insulated Sheathing, LP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FlameBlock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Fire-Rated Sheathing, and LP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TopNotch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Sub-Flooring). OSB is manufactured using wood strands arranged in layers and bonded with resins.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Segment Net sales and Adjusted EBITDA for this segment were as follows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699"/>
              <w:spacing w:after="0"/>
              <w:rPr>
                <w:sz w:val="20"/>
                <w:szCs w:val="20"/>
                <w:color w:val="auto"/>
              </w:rPr>
            </w:pPr>
            <w:r>
              <w:rPr>
                <w:rFonts w:ascii="Arial" w:cs="Arial" w:eastAsia="Arial" w:hAnsi="Arial"/>
                <w:sz w:val="16"/>
                <w:szCs w:val="16"/>
                <w:b w:val="1"/>
                <w:bCs w:val="1"/>
                <w:color w:val="auto"/>
                <w:w w:val="93"/>
              </w:rPr>
              <w:t>Three Months Ended June 30,</w:t>
            </w:r>
          </w:p>
        </w:tc>
        <w:tc>
          <w:tcPr>
            <w:tcW w:w="1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819"/>
              <w:spacing w:after="0"/>
              <w:rPr>
                <w:sz w:val="20"/>
                <w:szCs w:val="20"/>
                <w:color w:val="auto"/>
              </w:rPr>
            </w:pPr>
            <w:r>
              <w:rPr>
                <w:rFonts w:ascii="Arial" w:cs="Arial" w:eastAsia="Arial" w:hAnsi="Arial"/>
                <w:sz w:val="16"/>
                <w:szCs w:val="16"/>
                <w:b w:val="1"/>
                <w:bCs w:val="1"/>
                <w:color w:val="auto"/>
                <w:w w:val="96"/>
              </w:rPr>
              <w:t>Six Months Ended June 30,</w:t>
            </w:r>
          </w:p>
        </w:tc>
      </w:tr>
      <w:tr>
        <w:trPr>
          <w:trHeight w:val="210"/>
        </w:trPr>
        <w:tc>
          <w:tcPr>
            <w:tcW w:w="37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80" w:type="dxa"/>
            <w:vAlign w:val="bottom"/>
            <w:gridSpan w:val="2"/>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418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908</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7" w:name="page28"/>
    <w:bookmarkEnd w:id="27"/>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sales in this segment by product line were as follows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719"/>
              <w:spacing w:after="0"/>
              <w:rPr>
                <w:sz w:val="20"/>
                <w:szCs w:val="20"/>
                <w:color w:val="auto"/>
              </w:rPr>
            </w:pPr>
            <w:r>
              <w:rPr>
                <w:rFonts w:ascii="Arial" w:cs="Arial" w:eastAsia="Arial" w:hAnsi="Arial"/>
                <w:sz w:val="16"/>
                <w:szCs w:val="16"/>
                <w:b w:val="1"/>
                <w:bCs w:val="1"/>
                <w:color w:val="auto"/>
                <w:w w:val="93"/>
              </w:rPr>
              <w:t>Three Months Ended June 30,</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819"/>
              <w:spacing w:after="0"/>
              <w:rPr>
                <w:sz w:val="20"/>
                <w:szCs w:val="20"/>
                <w:color w:val="auto"/>
              </w:rPr>
            </w:pPr>
            <w:r>
              <w:rPr>
                <w:rFonts w:ascii="Arial" w:cs="Arial" w:eastAsia="Arial" w:hAnsi="Arial"/>
                <w:sz w:val="16"/>
                <w:szCs w:val="16"/>
                <w:b w:val="1"/>
                <w:bCs w:val="1"/>
                <w:color w:val="auto"/>
                <w:w w:val="97"/>
              </w:rPr>
              <w:t>Six Months Ended June 30,</w:t>
            </w:r>
          </w:p>
        </w:tc>
      </w:tr>
      <w:tr>
        <w:trPr>
          <w:trHeight w:val="210"/>
        </w:trPr>
        <w:tc>
          <w:tcPr>
            <w:tcW w:w="37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OSB - Structural Solutions</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127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860" w:type="dxa"/>
            <w:vAlign w:val="bottom"/>
            <w:gridSpan w:val="2"/>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239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 %</w:t>
            </w: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OSB - commodity</w:t>
            </w: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7"/>
              </w:rPr>
              <w:t>100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621</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(72) %</w:t>
            </w:r>
          </w:p>
        </w:tc>
      </w:tr>
      <w:tr>
        <w:trPr>
          <w:trHeight w:val="216"/>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7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10"/>
        </w:trPr>
        <w:tc>
          <w:tcPr>
            <w:tcW w:w="3760" w:type="dxa"/>
            <w:vAlign w:val="bottom"/>
          </w:tcPr>
          <w:p>
            <w:pPr>
              <w:ind w:left="360"/>
              <w:spacing w:after="0"/>
              <w:rPr>
                <w:sz w:val="20"/>
                <w:szCs w:val="20"/>
                <w:color w:val="auto"/>
              </w:rPr>
            </w:pPr>
            <w:r>
              <w:rPr>
                <w:rFonts w:ascii="Arial" w:cs="Arial" w:eastAsia="Arial" w:hAnsi="Arial"/>
                <w:sz w:val="16"/>
                <w:szCs w:val="16"/>
                <w:color w:val="auto"/>
              </w:rPr>
              <w:t>Total</w:t>
            </w:r>
          </w:p>
        </w:tc>
        <w:tc>
          <w:tcPr>
            <w:tcW w:w="740" w:type="dxa"/>
            <w:vAlign w:val="bottom"/>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w w:val="97"/>
              </w:rPr>
              <w:t>229</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673</w:t>
            </w: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rPr>
              <w:t>(66)%</w:t>
            </w:r>
          </w:p>
        </w:tc>
        <w:tc>
          <w:tcPr>
            <w:tcW w:w="8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w w:val="97"/>
              </w:rPr>
              <w:t>418</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1,417</w:t>
            </w: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rPr>
              <w:t>(70)%</w:t>
            </w:r>
          </w:p>
        </w:tc>
      </w:tr>
      <w:tr>
        <w:trPr>
          <w:trHeight w:val="23"/>
        </w:trPr>
        <w:tc>
          <w:tcPr>
            <w:tcW w:w="376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Percent changes in average Net sales prices and unit shipments for the three and six months ended June 30, 2023, compared to the corresponding periods in 2022,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318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80" w:type="dxa"/>
            <w:vAlign w:val="bottom"/>
            <w:gridSpan w:val="2"/>
          </w:tcPr>
          <w:p>
            <w:pPr>
              <w:jc w:val="right"/>
              <w:ind w:right="1119"/>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3780" w:type="dxa"/>
            <w:vAlign w:val="bottom"/>
          </w:tcPr>
          <w:p>
            <w:pPr>
              <w:spacing w:after="0"/>
              <w:rPr>
                <w:sz w:val="18"/>
                <w:szCs w:val="18"/>
                <w:color w:val="auto"/>
              </w:rPr>
            </w:pPr>
          </w:p>
        </w:tc>
        <w:tc>
          <w:tcPr>
            <w:tcW w:w="318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6"/>
                <w:szCs w:val="16"/>
                <w:b w:val="1"/>
                <w:bCs w:val="1"/>
                <w:color w:val="auto"/>
              </w:rPr>
              <w:t>June 30, 2023 versus 2022</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tcBorders>
              <w:bottom w:val="single" w:sz="8" w:color="auto"/>
            </w:tcBorders>
            <w:gridSpan w:val="2"/>
          </w:tcPr>
          <w:p>
            <w:pPr>
              <w:jc w:val="right"/>
              <w:ind w:right="859"/>
              <w:spacing w:after="0"/>
              <w:rPr>
                <w:sz w:val="20"/>
                <w:szCs w:val="20"/>
                <w:color w:val="auto"/>
              </w:rPr>
            </w:pPr>
            <w:r>
              <w:rPr>
                <w:rFonts w:ascii="Arial" w:cs="Arial" w:eastAsia="Arial" w:hAnsi="Arial"/>
                <w:sz w:val="16"/>
                <w:szCs w:val="16"/>
                <w:b w:val="1"/>
                <w:bCs w:val="1"/>
                <w:color w:val="auto"/>
              </w:rPr>
              <w:t>June 30, 2023 versus 2022</w:t>
            </w:r>
          </w:p>
        </w:tc>
      </w:tr>
      <w:tr>
        <w:trPr>
          <w:trHeight w:val="162"/>
        </w:trPr>
        <w:tc>
          <w:tcPr>
            <w:tcW w:w="3780" w:type="dxa"/>
            <w:vAlign w:val="bottom"/>
          </w:tcPr>
          <w:p>
            <w:pPr>
              <w:spacing w:after="0"/>
              <w:rPr>
                <w:sz w:val="14"/>
                <w:szCs w:val="14"/>
                <w:color w:val="auto"/>
              </w:rPr>
            </w:pPr>
          </w:p>
        </w:tc>
        <w:tc>
          <w:tcPr>
            <w:tcW w:w="1340" w:type="dxa"/>
            <w:vAlign w:val="bottom"/>
          </w:tcPr>
          <w:p>
            <w:pPr>
              <w:ind w:left="480"/>
              <w:spacing w:after="0" w:line="162" w:lineRule="exact"/>
              <w:rPr>
                <w:sz w:val="20"/>
                <w:szCs w:val="20"/>
                <w:color w:val="auto"/>
              </w:rPr>
            </w:pPr>
            <w:r>
              <w:rPr>
                <w:rFonts w:ascii="Arial" w:cs="Arial" w:eastAsia="Arial" w:hAnsi="Arial"/>
                <w:sz w:val="16"/>
                <w:szCs w:val="16"/>
                <w:color w:val="auto"/>
                <w:w w:val="94"/>
              </w:rPr>
              <w:t>Average Net</w:t>
            </w:r>
          </w:p>
        </w:tc>
        <w:tc>
          <w:tcPr>
            <w:tcW w:w="1840" w:type="dxa"/>
            <w:vAlign w:val="bottom"/>
          </w:tcPr>
          <w:p>
            <w:pPr>
              <w:jc w:val="right"/>
              <w:ind w:right="159"/>
              <w:spacing w:after="0" w:line="162" w:lineRule="exact"/>
              <w:rPr>
                <w:sz w:val="20"/>
                <w:szCs w:val="20"/>
                <w:color w:val="auto"/>
              </w:rPr>
            </w:pPr>
            <w:r>
              <w:rPr>
                <w:rFonts w:ascii="Arial" w:cs="Arial" w:eastAsia="Arial" w:hAnsi="Arial"/>
                <w:sz w:val="16"/>
                <w:szCs w:val="16"/>
                <w:color w:val="auto"/>
              </w:rPr>
              <w:t>Unit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jc w:val="right"/>
              <w:ind w:right="739"/>
              <w:spacing w:after="0" w:line="162" w:lineRule="exact"/>
              <w:rPr>
                <w:sz w:val="20"/>
                <w:szCs w:val="20"/>
                <w:color w:val="auto"/>
              </w:rPr>
            </w:pPr>
            <w:r>
              <w:rPr>
                <w:rFonts w:ascii="Arial" w:cs="Arial" w:eastAsia="Arial" w:hAnsi="Arial"/>
                <w:sz w:val="16"/>
                <w:szCs w:val="16"/>
                <w:color w:val="auto"/>
              </w:rPr>
              <w:t>Average Net</w:t>
            </w:r>
          </w:p>
        </w:tc>
        <w:tc>
          <w:tcPr>
            <w:tcW w:w="1560" w:type="dxa"/>
            <w:vAlign w:val="bottom"/>
          </w:tcPr>
          <w:p>
            <w:pPr>
              <w:jc w:val="right"/>
              <w:ind w:right="659"/>
              <w:spacing w:after="0" w:line="162" w:lineRule="exact"/>
              <w:rPr>
                <w:sz w:val="20"/>
                <w:szCs w:val="20"/>
                <w:color w:val="auto"/>
              </w:rPr>
            </w:pPr>
            <w:r>
              <w:rPr>
                <w:rFonts w:ascii="Arial" w:cs="Arial" w:eastAsia="Arial" w:hAnsi="Arial"/>
                <w:sz w:val="16"/>
                <w:szCs w:val="16"/>
                <w:color w:val="auto"/>
              </w:rPr>
              <w:t>Unit</w:t>
            </w:r>
          </w:p>
        </w:tc>
      </w:tr>
      <w:tr>
        <w:trPr>
          <w:trHeight w:val="209"/>
        </w:trPr>
        <w:tc>
          <w:tcPr>
            <w:tcW w:w="3780" w:type="dxa"/>
            <w:vAlign w:val="bottom"/>
          </w:tcPr>
          <w:p>
            <w:pPr>
              <w:spacing w:after="0"/>
              <w:rPr>
                <w:sz w:val="18"/>
                <w:szCs w:val="18"/>
                <w:color w:val="auto"/>
              </w:rPr>
            </w:pPr>
          </w:p>
        </w:tc>
        <w:tc>
          <w:tcPr>
            <w:tcW w:w="1340" w:type="dxa"/>
            <w:vAlign w:val="bottom"/>
          </w:tcPr>
          <w:p>
            <w:pPr>
              <w:ind w:left="480"/>
              <w:spacing w:after="0"/>
              <w:rPr>
                <w:sz w:val="20"/>
                <w:szCs w:val="20"/>
                <w:color w:val="auto"/>
              </w:rPr>
            </w:pPr>
            <w:r>
              <w:rPr>
                <w:rFonts w:ascii="Arial" w:cs="Arial" w:eastAsia="Arial" w:hAnsi="Arial"/>
                <w:sz w:val="16"/>
                <w:szCs w:val="16"/>
                <w:color w:val="auto"/>
                <w:w w:val="94"/>
              </w:rPr>
              <w:t>Selling Price</w:t>
            </w:r>
          </w:p>
        </w:tc>
        <w:tc>
          <w:tcPr>
            <w:tcW w:w="1840" w:type="dxa"/>
            <w:vAlign w:val="bottom"/>
          </w:tcPr>
          <w:p>
            <w:pPr>
              <w:jc w:val="right"/>
              <w:spacing w:after="0"/>
              <w:rPr>
                <w:sz w:val="20"/>
                <w:szCs w:val="20"/>
                <w:color w:val="auto"/>
              </w:rPr>
            </w:pPr>
            <w:r>
              <w:rPr>
                <w:rFonts w:ascii="Arial" w:cs="Arial" w:eastAsia="Arial" w:hAnsi="Arial"/>
                <w:sz w:val="16"/>
                <w:szCs w:val="16"/>
                <w:color w:val="auto"/>
              </w:rPr>
              <w:t>Shipments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right"/>
              <w:ind w:right="719"/>
              <w:spacing w:after="0"/>
              <w:rPr>
                <w:sz w:val="20"/>
                <w:szCs w:val="20"/>
                <w:color w:val="auto"/>
              </w:rPr>
            </w:pPr>
            <w:r>
              <w:rPr>
                <w:rFonts w:ascii="Arial" w:cs="Arial" w:eastAsia="Arial" w:hAnsi="Arial"/>
                <w:sz w:val="16"/>
                <w:szCs w:val="16"/>
                <w:color w:val="auto"/>
              </w:rPr>
              <w:t>Selling Price</w:t>
            </w:r>
          </w:p>
        </w:tc>
        <w:tc>
          <w:tcPr>
            <w:tcW w:w="1560" w:type="dxa"/>
            <w:vAlign w:val="bottom"/>
          </w:tcPr>
          <w:p>
            <w:pPr>
              <w:jc w:val="right"/>
              <w:ind w:right="459"/>
              <w:spacing w:after="0"/>
              <w:rPr>
                <w:sz w:val="20"/>
                <w:szCs w:val="20"/>
                <w:color w:val="auto"/>
              </w:rPr>
            </w:pPr>
            <w:r>
              <w:rPr>
                <w:rFonts w:ascii="Arial" w:cs="Arial" w:eastAsia="Arial" w:hAnsi="Arial"/>
                <w:sz w:val="16"/>
                <w:szCs w:val="16"/>
                <w:color w:val="auto"/>
              </w:rPr>
              <w:t>Shipments</w:t>
            </w:r>
          </w:p>
        </w:tc>
      </w:tr>
      <w:tr>
        <w:trPr>
          <w:trHeight w:val="21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OSB - Structural Solutions</w:t>
            </w:r>
          </w:p>
        </w:tc>
        <w:tc>
          <w:tcPr>
            <w:tcW w:w="1840" w:type="dxa"/>
            <w:vAlign w:val="bottom"/>
            <w:shd w:val="clear" w:color="auto" w:fill="CCEEFF"/>
          </w:tcPr>
          <w:p>
            <w:pPr>
              <w:jc w:val="right"/>
              <w:ind w:right="1339"/>
              <w:spacing w:after="0"/>
              <w:rPr>
                <w:sz w:val="20"/>
                <w:szCs w:val="20"/>
                <w:color w:val="auto"/>
              </w:rPr>
            </w:pPr>
            <w:r>
              <w:rPr>
                <w:rFonts w:ascii="Arial" w:cs="Arial" w:eastAsia="Arial" w:hAnsi="Arial"/>
                <w:sz w:val="16"/>
                <w:szCs w:val="16"/>
                <w:color w:val="auto"/>
                <w:w w:val="93"/>
              </w:rPr>
              <w:t>(59)%</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24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(58)%</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0"/>
        </w:trPr>
        <w:tc>
          <w:tcPr>
            <w:tcW w:w="5120" w:type="dxa"/>
            <w:vAlign w:val="bottom"/>
            <w:gridSpan w:val="2"/>
          </w:tcPr>
          <w:p>
            <w:pPr>
              <w:ind w:left="20"/>
              <w:spacing w:after="0"/>
              <w:rPr>
                <w:sz w:val="20"/>
                <w:szCs w:val="20"/>
                <w:color w:val="auto"/>
              </w:rPr>
            </w:pPr>
            <w:r>
              <w:rPr>
                <w:rFonts w:ascii="Arial" w:cs="Arial" w:eastAsia="Arial" w:hAnsi="Arial"/>
                <w:sz w:val="16"/>
                <w:szCs w:val="16"/>
                <w:color w:val="auto"/>
              </w:rPr>
              <w:t>OSB - commodity</w:t>
            </w:r>
          </w:p>
        </w:tc>
        <w:tc>
          <w:tcPr>
            <w:tcW w:w="1840" w:type="dxa"/>
            <w:vAlign w:val="bottom"/>
          </w:tcPr>
          <w:p>
            <w:pPr>
              <w:jc w:val="right"/>
              <w:ind w:right="1339"/>
              <w:spacing w:after="0"/>
              <w:rPr>
                <w:sz w:val="20"/>
                <w:szCs w:val="20"/>
                <w:color w:val="auto"/>
              </w:rPr>
            </w:pPr>
            <w:r>
              <w:rPr>
                <w:rFonts w:ascii="Arial" w:cs="Arial" w:eastAsia="Arial" w:hAnsi="Arial"/>
                <w:sz w:val="16"/>
                <w:szCs w:val="16"/>
                <w:color w:val="auto"/>
                <w:w w:val="93"/>
              </w:rPr>
              <w:t>(55)%</w:t>
            </w:r>
          </w:p>
        </w:tc>
        <w:tc>
          <w:tcPr>
            <w:tcW w:w="480" w:type="dxa"/>
            <w:vAlign w:val="bottom"/>
          </w:tcPr>
          <w:p>
            <w:pPr>
              <w:jc w:val="right"/>
              <w:spacing w:after="0"/>
              <w:rPr>
                <w:sz w:val="20"/>
                <w:szCs w:val="20"/>
                <w:color w:val="auto"/>
              </w:rPr>
            </w:pPr>
            <w:r>
              <w:rPr>
                <w:rFonts w:ascii="Arial" w:cs="Arial" w:eastAsia="Arial" w:hAnsi="Arial"/>
                <w:sz w:val="16"/>
                <w:szCs w:val="16"/>
                <w:color w:val="auto"/>
              </w:rPr>
              <w:t>(23)%</w:t>
            </w:r>
          </w:p>
        </w:tc>
        <w:tc>
          <w:tcPr>
            <w:tcW w:w="2240" w:type="dxa"/>
            <w:vAlign w:val="bottom"/>
            <w:gridSpan w:val="2"/>
          </w:tcPr>
          <w:p>
            <w:pPr>
              <w:jc w:val="right"/>
              <w:ind w:right="259"/>
              <w:spacing w:after="0"/>
              <w:rPr>
                <w:sz w:val="20"/>
                <w:szCs w:val="20"/>
                <w:color w:val="auto"/>
              </w:rPr>
            </w:pPr>
            <w:r>
              <w:rPr>
                <w:rFonts w:ascii="Arial" w:cs="Arial" w:eastAsia="Arial" w:hAnsi="Arial"/>
                <w:sz w:val="16"/>
                <w:szCs w:val="16"/>
                <w:color w:val="auto"/>
              </w:rPr>
              <w:t>(66)%</w:t>
            </w:r>
          </w:p>
        </w:tc>
        <w:tc>
          <w:tcPr>
            <w:tcW w:w="1560" w:type="dxa"/>
            <w:vAlign w:val="bottom"/>
          </w:tcPr>
          <w:p>
            <w:pPr>
              <w:jc w:val="right"/>
              <w:spacing w:after="0"/>
              <w:rPr>
                <w:sz w:val="20"/>
                <w:szCs w:val="20"/>
                <w:color w:val="auto"/>
              </w:rPr>
            </w:pPr>
            <w:r>
              <w:rPr>
                <w:rFonts w:ascii="Arial" w:cs="Arial" w:eastAsia="Arial" w:hAnsi="Arial"/>
                <w:sz w:val="16"/>
                <w:szCs w:val="16"/>
                <w:color w:val="auto"/>
              </w:rPr>
              <w:t>(18)%</w:t>
            </w:r>
          </w:p>
        </w:tc>
      </w:tr>
    </w:tbl>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year-over-year net sales decrease of $444 million for the three months ended June 30, 2023 reflects a $368 million decrease in OSB prices, a $33 million decrease in sales volume from production curtailments, and a $28 million decrease related to production volume from the conversion of our Sagola, Michigan mill to siding production. The year-over-year net sales decrease of $998 million for the six months ended June 30, 2023 reflects an $838 million decrease in OSB prices, an $84 million decrease in sales volume from production curtailments, and a $55 million decrease related in production volume from the conversion of the Sagola mill to siding production.</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year-over-year decreases in Adjusted EBITDA of $366 million and $866 million for the three and six months ended June 30, 2023, respectively, reflects lower OSB prices and sales volumes (as described above), partially offset by lower mill-related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America</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South America segment manufactures and distributes OSB structural panel and siding products in South America and certain export markets. This segment has manufacturing operations in two countries, Chile and Brazil, and operates sales offices in Chile, Brazil, Peru, Colombia, Argentina, Paraguay, and Mexico.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Segment Net sales and Adjusted EBITDA for this segment were as follows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ind w:right="699"/>
              <w:spacing w:after="0"/>
              <w:rPr>
                <w:sz w:val="20"/>
                <w:szCs w:val="20"/>
                <w:color w:val="auto"/>
              </w:rPr>
            </w:pPr>
            <w:r>
              <w:rPr>
                <w:rFonts w:ascii="Arial" w:cs="Arial" w:eastAsia="Arial" w:hAnsi="Arial"/>
                <w:sz w:val="16"/>
                <w:szCs w:val="16"/>
                <w:b w:val="1"/>
                <w:bCs w:val="1"/>
                <w:color w:val="auto"/>
                <w:w w:val="92"/>
              </w:rPr>
              <w:t>Three Months Ended June 30,</w:t>
            </w:r>
          </w:p>
        </w:tc>
        <w:tc>
          <w:tcPr>
            <w:tcW w:w="1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799"/>
              <w:spacing w:after="0"/>
              <w:rPr>
                <w:sz w:val="20"/>
                <w:szCs w:val="20"/>
                <w:color w:val="auto"/>
              </w:rPr>
            </w:pPr>
            <w:r>
              <w:rPr>
                <w:rFonts w:ascii="Arial" w:cs="Arial" w:eastAsia="Arial" w:hAnsi="Arial"/>
                <w:sz w:val="16"/>
                <w:szCs w:val="16"/>
                <w:b w:val="1"/>
                <w:bCs w:val="1"/>
                <w:color w:val="auto"/>
                <w:w w:val="97"/>
              </w:rPr>
              <w:t>Six Months Ended June 30,</w:t>
            </w:r>
          </w:p>
        </w:tc>
      </w:tr>
      <w:tr>
        <w:trPr>
          <w:trHeight w:val="210"/>
        </w:trPr>
        <w:tc>
          <w:tcPr>
            <w:tcW w:w="37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80" w:type="dxa"/>
            <w:vAlign w:val="bottom"/>
            <w:gridSpan w:val="2"/>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sales in this segment by product were as follows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719"/>
              <w:spacing w:after="0"/>
              <w:rPr>
                <w:sz w:val="20"/>
                <w:szCs w:val="20"/>
                <w:color w:val="auto"/>
              </w:rPr>
            </w:pPr>
            <w:r>
              <w:rPr>
                <w:rFonts w:ascii="Arial" w:cs="Arial" w:eastAsia="Arial" w:hAnsi="Arial"/>
                <w:sz w:val="16"/>
                <w:szCs w:val="16"/>
                <w:b w:val="1"/>
                <w:bCs w:val="1"/>
                <w:color w:val="auto"/>
                <w:w w:val="92"/>
              </w:rPr>
              <w:t>Three Months Ended June 30,</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819"/>
              <w:spacing w:after="0"/>
              <w:rPr>
                <w:sz w:val="20"/>
                <w:szCs w:val="20"/>
                <w:color w:val="auto"/>
              </w:rPr>
            </w:pPr>
            <w:r>
              <w:rPr>
                <w:rFonts w:ascii="Arial" w:cs="Arial" w:eastAsia="Arial" w:hAnsi="Arial"/>
                <w:sz w:val="16"/>
                <w:szCs w:val="16"/>
                <w:b w:val="1"/>
                <w:bCs w:val="1"/>
                <w:color w:val="auto"/>
                <w:w w:val="97"/>
              </w:rPr>
              <w:t>Six Months Ended June 30,</w:t>
            </w:r>
          </w:p>
        </w:tc>
      </w:tr>
      <w:tr>
        <w:trPr>
          <w:trHeight w:val="210"/>
        </w:trPr>
        <w:tc>
          <w:tcPr>
            <w:tcW w:w="37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OSB - Structural Solutions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860" w:type="dxa"/>
            <w:vAlign w:val="bottom"/>
            <w:gridSpan w:val="2"/>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Siding</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17 %</w:t>
            </w:r>
          </w:p>
        </w:tc>
      </w:tr>
      <w:tr>
        <w:trPr>
          <w:trHeight w:val="216"/>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7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514 %</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3760" w:type="dxa"/>
            <w:vAlign w:val="bottom"/>
          </w:tcPr>
          <w:p>
            <w:pPr>
              <w:ind w:left="360"/>
              <w:spacing w:after="0"/>
              <w:rPr>
                <w:sz w:val="20"/>
                <w:szCs w:val="20"/>
                <w:color w:val="auto"/>
              </w:rPr>
            </w:pPr>
            <w:r>
              <w:rPr>
                <w:rFonts w:ascii="Arial" w:cs="Arial" w:eastAsia="Arial" w:hAnsi="Arial"/>
                <w:sz w:val="16"/>
                <w:szCs w:val="16"/>
                <w:color w:val="auto"/>
              </w:rPr>
              <w:t>Total</w:t>
            </w:r>
          </w:p>
        </w:tc>
        <w:tc>
          <w:tcPr>
            <w:tcW w:w="760" w:type="dxa"/>
            <w:vAlign w:val="bottom"/>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53</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70</w:t>
            </w: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rPr>
              <w:t>(25)%</w:t>
            </w:r>
          </w:p>
        </w:tc>
        <w:tc>
          <w:tcPr>
            <w:tcW w:w="8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w w:val="97"/>
              </w:rPr>
              <w:t>108</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rPr>
              <w:t>(21)%</w:t>
            </w:r>
          </w:p>
        </w:tc>
      </w:tr>
      <w:tr>
        <w:trPr>
          <w:trHeight w:val="23"/>
        </w:trPr>
        <w:tc>
          <w:tcPr>
            <w:tcW w:w="376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Percent changes in average Net sales price and unit shipments for the three and six months ended June 30, 2023, compared to the corresponding periods in 2022,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322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auto"/>
                <w:w w:val="93"/>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gridSpan w:val="3"/>
          </w:tcPr>
          <w:p>
            <w:pPr>
              <w:jc w:val="right"/>
              <w:ind w:right="1139"/>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3700" w:type="dxa"/>
            <w:vAlign w:val="bottom"/>
          </w:tcPr>
          <w:p>
            <w:pPr>
              <w:spacing w:after="0"/>
              <w:rPr>
                <w:sz w:val="18"/>
                <w:szCs w:val="18"/>
                <w:color w:val="auto"/>
              </w:rPr>
            </w:pPr>
          </w:p>
        </w:tc>
        <w:tc>
          <w:tcPr>
            <w:tcW w:w="3220" w:type="dxa"/>
            <w:vAlign w:val="bottom"/>
            <w:tcBorders>
              <w:bottom w:val="single" w:sz="8" w:color="auto"/>
            </w:tcBorders>
            <w:gridSpan w:val="4"/>
          </w:tcPr>
          <w:p>
            <w:pPr>
              <w:jc w:val="center"/>
              <w:ind w:left="439"/>
              <w:spacing w:after="0"/>
              <w:rPr>
                <w:sz w:val="20"/>
                <w:szCs w:val="20"/>
                <w:color w:val="auto"/>
              </w:rPr>
            </w:pPr>
            <w:r>
              <w:rPr>
                <w:rFonts w:ascii="Arial" w:cs="Arial" w:eastAsia="Arial" w:hAnsi="Arial"/>
                <w:sz w:val="16"/>
                <w:szCs w:val="16"/>
                <w:b w:val="1"/>
                <w:bCs w:val="1"/>
                <w:color w:val="auto"/>
                <w:w w:val="88"/>
              </w:rPr>
              <w:t>June 30, 2023 versus 2022</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6"/>
                <w:szCs w:val="16"/>
                <w:b w:val="1"/>
                <w:bCs w:val="1"/>
                <w:color w:val="auto"/>
              </w:rPr>
              <w:t>June 30, 2023 versus 2022</w:t>
            </w:r>
          </w:p>
        </w:tc>
      </w:tr>
      <w:tr>
        <w:trPr>
          <w:trHeight w:val="162"/>
        </w:trPr>
        <w:tc>
          <w:tcPr>
            <w:tcW w:w="3700" w:type="dxa"/>
            <w:vAlign w:val="bottom"/>
          </w:tcPr>
          <w:p>
            <w:pPr>
              <w:spacing w:after="0"/>
              <w:rPr>
                <w:sz w:val="14"/>
                <w:szCs w:val="14"/>
                <w:color w:val="auto"/>
              </w:rPr>
            </w:pPr>
          </w:p>
        </w:tc>
        <w:tc>
          <w:tcPr>
            <w:tcW w:w="1360" w:type="dxa"/>
            <w:vAlign w:val="bottom"/>
          </w:tcPr>
          <w:p>
            <w:pPr>
              <w:ind w:left="500"/>
              <w:spacing w:after="0" w:line="162" w:lineRule="exact"/>
              <w:rPr>
                <w:sz w:val="20"/>
                <w:szCs w:val="20"/>
                <w:color w:val="auto"/>
              </w:rPr>
            </w:pPr>
            <w:r>
              <w:rPr>
                <w:rFonts w:ascii="Arial" w:cs="Arial" w:eastAsia="Arial" w:hAnsi="Arial"/>
                <w:sz w:val="16"/>
                <w:szCs w:val="16"/>
                <w:color w:val="auto"/>
                <w:w w:val="94"/>
              </w:rPr>
              <w:t>Average Net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left="419"/>
              <w:spacing w:after="0" w:line="162" w:lineRule="exact"/>
              <w:rPr>
                <w:sz w:val="20"/>
                <w:szCs w:val="20"/>
                <w:color w:val="auto"/>
              </w:rPr>
            </w:pPr>
            <w:r>
              <w:rPr>
                <w:rFonts w:ascii="Arial" w:cs="Arial" w:eastAsia="Arial" w:hAnsi="Arial"/>
                <w:sz w:val="16"/>
                <w:szCs w:val="16"/>
                <w:color w:val="auto"/>
                <w:w w:val="98"/>
              </w:rPr>
              <w:t>Unit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right"/>
              <w:ind w:right="419"/>
              <w:spacing w:after="0" w:line="162" w:lineRule="exact"/>
              <w:rPr>
                <w:sz w:val="20"/>
                <w:szCs w:val="20"/>
                <w:color w:val="auto"/>
              </w:rPr>
            </w:pPr>
            <w:r>
              <w:rPr>
                <w:rFonts w:ascii="Arial" w:cs="Arial" w:eastAsia="Arial" w:hAnsi="Arial"/>
                <w:sz w:val="16"/>
                <w:szCs w:val="16"/>
                <w:color w:val="auto"/>
              </w:rPr>
              <w:t>Average Net</w:t>
            </w:r>
          </w:p>
        </w:tc>
        <w:tc>
          <w:tcPr>
            <w:tcW w:w="120" w:type="dxa"/>
            <w:vAlign w:val="bottom"/>
          </w:tcPr>
          <w:p>
            <w:pPr>
              <w:spacing w:after="0"/>
              <w:rPr>
                <w:sz w:val="14"/>
                <w:szCs w:val="14"/>
                <w:color w:val="auto"/>
              </w:rPr>
            </w:pPr>
          </w:p>
        </w:tc>
        <w:tc>
          <w:tcPr>
            <w:tcW w:w="1780" w:type="dxa"/>
            <w:vAlign w:val="bottom"/>
          </w:tcPr>
          <w:p>
            <w:pPr>
              <w:jc w:val="right"/>
              <w:ind w:right="679"/>
              <w:spacing w:after="0" w:line="162" w:lineRule="exact"/>
              <w:rPr>
                <w:sz w:val="20"/>
                <w:szCs w:val="20"/>
                <w:color w:val="auto"/>
              </w:rPr>
            </w:pPr>
            <w:r>
              <w:rPr>
                <w:rFonts w:ascii="Arial" w:cs="Arial" w:eastAsia="Arial" w:hAnsi="Arial"/>
                <w:sz w:val="16"/>
                <w:szCs w:val="16"/>
                <w:color w:val="auto"/>
              </w:rPr>
              <w:t>Unit</w:t>
            </w:r>
          </w:p>
        </w:tc>
      </w:tr>
      <w:tr>
        <w:trPr>
          <w:trHeight w:val="209"/>
        </w:trPr>
        <w:tc>
          <w:tcPr>
            <w:tcW w:w="37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w w:val="94"/>
              </w:rPr>
              <w:t>Selling Price</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w w:val="89"/>
              </w:rPr>
              <w:t>Shipments</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Selling Price</w:t>
            </w:r>
          </w:p>
        </w:tc>
        <w:tc>
          <w:tcPr>
            <w:tcW w:w="12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Shipments</w:t>
            </w:r>
          </w:p>
        </w:tc>
      </w:tr>
      <w:tr>
        <w:trPr>
          <w:trHeight w:val="212"/>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OSB - Structural Solutions</w:t>
            </w:r>
          </w:p>
        </w:tc>
        <w:tc>
          <w:tcPr>
            <w:tcW w:w="1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Siding</w:t>
            </w:r>
          </w:p>
        </w:tc>
        <w:tc>
          <w:tcPr>
            <w:tcW w:w="46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 %</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18 %</w:t>
            </w:r>
          </w:p>
        </w:tc>
      </w:tr>
    </w:tbl>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 America net sales decreased year-over-year by $18 million and $29 million for the three and six months ended June 30, 2023, respectively, predominantly driven by lower OSB sales volumes and average selling prices.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year-over-year decrease in Adjusted EBITDA of $14 million and $27 million for the three and six months ended June 30, 2023, respectively, reflects the lower sales volumes and average selling prices (described above) as well as higher raw material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other products segment includes the off-site framing operation Entekra Holdings LLC (Entekra), remaining timber and timberlands, and other minor products, services, and closed operations, which do not qualify as discontinued operations. During the second quarter of 2023, we announced the shutdown of Entekra and recognized business exit charges charges of $34 million, which consisted of severance costs, inventory obsolescence, impairment of property, plant, and equipment, impairment of right-of-use lease assets, and impairment definite-lived intangible assets.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Net sales were $9 million and $17 million for the three and six months ended June 30, 2023, respectively, as compared to $30 million and $55 million for the corresponding periods in 2022. The year-over-year decrease in Net sales for the three and six months ended June 30, 2023 is primarily due to lower Entekra sales volumes.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was $(6) million and $(14) million for the three and six months ended June 30, 2023, respectively, as compared to $(7) million and $(13) million for the corresponding periods in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were $66 million and $133 million for the three and six months ended June 30, 2023, respectively, compared to $67 million and $129 million for the corresponding periods in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recognized an estimated tax provision from continuing operations of $21 million and $22 million for the three and six months ended June 30, 2023, respectively, compared to $116 million and $240 million for the corresponding periods of 2022. Each quarter the income tax accrual is adjusted to the latest estimate, and the difference from the previously accrued year-to-date balance is recorded in the current quarter. For 2023 the primary differences between the U.S. statutory rate of 21% and the effective rate relates to the $22 million tax expense impact from a change in indefinite reinvestment assertion on Chile and Brazil earnings, which is discussed below. For 2022, the primary difference between the U.S. statutory rate of 21% and the effective rate relates to state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second quarter of 2023, management changed its intent and will no longer assert indefinite reinvestment related to undistributed earnings in Chile and Brazil. As a result, we established a net $22 million deferred tax liability for the expected tax consequences of repatriating all beginning-of-year cumulative Chile and Brazil earnings, which was recorded as an expense in the second quarter of 2023. Additionally, the incremental tax expense pertaining to the repatriation of current-year earnings in Chile and Brazil is accounted for within the estimated annual effective income tax rate.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Environmental Matters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 discussion of legal and environmental matters involving us and the potential impact thereof on our financial position, results of operations, and cash flows, see Items 3, 7, and 8 in our 2022 Annual Report on Form 10-K and "Note 11 - Commitments and Contingencies" of the Notes to the Condensed Consolidated Financial Statements included in "Item 1 - Financial Statements" of this quarterly report on Form 10-Q.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principal sources of liquidity are existing cash and investment balances, cash generated by our operations, and our ability to borrow under such credit facilities as we may have in effect from time to time. We assess our liquidity in terms of our ability to generate cash to fund our short- and long-term cash requirements. As such, we project our anticipated cash requirements as well as cash flows generated from operating activities to meet those needs. We anticipate long-term cash uses may also include strategic acquisitions. On a long-term basis, we will continue to rely on our credit facility for any long-term funding not provided by operating cash flows. We may also, from time to time, issue and sell equity, debt, or hybrid securities or engage in other capital market transactions.</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principal uses of liquidity are paying the costs and expenses associated with our operations, servicing outstanding indebtedness, paying dividends, and making capital expenditures. We may also, from time to time, prepay or repurchase outstanding indebtedness or shares or acquire assets or businesses that are complementary to our operations. Any such repurchases may be commenced, suspended, discontinued, or resumed, and the method or methods of effecting any such repurchases may be changed, at any time, or from time to time, without prior notice.</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fund our capital expenditures over at least the next 12 months through cash on hand, cash generated from operations, and available borrowing under our Amended Credit Facility, as necessary.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six months ended June 30, 2023 and 2022, cash provided by operations was $(30) million and $908 million, respectively. The decrease in cash provided by operations was primarily related to lower income from operations, increases in working capital, and timing of cash paid for income taxes.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2023 and 2022, cash used in investing activities was $271 million and $135 million, respectively. During the six months ended June 30, 2023, we paid $80 million to acquire the assets owned by Wawa OSB, Inc. During the six months ended June 30, 2022 we received $59 million in proceeds from the sale of our 50% equity interest in two joint ventures.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for the six months ended June 30, 2023 and 2022, were $188 million and $196 million, respectively, primarily related to siding conversion expenditures and growth and maintenance capital.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2023, cash used in financing activities was $14 million. We paid cash dividends of $35 million and used $9 million to repurchase stock from employees in connection with income tax withholding requirements associated with our employee stock-based compensation plans. These payments were partially financed by net borrowings of $30 million under our Amended Credit Facility during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both"/>
        <w:spacing w:after="0" w:line="257" w:lineRule="auto"/>
        <w:rPr>
          <w:sz w:val="20"/>
          <w:szCs w:val="20"/>
          <w:color w:val="auto"/>
        </w:rPr>
      </w:pPr>
      <w:r>
        <w:rPr>
          <w:rFonts w:ascii="Arial" w:cs="Arial" w:eastAsia="Arial" w:hAnsi="Arial"/>
          <w:sz w:val="18"/>
          <w:szCs w:val="18"/>
          <w:color w:val="auto"/>
        </w:rPr>
        <w:t>During the six months ended June 30, 2022, cash used in financing activities was $626 million. During the six months ended June 30, 2022, we used $575 million to repurchase shares of LP common stock ($500 million from the share repurchase program approved by the Board of Directors on November 2, 2021 and $75 million from the 2022 Share Repurchase Program (defined below)). Additionally, we paid cash dividends of $37 million and used $15 million to repurchase stock from employees in connection with income tax withholding requirements associated with our employee stock-based compensation plans.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 and Letter of Credit Facility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2022, LP entered into the Credit Agreement, with American AgCredit, PCA, as administrative agent and sole lead arranger, and CoBank, ACB, as letter of credit issuer, relating to the Amended Credit Facility. The Credit Agreement provides for a revolving credit facility in the principal amount of up to $550 million, with a $60 million sub-limit for letters of credit. The Credit Agreement, and all loans thereunder, become due on November 29. 2028. As of June 30, 2023, we had $30 million in outstanding borrowings under our Amended Credit Facility.</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Credit Agreement contains various restrictive covenants and customary events of default. The breach of restrictive covenants or the occurrence of any other event of default under the Credit Agreement could result in the acceleration of our obligation to repay the indebtedness outstanding thereunder. The Credit Agreement also contains financial covenants that require us and our consolidated subsidiaries to have, as of the end of each quarter, a capitalization ratio (</w:t>
      </w:r>
      <w:r>
        <w:rPr>
          <w:rFonts w:ascii="Arial" w:cs="Arial" w:eastAsia="Arial" w:hAnsi="Arial"/>
          <w:sz w:val="18"/>
          <w:szCs w:val="18"/>
          <w:i w:val="1"/>
          <w:iCs w:val="1"/>
          <w:color w:val="auto"/>
        </w:rPr>
        <w:t>i.e.</w:t>
      </w:r>
      <w:r>
        <w:rPr>
          <w:rFonts w:ascii="Arial" w:cs="Arial" w:eastAsia="Arial" w:hAnsi="Arial"/>
          <w:sz w:val="18"/>
          <w:szCs w:val="18"/>
          <w:color w:val="auto"/>
        </w:rPr>
        <w:t>, funded debt less unrestricted cash to total capitalization) of no more than 57.5%. As of June 30, 2023, we were in compliance with all financial covenants under the Credit Agreement.</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LP entered into the Letter of Credit Facility, which provides for the funding of letters of credit up to an aggregate outstanding amount of $20 million, which may be secured by certain cash collateral of LP. The Letter of Credit Facility provides for an unused commitment fee, due quarterly, ranging from 0.50% to 1.875% of the daily available amount to be drawn on each letter of credit issued under the Letter of Credit Facility. The Letter of Credit Facility is subject to similar affirmative, negative, and financial covenants as those set forth in the Credit Agreement, including the capitalization ratio covenant. As of June 30, 2023, we were in compliance with all covenants under the Letter of Credit Facility.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we had standby letters of credit of $13.5 million outstanding related to collateral for environmental impact on owned properties, a deposit for a forestry license, and insurance collateral, including workers' compensation.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Potential Impairments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review the carrying values of our long-lived assets for potential impairments and believe we have adequate support for the carrying values of our long-lived assets as of June 30, 2023. In April 2023, we announced the shutdown of Entekra resulting in pre-tax, non-cash impairment charges of $30 million for the three and six months ended June 30, 2023.</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demand and pricing for our products fall to levels significantly below cycle average demand and pricing, should we decide to invest capital in alternative projects, or should changes occur related to our wood supply for our mills, it is possible that future impairment charges will be required. As of June 30, 2023, there were no indications of impairment.</w:t>
      </w:r>
    </w:p>
    <w:p>
      <w:pPr>
        <w:spacing w:after="0" w:line="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also review from time to time potential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 During the three months ended June 30, 2023, we recorded impairment charges of $12 million and $3 million related to property, plant, and equipment and operating lease assets related to Entekra which were written down to fair value based on Level 2 inputs under ASC 820 using quoted market prices. See further discussion in “Note 8 - Business Exit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1" w:name="page32"/>
    <w:bookmarkEnd w:id="31"/>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international operations have exposure to foreign currency rate risks, primarily due to fluctuations in the Canadian dollar, the Brazilian real, and the Chilean peso. Although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material currency rate hedges with respect to our exposure from operations, although we may do so in the future.</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products are sold as commodities, and therefore sales prices fluctuate daily based on market factors over which we have little or no control. The most significant commodity product we sell is OSB. There have been no material changes to the assumed production capacity and annual average price sensitivity previously disclosed under the caption “Item 7A. Quantitative and Qualitative Disclosures about Market Risk” in our 2022 Annual Report on Form 10-K.</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market risk associated with changes in interest rates on our variable rate long-term debt. As of June 30, 2023, there was $30 million in outstanding borrowings under our Amended Credit Facility. We do not currently have any derivative or hedging arrangements, or other known exposures, to changes in interest rates.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historically have not entered into material commodity futures and swaps, although we may do so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spacing w:after="0" w:line="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2023, our Chief Executive Officer and Chief Financial Officer carried out, with the participation of the Company's management, a review and evaluation of the effectiveness of our disclosure controls and procedures, as defined in Rule 13a-15(e) promulgated under the Exchange Act. Based upon this evaluation, the Chief Executive Officer and Chief Financial Officer have concluded that, as of June 30, 2023, LP’s disclosure controls and procedures were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description of certain legal and environmental matters involving LP set forth in "Item 1 - Financial Statements" of this quarterly report on Form 10-Q under "Note 11 - Commitments and Contingencies" of the Notes to the Condensed Consolidated Financial Statements contained herein is incorporated herein by reference.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to the other information set forth in this quarterly report on Form 10-Q, an investor should carefully consider the factors discussed in Part I, “Item 1A. Risk Factors” of the Company’s 2022 Annual Report on Form 10-K and Part II, "Item 1A. Risk Factors" in the Company's quarterly report on Form 10-Q for the quarter ended March 31, 2023. There were no material changes to the risk factors previously disclosed under the caption "Item 1A. Risk Factors" in Part I of our 2022 Annual Report on Form 10-K and in Part II of our quarterly report on Form 10-Q for the quarter ended March 31, 2023.</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risks described in our 2022 Annual Report on Form 10-K and our quarterly report on Form 10-Q for the quarter ended March 31, 2023, are not the only risks facing the Company. Additional risks and uncertainties not currently known to us or that we currently deem immaterial also may materially adversely affect our business, financial condition,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3, 2022, LP's Board of Directors authorized a share repurchase program under which LP was authorized to repurchase shares of its common stock totaling up to $600 million (the 2022 Share Repurchase Program). No purchases were made under the 2022 Share Repurchase Program during the second quarter of 2023. As of June 30, 2023, LP had repurchased common stock totaling $400 million under the 2022 Share Repurchase Program. LP may initiate, discontinue, or resume purchases of its common stock under the 2022 Share Repurchase Program in the open market, in block, and in privately negotiated transactions, including under Rule 10b5-1 plans, at times and in such amounts as management deems appropriate without prior notice, subject to market and business conditions, regulatory requirements, and other factors.</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None of LP’s directors or officers adopted, modified, or terminated a Rule 10b5-1 trading arrangement or a non-Rule 10b5-1 trading arrangement during the quarter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020" w:type="dxa"/>
            <w:vAlign w:val="bottom"/>
            <w:gridSpan w:val="3"/>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310"/>
        </w:trPr>
        <w:tc>
          <w:tcPr>
            <w:tcW w:w="660" w:type="dxa"/>
            <w:vAlign w:val="bottom"/>
            <w:gridSpan w:val="2"/>
          </w:tcPr>
          <w:p>
            <w:pPr>
              <w:jc w:val="center"/>
              <w:ind w:left="270"/>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480" w:type="dxa"/>
            <w:vAlign w:val="bottom"/>
          </w:tcPr>
          <w:p>
            <w:pPr>
              <w:spacing w:after="0"/>
              <w:rPr>
                <w:sz w:val="24"/>
                <w:szCs w:val="24"/>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0000FF"/>
              </w:rPr>
              <w:t xml:space="preserve">Certifications of Chief Executive Officer Pursuant to Rule 13a-14(a) under the Securities Exchange Act of 1934. </w:t>
            </w:r>
            <w:r>
              <w:rPr>
                <w:rFonts w:ascii="Arial" w:cs="Arial" w:eastAsia="Arial" w:hAnsi="Arial"/>
                <w:sz w:val="18"/>
                <w:szCs w:val="18"/>
                <w:color w:val="000000"/>
              </w:rPr>
              <w:t>*</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tcPr>
          <w:p>
            <w:pPr>
              <w:spacing w:after="0" w:line="20" w:lineRule="exact"/>
              <w:rPr>
                <w:sz w:val="1"/>
                <w:szCs w:val="1"/>
                <w:color w:val="auto"/>
              </w:rPr>
            </w:pPr>
          </w:p>
        </w:tc>
      </w:tr>
      <w:tr>
        <w:trPr>
          <w:trHeight w:val="264"/>
        </w:trPr>
        <w:tc>
          <w:tcPr>
            <w:tcW w:w="660" w:type="dxa"/>
            <w:vAlign w:val="bottom"/>
            <w:gridSpan w:val="2"/>
          </w:tcPr>
          <w:p>
            <w:pPr>
              <w:jc w:val="center"/>
              <w:ind w:left="270"/>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480" w:type="dxa"/>
            <w:vAlign w:val="bottom"/>
          </w:tcPr>
          <w:p>
            <w:pPr>
              <w:spacing w:after="0"/>
              <w:rPr>
                <w:sz w:val="22"/>
                <w:szCs w:val="22"/>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0000FF"/>
              </w:rPr>
              <w:t xml:space="preserve">Certifications of Chief Financial Officer Pursuant to Rule 13a-14(a) under the Securities Exchange Act of 1934. </w:t>
            </w:r>
            <w:r>
              <w:rPr>
                <w:rFonts w:ascii="Arial" w:cs="Arial" w:eastAsia="Arial" w:hAnsi="Arial"/>
                <w:sz w:val="18"/>
                <w:szCs w:val="18"/>
                <w:color w:val="000000"/>
              </w:rPr>
              <w:t>*</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63"/>
        </w:trPr>
        <w:tc>
          <w:tcPr>
            <w:tcW w:w="660" w:type="dxa"/>
            <w:vAlign w:val="bottom"/>
            <w:gridSpan w:val="2"/>
          </w:tcPr>
          <w:p>
            <w:pPr>
              <w:jc w:val="center"/>
              <w:ind w:left="390"/>
              <w:spacing w:after="0"/>
              <w:rPr>
                <w:sz w:val="20"/>
                <w:szCs w:val="20"/>
                <w:color w:val="auto"/>
              </w:rPr>
            </w:pPr>
            <w:r>
              <w:rPr>
                <w:rFonts w:ascii="Arial" w:cs="Arial" w:eastAsia="Arial" w:hAnsi="Arial"/>
                <w:sz w:val="18"/>
                <w:szCs w:val="18"/>
                <w:color w:val="0000FF"/>
                <w:w w:val="89"/>
              </w:rPr>
              <w:t>32</w:t>
            </w:r>
          </w:p>
        </w:tc>
        <w:tc>
          <w:tcPr>
            <w:tcW w:w="480" w:type="dxa"/>
            <w:vAlign w:val="bottom"/>
          </w:tcPr>
          <w:p>
            <w:pPr>
              <w:spacing w:after="0"/>
              <w:rPr>
                <w:sz w:val="22"/>
                <w:szCs w:val="22"/>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0000FF"/>
              </w:rPr>
              <w:t xml:space="preserve">Certifications pursuant to § 906 of the Sarbanes-Oxley Act of 2002. </w:t>
            </w:r>
            <w:r>
              <w:rPr>
                <w:rFonts w:ascii="Arial" w:cs="Arial" w:eastAsia="Arial" w:hAnsi="Arial"/>
                <w:sz w:val="18"/>
                <w:szCs w:val="18"/>
                <w:color w:val="000000"/>
              </w:rPr>
              <w:t>**</w:t>
            </w:r>
          </w:p>
        </w:tc>
      </w:tr>
      <w:tr>
        <w:trPr>
          <w:trHeight w:val="20"/>
        </w:trPr>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r>
      <w:tr>
        <w:trPr>
          <w:trHeight w:val="264"/>
        </w:trPr>
        <w:tc>
          <w:tcPr>
            <w:tcW w:w="114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101.INS</w:t>
            </w:r>
          </w:p>
        </w:tc>
        <w:tc>
          <w:tcPr>
            <w:tcW w:w="10020" w:type="dxa"/>
            <w:vAlign w:val="bottom"/>
            <w:gridSpan w:val="3"/>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30"/>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rPr>
              <w:t>the Inline XBRL document.*</w:t>
            </w:r>
          </w:p>
        </w:tc>
      </w:tr>
      <w:tr>
        <w:trPr>
          <w:trHeight w:val="283"/>
        </w:trPr>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0"/>
              </w:rPr>
              <w:t>101.SCH</w:t>
            </w:r>
          </w:p>
        </w:tc>
        <w:tc>
          <w:tcPr>
            <w:tcW w:w="1002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97"/>
        </w:trPr>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4"/>
              </w:rPr>
              <w:t>101.CAL</w:t>
            </w:r>
          </w:p>
        </w:tc>
        <w:tc>
          <w:tcPr>
            <w:tcW w:w="1002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5"/>
              </w:rPr>
              <w:t>101.LAB</w:t>
            </w:r>
          </w:p>
        </w:tc>
        <w:tc>
          <w:tcPr>
            <w:tcW w:w="1002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4"/>
        </w:trPr>
        <w:tc>
          <w:tcPr>
            <w:tcW w:w="114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101.PRE</w:t>
            </w:r>
          </w:p>
        </w:tc>
        <w:tc>
          <w:tcPr>
            <w:tcW w:w="1002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97"/>
        </w:trPr>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2"/>
              </w:rPr>
              <w:t>101.DEF</w:t>
            </w:r>
          </w:p>
        </w:tc>
        <w:tc>
          <w:tcPr>
            <w:tcW w:w="1002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660" w:type="dxa"/>
            <w:vAlign w:val="bottom"/>
            <w:gridSpan w:val="2"/>
          </w:tcPr>
          <w:p>
            <w:pPr>
              <w:jc w:val="center"/>
              <w:ind w:left="310"/>
              <w:spacing w:after="0"/>
              <w:rPr>
                <w:sz w:val="20"/>
                <w:szCs w:val="20"/>
                <w:color w:val="auto"/>
              </w:rPr>
            </w:pPr>
            <w:r>
              <w:rPr>
                <w:rFonts w:ascii="Arial" w:cs="Arial" w:eastAsia="Arial" w:hAnsi="Arial"/>
                <w:sz w:val="18"/>
                <w:szCs w:val="18"/>
                <w:color w:val="auto"/>
                <w:w w:val="86"/>
              </w:rPr>
              <w:t>104</w:t>
            </w:r>
          </w:p>
        </w:tc>
        <w:tc>
          <w:tcPr>
            <w:tcW w:w="480" w:type="dxa"/>
            <w:vAlign w:val="bottom"/>
          </w:tcPr>
          <w:p>
            <w:pPr>
              <w:spacing w:after="0"/>
              <w:rPr>
                <w:sz w:val="24"/>
                <w:szCs w:val="24"/>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 Inline XBRL document and contained in Exhibit 101)*</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480" w:type="dxa"/>
            <w:vAlign w:val="bottom"/>
            <w:gridSpan w:val="2"/>
          </w:tcPr>
          <w:p>
            <w:pPr>
              <w:ind w:left="1700"/>
              <w:spacing w:after="0"/>
              <w:rPr>
                <w:sz w:val="20"/>
                <w:szCs w:val="20"/>
                <w:color w:val="auto"/>
              </w:rPr>
            </w:pPr>
            <w:r>
              <w:rPr>
                <w:rFonts w:ascii="Arial" w:cs="Arial" w:eastAsia="Arial" w:hAnsi="Arial"/>
                <w:sz w:val="18"/>
                <w:szCs w:val="18"/>
                <w:color w:val="auto"/>
              </w:rPr>
              <w:t>LOUISIANA-PACIFIC CORPORATION</w:t>
            </w:r>
          </w:p>
        </w:tc>
      </w:tr>
      <w:tr>
        <w:trPr>
          <w:trHeight w:val="513"/>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280"/>
              <w:spacing w:after="0"/>
              <w:rPr>
                <w:sz w:val="20"/>
                <w:szCs w:val="20"/>
                <w:color w:val="auto"/>
              </w:rPr>
            </w:pPr>
            <w:r>
              <w:rPr>
                <w:rFonts w:ascii="Arial" w:cs="Arial" w:eastAsia="Arial" w:hAnsi="Arial"/>
                <w:sz w:val="18"/>
                <w:szCs w:val="18"/>
                <w:color w:val="auto"/>
              </w:rPr>
              <w:t>August 2, 2023</w:t>
            </w:r>
          </w:p>
        </w:tc>
        <w:tc>
          <w:tcPr>
            <w:tcW w:w="2220" w:type="dxa"/>
            <w:vAlign w:val="bottom"/>
          </w:tcPr>
          <w:p>
            <w:pPr>
              <w:ind w:left="17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Y</w:t>
            </w:r>
            <w:r>
              <w:rPr>
                <w:rFonts w:ascii="Arial" w:cs="Arial" w:eastAsia="Arial" w:hAnsi="Arial"/>
                <w:sz w:val="18"/>
                <w:szCs w:val="18"/>
                <w:color w:val="auto"/>
              </w:rPr>
              <w:t>:</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W. BRADLEY SOUTHERN</w:t>
            </w:r>
          </w:p>
        </w:tc>
      </w:tr>
      <w:tr>
        <w:trPr>
          <w:trHeight w:val="173"/>
        </w:trPr>
        <w:tc>
          <w:tcPr>
            <w:tcW w:w="6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94"/>
              </w:rPr>
              <w:t>W. Bradley Southern</w:t>
            </w:r>
          </w:p>
        </w:tc>
      </w:tr>
      <w:tr>
        <w:trPr>
          <w:trHeight w:val="186"/>
        </w:trPr>
        <w:tc>
          <w:tcPr>
            <w:tcW w:w="6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95"/>
              </w:rPr>
              <w:t>Chief Executive Officer</w:t>
            </w:r>
          </w:p>
        </w:tc>
      </w:tr>
      <w:tr>
        <w:trPr>
          <w:trHeight w:val="525"/>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280"/>
              <w:spacing w:after="0"/>
              <w:rPr>
                <w:sz w:val="20"/>
                <w:szCs w:val="20"/>
                <w:color w:val="auto"/>
              </w:rPr>
            </w:pPr>
            <w:r>
              <w:rPr>
                <w:rFonts w:ascii="Arial" w:cs="Arial" w:eastAsia="Arial" w:hAnsi="Arial"/>
                <w:sz w:val="18"/>
                <w:szCs w:val="18"/>
                <w:color w:val="auto"/>
              </w:rPr>
              <w:t>August 2, 2023</w:t>
            </w:r>
          </w:p>
        </w:tc>
        <w:tc>
          <w:tcPr>
            <w:tcW w:w="2220" w:type="dxa"/>
            <w:vAlign w:val="bottom"/>
          </w:tcPr>
          <w:p>
            <w:pPr>
              <w:ind w:left="17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Y</w:t>
            </w:r>
            <w:r>
              <w:rPr>
                <w:rFonts w:ascii="Arial" w:cs="Arial" w:eastAsia="Arial" w:hAnsi="Arial"/>
                <w:sz w:val="18"/>
                <w:szCs w:val="18"/>
                <w:color w:val="auto"/>
              </w:rPr>
              <w:t>:</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ALAN J.M. HAUGHIE</w:t>
            </w:r>
          </w:p>
        </w:tc>
      </w:tr>
      <w:tr>
        <w:trPr>
          <w:trHeight w:val="180"/>
        </w:trPr>
        <w:tc>
          <w:tcPr>
            <w:tcW w:w="6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97"/>
              </w:rPr>
              <w:t>Alan J.M. Haughie</w:t>
            </w:r>
          </w:p>
        </w:tc>
      </w:tr>
      <w:tr>
        <w:trPr>
          <w:trHeight w:val="193"/>
        </w:trPr>
        <w:tc>
          <w:tcPr>
            <w:tcW w:w="6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 Vice President and</w:t>
            </w:r>
          </w:p>
        </w:tc>
      </w:tr>
      <w:tr>
        <w:trPr>
          <w:trHeight w:val="203"/>
        </w:trPr>
        <w:tc>
          <w:tcPr>
            <w:tcW w:w="6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95"/>
              </w:rPr>
              <w:t>Chief Financial Officer</w:t>
            </w:r>
          </w:p>
        </w:tc>
      </w:tr>
    </w:tbl>
    <w:p>
      <w:pPr>
        <w:sectPr>
          <w:pgSz w:w="11900" w:h="16838" w:orient="portrait"/>
          <w:cols w:equalWidth="0" w:num="1">
            <w:col w:w="11240"/>
          </w:cols>
          <w:pgMar w:left="320" w:top="141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 Bradley Southern, certify that:</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Louisiana-Pacific Corporation;</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sz w:val="20"/>
          <w:szCs w:val="20"/>
          <w:color w:val="auto"/>
        </w:rPr>
      </w:pPr>
    </w:p>
    <w:p>
      <w:pPr>
        <w:jc w:val="both"/>
        <w:ind w:left="980" w:hanging="648"/>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hanging="648"/>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648"/>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sz w:val="20"/>
          <w:szCs w:val="20"/>
          <w:color w:val="auto"/>
        </w:rPr>
      </w:pPr>
    </w:p>
    <w:p>
      <w:pPr>
        <w:ind w:left="980" w:hanging="648"/>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ind w:left="220"/>
        <w:spacing w:after="0"/>
        <w:tabs>
          <w:tab w:leader="none" w:pos="7380" w:val="left"/>
        </w:tabs>
        <w:rPr>
          <w:sz w:val="20"/>
          <w:szCs w:val="20"/>
          <w:color w:val="auto"/>
        </w:rPr>
      </w:pPr>
      <w:r>
        <w:rPr>
          <w:rFonts w:ascii="Arial" w:cs="Arial" w:eastAsia="Arial" w:hAnsi="Arial"/>
          <w:sz w:val="18"/>
          <w:szCs w:val="18"/>
          <w:color w:val="auto"/>
        </w:rPr>
        <w:t>Date: August 2, 2023</w:t>
      </w:r>
      <w:r>
        <w:rPr>
          <w:sz w:val="20"/>
          <w:szCs w:val="20"/>
          <w:color w:val="auto"/>
        </w:rPr>
        <w:tab/>
      </w:r>
      <w:r>
        <w:rPr>
          <w:rFonts w:ascii="Arial" w:cs="Arial" w:eastAsia="Arial" w:hAnsi="Arial"/>
          <w:sz w:val="17"/>
          <w:szCs w:val="17"/>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33604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6"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W. BRADLEY SOUTHERN</w:t>
      </w:r>
    </w:p>
    <w:p>
      <w:pPr>
        <w:spacing w:after="0" w:line="36"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Alan Haughie, certify that:</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Louisiana-Pacific Corporation;</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sz w:val="20"/>
          <w:szCs w:val="20"/>
          <w:color w:val="auto"/>
        </w:rPr>
      </w:pPr>
    </w:p>
    <w:p>
      <w:pPr>
        <w:jc w:val="both"/>
        <w:ind w:left="980" w:hanging="648"/>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hanging="648"/>
        <w:spacing w:after="0" w:line="30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648"/>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sz w:val="20"/>
          <w:szCs w:val="20"/>
          <w:color w:val="auto"/>
        </w:rPr>
      </w:pPr>
    </w:p>
    <w:p>
      <w:pPr>
        <w:ind w:left="980" w:hanging="648"/>
        <w:spacing w:after="0" w:line="30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ind w:left="220"/>
        <w:spacing w:after="0"/>
        <w:tabs>
          <w:tab w:leader="none" w:pos="7580" w:val="left"/>
        </w:tabs>
        <w:rPr>
          <w:sz w:val="20"/>
          <w:szCs w:val="20"/>
          <w:color w:val="auto"/>
        </w:rPr>
      </w:pPr>
      <w:r>
        <w:rPr>
          <w:rFonts w:ascii="Arial" w:cs="Arial" w:eastAsia="Arial" w:hAnsi="Arial"/>
          <w:sz w:val="18"/>
          <w:szCs w:val="18"/>
          <w:color w:val="auto"/>
        </w:rPr>
        <w:t>Date: August 2, 2023</w:t>
      </w:r>
      <w:r>
        <w:rPr>
          <w:sz w:val="20"/>
          <w:szCs w:val="20"/>
          <w:color w:val="auto"/>
        </w:rPr>
        <w:tab/>
      </w:r>
      <w:r>
        <w:rPr>
          <w:rFonts w:ascii="Arial" w:cs="Arial" w:eastAsia="Arial" w:hAnsi="Arial"/>
          <w:sz w:val="17"/>
          <w:szCs w:val="17"/>
          <w:color w:val="auto"/>
        </w:rPr>
        <w:t>/s/ ALAN J.M. HAUGHIE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33604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ALAN J.M. HAUGHIE</w:t>
      </w:r>
    </w:p>
    <w:p>
      <w:pPr>
        <w:spacing w:after="0" w:line="36"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38"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Certifications of Chief Executive Officer and Chief Financial Officer Pursuant to 18 U.S.C. § 1350 as Adopted Pursuant to Section 906 of the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Pursuant to 18 U.S.C. § 1350, as adopted pursuant to Section 906 of the Sarbanes-Oxley Act of 2002, in connection with the filing of the Quarterly Report on Form 10-Q of Louisiana-Pacific Corporation (the “Company”) for quarter ended June 30, 2023, as filed with the Securities and Exchange Commission on the date hereof (the “Report”), each of the undersigned officers of the Company certifies, that, to such officer’s knowledge:</w:t>
      </w:r>
    </w:p>
    <w:p>
      <w:pPr>
        <w:spacing w:after="0" w:line="3" w:lineRule="exact"/>
        <w:rPr>
          <w:sz w:val="20"/>
          <w:szCs w:val="20"/>
          <w:color w:val="auto"/>
        </w:rPr>
      </w:pPr>
    </w:p>
    <w:p>
      <w:pPr>
        <w:ind w:left="980" w:hanging="567"/>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74" w:lineRule="exact"/>
        <w:rPr>
          <w:rFonts w:ascii="Arial" w:cs="Arial" w:eastAsia="Arial" w:hAnsi="Arial"/>
          <w:sz w:val="17"/>
          <w:szCs w:val="17"/>
          <w:color w:val="auto"/>
        </w:rPr>
      </w:pPr>
    </w:p>
    <w:p>
      <w:pPr>
        <w:ind w:left="980" w:hanging="567"/>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2023</w:t>
      </w:r>
    </w:p>
    <w:p>
      <w:pPr>
        <w:spacing w:after="0" w:line="14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14605</wp:posOffset>
            </wp:positionV>
            <wp:extent cx="34721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W. BRADLEY SOUTHERN</w:t>
      </w:r>
    </w:p>
    <w:p>
      <w:pPr>
        <w:ind w:left="57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1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ALAN J.M. HAUGHIE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23495</wp:posOffset>
            </wp:positionV>
            <wp:extent cx="34721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Alan J.M. Haughie</w:t>
      </w:r>
    </w:p>
    <w:p>
      <w:pPr>
        <w:ind w:left="5780"/>
        <w:spacing w:after="0"/>
        <w:rPr>
          <w:sz w:val="20"/>
          <w:szCs w:val="20"/>
          <w:color w:val="auto"/>
        </w:rPr>
      </w:pPr>
      <w:r>
        <w:rPr>
          <w:rFonts w:ascii="Arial" w:cs="Arial" w:eastAsia="Arial" w:hAnsi="Arial"/>
          <w:sz w:val="18"/>
          <w:szCs w:val="18"/>
          <w:color w:val="auto"/>
        </w:rPr>
        <w:t>Title: Chief Financial Officer</w:t>
      </w:r>
    </w:p>
    <w:p>
      <w:pPr>
        <w:spacing w:after="0" w:line="25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Louisiana-Pacific Corporation and will be retained by Louisiana-Pacific Corporation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bullet"/>
      <w:start w:val="1"/>
    </w:lvl>
  </w:abstractNum>
  <w:abstractNum w:abstractNumId="4">
    <w:nsid w:val="12200854"/>
    <w:multiLevelType w:val="hybridMultilevel"/>
    <w:lvl w:ilvl="0">
      <w:lvlJc w:val="left"/>
      <w:lvlText w:val="&amp;"/>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decimal"/>
      <w:start w:val="5"/>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decimal"/>
      <w:start w:val="5"/>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2023-08-02T12:12:12Z</dcterms:created>
  <dcterms:modified xsi:type="dcterms:W3CDTF">2023-08-02T12:12:12Z</dcterms:modified>
</cp:coreProperties>
</file>