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LOUISIANA-PACIFIC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MARYLAND</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3,988,302.00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4,326,985.00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4,326,985.00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02"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LOUISIANA-PACIFIC CORP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1610 WEST END AVE., SUITE 200, NASHVILLE, TN, 37203</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1307 Point Street, Baltimore, MD 21231</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Maryland</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non-U.S. institution in accordance with § 240.13d-1(b)(1)(ii)(J). If filing as a non-U.S. institution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2">
            <w:col w:w="620" w:space="300"/>
            <w:col w:w="9720"/>
          </w:cols>
          <w:pgMar w:left="360" w:top="102" w:right="899" w:bottom="0" w:gutter="0" w:footer="0" w:header="0"/>
          <w:type w:val="continuous"/>
        </w:sectPr>
      </w:pPr>
    </w:p>
    <w:bookmarkStart w:id="2" w:name="page3"/>
    <w:bookmarkEnd w:id="2"/>
    <w:p>
      <w:pPr>
        <w:jc w:val="right"/>
        <w:ind w:right="6660"/>
        <w:spacing w:after="0"/>
        <w:rPr>
          <w:sz w:val="20"/>
          <w:szCs w:val="20"/>
          <w:color w:val="auto"/>
        </w:rPr>
      </w:pPr>
      <w:r>
        <w:rPr>
          <w:rFonts w:ascii="Times New Roman" w:cs="Times New Roman" w:eastAsia="Times New Roman" w:hAnsi="Times New Roman"/>
          <w:sz w:val="22"/>
          <w:szCs w:val="22"/>
          <w:color w:val="auto"/>
        </w:rPr>
        <w:t>accordance with § 240.13d-1(b)(1)(ii)(J),</w:t>
      </w:r>
    </w:p>
    <w:p>
      <w:pPr>
        <w:spacing w:after="0" w:line="15" w:lineRule="exact"/>
        <w:rPr>
          <w:sz w:val="20"/>
          <w:szCs w:val="20"/>
          <w:color w:val="auto"/>
        </w:rPr>
      </w:pPr>
    </w:p>
    <w:p>
      <w:pPr>
        <w:jc w:val="right"/>
        <w:ind w:right="664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Group, in accordance with Rule 240.13d-1(b)(1)(ii)(K).</w:t>
      </w:r>
    </w:p>
    <w:p>
      <w:pPr>
        <w:spacing w:after="0" w:line="34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4326985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6.2 %</w:t>
      </w:r>
    </w:p>
    <w:p>
      <w:pPr>
        <w:spacing w:after="0" w:line="20"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1" w:right="399" w:bottom="54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3988302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4326985</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1" w:right="399" w:bottom="545"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5"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T. Rowe Price Associates, Inc. hereby declares and affirms that the filing of Schedule 13G shall not be construed as an admission that Price Associates is the beneficial owner of the securities referred to, which beneficial ownership is expressly denied.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2"/>
          <w:szCs w:val="22"/>
          <w:color w:val="auto"/>
        </w:rPr>
        <w:t>T. Rowe Price Associates, Inc.</w:t>
      </w:r>
    </w:p>
    <w:p>
      <w:pPr>
        <w:spacing w:after="0" w:line="152"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Ellen York</w:t>
      </w:r>
    </w:p>
    <w:p>
      <w:pPr>
        <w:spacing w:after="0" w:line="44"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Name/Title: Vice President</w:t>
      </w:r>
    </w:p>
    <w:p>
      <w:pPr>
        <w:spacing w:after="0" w:line="44" w:lineRule="exact"/>
        <w:rPr>
          <w:sz w:val="20"/>
          <w:szCs w:val="20"/>
          <w:color w:val="auto"/>
        </w:rPr>
      </w:pPr>
    </w:p>
    <w:p>
      <w:pPr>
        <w:ind w:left="2540"/>
        <w:spacing w:after="0"/>
        <w:tabs>
          <w:tab w:leader="none" w:pos="3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05/15/2026</w:t>
      </w:r>
    </w:p>
    <w:sectPr>
      <w:pgSz w:w="11900" w:h="16838" w:orient="portrait"/>
      <w:cols w:equalWidth="0" w:num="1">
        <w:col w:w="11140"/>
      </w:cols>
      <w:pgMar w:left="360" w:top="111" w:right="399" w:bottom="545"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2"/>
      <w:numFmt w:val="bullet"/>
      <w:start w:val="1"/>
    </w:lvl>
  </w:abstractNum>
  <w:abstractNum w:abstractNumId="1">
    <w:nsid w:val="2AE8944A"/>
    <w:multiLevelType w:val="hybridMultilevel"/>
    <w:lvl w:ilvl="0">
      <w:lvlJc w:val="left"/>
      <w:lvlText w:val="3"/>
      <w:numFmt w:val="bullet"/>
      <w:start w:val="1"/>
    </w:lvl>
  </w:abstractNum>
  <w:abstractNum w:abstractNumId="2">
    <w:nsid w:val="625558EC"/>
    <w:multiLevelType w:val="hybridMultilevel"/>
    <w:lvl w:ilvl="0">
      <w:lvlJc w:val="left"/>
      <w:lvlText w:val="(%1)"/>
      <w:numFmt w:val="lowerLetter"/>
      <w:start w:val="11"/>
    </w:lvl>
  </w:abstractNum>
  <w:abstractNum w:abstractNumId="3">
    <w:nsid w:val="238E1F29"/>
    <w:multiLevelType w:val="hybridMultilevel"/>
    <w:lvl w:ilvl="0">
      <w:lvlJc w:val="left"/>
      <w:lvlText w:val="(%1)"/>
      <w:numFmt w:val="lowerLetter"/>
      <w:start w:val="3"/>
    </w:lvl>
  </w:abstractNum>
  <w:abstractNum w:abstractNumId="4">
    <w:nsid w:val="46E87CC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2026-05-15T09:13:56Z</dcterms:created>
  <dcterms:modified xsi:type="dcterms:W3CDTF">2026-05-15T09:13:56Z</dcterms:modified>
</cp:coreProperties>
</file>