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7"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11-K</w:t>
      </w:r>
    </w:p>
    <w:p>
      <w:pPr>
        <w:spacing w:after="0" w:line="32"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[X] ANNUAL REPORT PURSUANT TO SECTION 15(d) OF THE SECURITIES EXCHANGE ACT OF 1934</w:t>
      </w: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fiscal year ended: December 31, 2025</w:t>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32" w:lineRule="exact"/>
        <w:rPr>
          <w:sz w:val="24"/>
          <w:szCs w:val="24"/>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 ]</w:t>
      </w:r>
      <w:r>
        <w:rPr>
          <w:sz w:val="20"/>
          <w:szCs w:val="20"/>
          <w:color w:val="auto"/>
        </w:rPr>
        <w:tab/>
      </w: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219"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______ to ______</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Number 1-7107</w:t>
      </w:r>
    </w:p>
    <w:p>
      <w:pPr>
        <w:spacing w:after="0" w:line="3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LOUISIANA-PACIFIC 401(k) AND PROFIT SHARING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318135</wp:posOffset>
            </wp:positionV>
            <wp:extent cx="2288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5"/>
          <w:szCs w:val="25"/>
          <w:b w:val="1"/>
          <w:bCs w:val="1"/>
          <w:color w:val="auto"/>
        </w:rPr>
        <w:t>LOUISIANA-PACIFIC CORPORATION</w:t>
      </w:r>
    </w:p>
    <w:p>
      <w:pPr>
        <w:spacing w:after="0" w:line="44"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5"/>
          <w:szCs w:val="2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234315</wp:posOffset>
            </wp:positionV>
            <wp:extent cx="22885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55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1-7107</w:t>
            </w:r>
          </w:p>
        </w:tc>
        <w:tc>
          <w:tcPr>
            <w:tcW w:w="2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93-0609074</w:t>
            </w:r>
          </w:p>
        </w:tc>
      </w:tr>
      <w:tr>
        <w:trPr>
          <w:trHeight w:val="184"/>
        </w:trPr>
        <w:tc>
          <w:tcPr>
            <w:tcW w:w="2980" w:type="dxa"/>
            <w:vAlign w:val="bottom"/>
          </w:tcPr>
          <w:p>
            <w:pPr>
              <w:jc w:val="center"/>
              <w:ind w:left="430"/>
              <w:spacing w:after="0" w:line="18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5520" w:type="dxa"/>
            <w:vAlign w:val="bottom"/>
          </w:tcPr>
          <w:p>
            <w:pPr>
              <w:jc w:val="center"/>
              <w:ind w:right="190"/>
              <w:spacing w:after="0" w:line="184" w:lineRule="exact"/>
              <w:rPr>
                <w:sz w:val="20"/>
                <w:szCs w:val="20"/>
                <w:color w:val="auto"/>
              </w:rPr>
            </w:pPr>
            <w:r>
              <w:rPr>
                <w:rFonts w:ascii="Times New Roman" w:cs="Times New Roman" w:eastAsia="Times New Roman" w:hAnsi="Times New Roman"/>
                <w:sz w:val="18"/>
                <w:szCs w:val="18"/>
                <w:b w:val="1"/>
                <w:bCs w:val="1"/>
                <w:color w:val="auto"/>
              </w:rPr>
              <w:t>Commission</w:t>
            </w:r>
          </w:p>
        </w:tc>
        <w:tc>
          <w:tcPr>
            <w:tcW w:w="2740" w:type="dxa"/>
            <w:vAlign w:val="bottom"/>
          </w:tcPr>
          <w:p>
            <w:pPr>
              <w:jc w:val="center"/>
              <w:ind w:right="6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8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55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41"/>
        </w:trPr>
        <w:tc>
          <w:tcPr>
            <w:tcW w:w="2980" w:type="dxa"/>
            <w:vAlign w:val="bottom"/>
          </w:tcPr>
          <w:p>
            <w:pPr>
              <w:spacing w:after="0"/>
              <w:rPr>
                <w:sz w:val="24"/>
                <w:szCs w:val="24"/>
                <w:color w:val="auto"/>
              </w:rPr>
            </w:pPr>
          </w:p>
        </w:tc>
        <w:tc>
          <w:tcPr>
            <w:tcW w:w="55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1610 West End Ave., Suite 200, Nashville, TN 37203</w:t>
            </w:r>
          </w:p>
        </w:tc>
        <w:tc>
          <w:tcPr>
            <w:tcW w:w="274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p>
        </w:tc>
        <w:tc>
          <w:tcPr>
            <w:tcW w:w="55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740" w:type="dxa"/>
            <w:vAlign w:val="bottom"/>
          </w:tcPr>
          <w:p>
            <w:pPr>
              <w:spacing w:after="0"/>
              <w:rPr>
                <w:sz w:val="20"/>
                <w:szCs w:val="20"/>
                <w:color w:val="auto"/>
              </w:rPr>
            </w:pPr>
          </w:p>
        </w:tc>
      </w:tr>
      <w:tr>
        <w:trPr>
          <w:trHeight w:val="360"/>
        </w:trPr>
        <w:tc>
          <w:tcPr>
            <w:tcW w:w="2980" w:type="dxa"/>
            <w:vAlign w:val="bottom"/>
          </w:tcPr>
          <w:p>
            <w:pPr>
              <w:spacing w:after="0"/>
              <w:rPr>
                <w:sz w:val="24"/>
                <w:szCs w:val="24"/>
                <w:color w:val="auto"/>
              </w:rPr>
            </w:pPr>
          </w:p>
        </w:tc>
        <w:tc>
          <w:tcPr>
            <w:tcW w:w="55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(615) 986-5600</w:t>
            </w:r>
          </w:p>
        </w:tc>
        <w:tc>
          <w:tcPr>
            <w:tcW w:w="2740" w:type="dxa"/>
            <w:vAlign w:val="bottom"/>
          </w:tcPr>
          <w:p>
            <w:pPr>
              <w:spacing w:after="0"/>
              <w:rPr>
                <w:sz w:val="24"/>
                <w:szCs w:val="24"/>
                <w:color w:val="auto"/>
              </w:rPr>
            </w:pPr>
          </w:p>
        </w:tc>
      </w:tr>
      <w:tr>
        <w:trPr>
          <w:trHeight w:val="234"/>
        </w:trPr>
        <w:tc>
          <w:tcPr>
            <w:tcW w:w="2980" w:type="dxa"/>
            <w:vAlign w:val="bottom"/>
          </w:tcPr>
          <w:p>
            <w:pPr>
              <w:spacing w:after="0"/>
              <w:rPr>
                <w:sz w:val="20"/>
                <w:szCs w:val="20"/>
                <w:color w:val="auto"/>
              </w:rPr>
            </w:pPr>
          </w:p>
        </w:tc>
        <w:tc>
          <w:tcPr>
            <w:tcW w:w="55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2740" w:type="dxa"/>
            <w:vAlign w:val="bottom"/>
          </w:tcPr>
          <w:p>
            <w:pPr>
              <w:spacing w:after="0"/>
              <w:rPr>
                <w:sz w:val="20"/>
                <w:szCs w:val="20"/>
                <w:color w:val="auto"/>
              </w:rPr>
            </w:pPr>
          </w:p>
        </w:tc>
      </w:tr>
      <w:tr>
        <w:trPr>
          <w:trHeight w:val="418"/>
        </w:trPr>
        <w:tc>
          <w:tcPr>
            <w:tcW w:w="298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r>
        <w:trPr>
          <w:trHeight w:val="34"/>
        </w:trPr>
        <w:tc>
          <w:tcPr>
            <w:tcW w:w="2980" w:type="dxa"/>
            <w:vAlign w:val="bottom"/>
            <w:tcBorders>
              <w:bottom w:val="single" w:sz="8" w:color="auto"/>
            </w:tcBorders>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1175"/>
        </w:trPr>
        <w:tc>
          <w:tcPr>
            <w:tcW w:w="298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400"/>
        <w:spacing w:after="0"/>
        <w:rPr>
          <w:sz w:val="20"/>
          <w:szCs w:val="20"/>
          <w:color w:val="auto"/>
        </w:rPr>
      </w:pPr>
      <w:r>
        <w:rPr>
          <w:rFonts w:ascii="Times New Roman" w:cs="Times New Roman" w:eastAsia="Times New Roman" w:hAnsi="Times New Roman"/>
          <w:sz w:val="23"/>
          <w:szCs w:val="23"/>
          <w:b w:val="1"/>
          <w:bCs w:val="1"/>
          <w:color w:val="auto"/>
        </w:rPr>
        <w:t>LOUISIANA-PACIFIC 401(k) AND PROFIT SHARING PLAN</w:t>
      </w:r>
    </w:p>
    <w:p>
      <w:pPr>
        <w:spacing w:after="0" w:line="27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3"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8"/>
          <w:szCs w:val="18"/>
          <w:color w:val="auto"/>
        </w:rPr>
        <w:t>1</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as of and for the Years Ended December 31, 2025 and 2024:</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27"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8"/>
          <w:szCs w:val="18"/>
          <w:color w:val="auto"/>
        </w:rPr>
        <w:t>2</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w:t>
      </w:r>
    </w:p>
    <w:p>
      <w:pPr>
        <w:spacing w:after="0" w:line="23"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8"/>
          <w:szCs w:val="18"/>
          <w:color w:val="auto"/>
        </w:rPr>
        <w:t>3</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3"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8"/>
          <w:szCs w:val="18"/>
          <w:color w:val="auto"/>
        </w:rPr>
        <w:t>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Schedule as of December 31, 2025:</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Form 5500, Schedule H, Part IV, Line 4i — Schedule of Assets (Held at End of Year)</w:t>
      </w:r>
    </w:p>
    <w:p>
      <w:pPr>
        <w:spacing w:after="0" w:line="27"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8"/>
          <w:szCs w:val="18"/>
          <w:color w:val="auto"/>
        </w:rPr>
        <w:t>9</w:t>
      </w:r>
    </w:p>
    <w:p>
      <w:pPr>
        <w:spacing w:after="0" w:line="274" w:lineRule="exact"/>
        <w:rPr>
          <w:sz w:val="20"/>
          <w:szCs w:val="20"/>
          <w:color w:val="auto"/>
        </w:rPr>
      </w:pPr>
    </w:p>
    <w:p>
      <w:pPr>
        <w:ind w:left="280" w:right="1360" w:hanging="161"/>
        <w:spacing w:after="0" w:line="226" w:lineRule="auto"/>
        <w:rPr>
          <w:sz w:val="20"/>
          <w:szCs w:val="20"/>
          <w:color w:val="auto"/>
        </w:rPr>
      </w:pPr>
      <w:r>
        <w:rPr>
          <w:rFonts w:ascii="Times New Roman" w:cs="Times New Roman" w:eastAsia="Times New Roman" w:hAnsi="Times New Roman"/>
          <w:sz w:val="18"/>
          <w:szCs w:val="18"/>
          <w:color w:val="auto"/>
        </w:rPr>
        <w:t>Note: All other schedules required by Section 2520.103-10 of the Department of Labor's Rules and Regulations for Reporting and Disclosure under the Employee Retirement Income Security Act of 1974 have been omitted because they are not applicable.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867410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40" w:top="1319" w:right="12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Qualified Retirement Plans Administrative Committee and Plan Participants of the Louisiana-Pacific 401(k) and Profit Sharing Plan: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Louisiana-Pacific 401(k) and Profit Sharing Plan (the “Plan”) as of December 31, 2025 and 2024, the related statements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LBMC, PC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Brentwood,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3" w:name="page4"/>
    <w:bookmarkEnd w:id="3"/>
    <w:p>
      <w:pPr>
        <w:ind w:left="2700"/>
        <w:spacing w:after="0"/>
        <w:rPr>
          <w:sz w:val="20"/>
          <w:szCs w:val="20"/>
          <w:color w:val="auto"/>
        </w:rPr>
      </w:pPr>
      <w:r>
        <w:rPr>
          <w:rFonts w:ascii="Times New Roman" w:cs="Times New Roman" w:eastAsia="Times New Roman" w:hAnsi="Times New Roman"/>
          <w:sz w:val="20"/>
          <w:szCs w:val="20"/>
          <w:b w:val="1"/>
          <w:bCs w:val="1"/>
          <w:color w:val="auto"/>
        </w:rPr>
        <w:t>LOUISIANA-PACIFIC 401(k) AND PROFIT SHARING PLAN</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STATEMENTS OF NET ASSETS AVAILABLE FOR BENEFITS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406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Dollar amounts in millions</w:t>
            </w:r>
          </w:p>
        </w:tc>
        <w:tc>
          <w:tcPr>
            <w:tcW w:w="1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vMerge w:val="continue"/>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spacing w:after="0"/>
              <w:rPr>
                <w:sz w:val="19"/>
                <w:szCs w:val="19"/>
                <w:color w:val="auto"/>
              </w:rPr>
            </w:pPr>
          </w:p>
        </w:tc>
        <w:tc>
          <w:tcPr>
            <w:tcW w:w="28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Investments - at fair value:</w:t>
            </w:r>
          </w:p>
        </w:tc>
        <w:tc>
          <w:tcPr>
            <w:tcW w:w="2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Mutual funds</w:t>
            </w:r>
          </w:p>
        </w:tc>
        <w:tc>
          <w:tcPr>
            <w:tcW w:w="406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29"/>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Collective trust funds</w:t>
            </w:r>
          </w:p>
        </w:tc>
        <w:tc>
          <w:tcPr>
            <w:tcW w:w="2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Louisiana-Pacific Corporation common stock</w:t>
            </w:r>
          </w:p>
        </w:tc>
        <w:tc>
          <w:tcPr>
            <w:tcW w:w="28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Stable value fund</w:t>
            </w:r>
          </w:p>
        </w:tc>
        <w:tc>
          <w:tcPr>
            <w:tcW w:w="28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8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579.0</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544.3</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28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284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receivables</w:t>
            </w:r>
          </w:p>
        </w:tc>
        <w:tc>
          <w:tcPr>
            <w:tcW w:w="2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0" w:type="dxa"/>
            <w:vAlign w:val="bottom"/>
          </w:tcPr>
          <w:p>
            <w:pPr>
              <w:spacing w:after="0"/>
              <w:rPr>
                <w:sz w:val="1"/>
                <w:szCs w:val="1"/>
                <w:color w:val="auto"/>
              </w:rPr>
            </w:pPr>
          </w:p>
        </w:tc>
      </w:tr>
      <w:tr>
        <w:trPr>
          <w:trHeight w:val="270"/>
        </w:trPr>
        <w:tc>
          <w:tcPr>
            <w:tcW w:w="3920" w:type="dxa"/>
            <w:vAlign w:val="bottom"/>
            <w:shd w:val="clear" w:color="auto" w:fill="CCEEFF"/>
          </w:tcPr>
          <w:p>
            <w:pPr>
              <w:spacing w:after="0"/>
              <w:rPr>
                <w:sz w:val="23"/>
                <w:szCs w:val="23"/>
                <w:color w:val="auto"/>
              </w:rPr>
            </w:pPr>
          </w:p>
        </w:tc>
        <w:tc>
          <w:tcPr>
            <w:tcW w:w="284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594.9</w:t>
            </w:r>
          </w:p>
        </w:tc>
        <w:tc>
          <w:tcPr>
            <w:tcW w:w="1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560.7</w:t>
            </w:r>
          </w:p>
        </w:tc>
        <w:tc>
          <w:tcPr>
            <w:tcW w:w="0" w:type="dxa"/>
            <w:vAlign w:val="bottom"/>
          </w:tcPr>
          <w:p>
            <w:pPr>
              <w:spacing w:after="0"/>
              <w:rPr>
                <w:sz w:val="1"/>
                <w:szCs w:val="1"/>
                <w:color w:val="auto"/>
              </w:rPr>
            </w:pPr>
          </w:p>
        </w:tc>
      </w:tr>
      <w:tr>
        <w:trPr>
          <w:trHeight w:val="250"/>
        </w:trPr>
        <w:tc>
          <w:tcPr>
            <w:tcW w:w="392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administrative expenses</w:t>
            </w:r>
          </w:p>
        </w:tc>
        <w:tc>
          <w:tcPr>
            <w:tcW w:w="28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920" w:type="dxa"/>
            <w:vAlign w:val="bottom"/>
            <w:tcBorders>
              <w:bottom w:val="single" w:sz="8" w:color="CCEEFF"/>
            </w:tcBorders>
          </w:tcPr>
          <w:p>
            <w:pPr>
              <w:spacing w:after="0"/>
              <w:rPr>
                <w:sz w:val="23"/>
                <w:szCs w:val="23"/>
                <w:color w:val="auto"/>
              </w:rPr>
            </w:pPr>
          </w:p>
        </w:tc>
        <w:tc>
          <w:tcPr>
            <w:tcW w:w="284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4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tcPr>
          <w:p>
            <w:pPr>
              <w:spacing w:after="0"/>
              <w:rPr>
                <w:sz w:val="21"/>
                <w:szCs w:val="21"/>
                <w:color w:val="auto"/>
              </w:rPr>
            </w:pPr>
          </w:p>
        </w:tc>
        <w:tc>
          <w:tcPr>
            <w:tcW w:w="284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2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594.9</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920" w:type="dxa"/>
            <w:vAlign w:val="bottom"/>
          </w:tcPr>
          <w:p>
            <w:pPr>
              <w:spacing w:after="0"/>
              <w:rPr>
                <w:sz w:val="24"/>
                <w:szCs w:val="24"/>
                <w:color w:val="auto"/>
              </w:rPr>
            </w:pPr>
          </w:p>
        </w:tc>
        <w:tc>
          <w:tcPr>
            <w:tcW w:w="4060" w:type="dxa"/>
            <w:vAlign w:val="bottom"/>
            <w:gridSpan w:val="2"/>
          </w:tcPr>
          <w:p>
            <w:pPr>
              <w:jc w:val="right"/>
              <w:ind w:right="1290"/>
              <w:spacing w:after="0"/>
              <w:rPr>
                <w:sz w:val="20"/>
                <w:szCs w:val="20"/>
                <w:color w:val="auto"/>
              </w:rPr>
            </w:pPr>
            <w:r>
              <w:rPr>
                <w:rFonts w:ascii="Times New Roman" w:cs="Times New Roman" w:eastAsia="Times New Roman" w:hAnsi="Times New Roman"/>
                <w:sz w:val="18"/>
                <w:szCs w:val="18"/>
                <w:color w:val="auto"/>
              </w:rPr>
              <w:t>See notes to financial statements.</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540" w:top="1220" w:right="5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LOUISIANA-PACIFIC 401(k) AND PROFIT SHARING PLAN</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STATEMENTS OF CHANGES IN NET ASSETS AVAILABLE FOR BENEFITS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60" w:type="dxa"/>
            <w:vAlign w:val="bottom"/>
          </w:tcPr>
          <w:p>
            <w:pPr>
              <w:spacing w:after="0"/>
              <w:rPr>
                <w:sz w:val="19"/>
                <w:szCs w:val="19"/>
                <w:color w:val="auto"/>
              </w:rPr>
            </w:pPr>
          </w:p>
        </w:tc>
        <w:tc>
          <w:tcPr>
            <w:tcW w:w="374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color w:val="auto"/>
              </w:rPr>
              <w:t>Dollar amounts in millions</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8"/>
        </w:trPr>
        <w:tc>
          <w:tcPr>
            <w:tcW w:w="40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9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For Years Ended December 31,</w:t>
            </w:r>
          </w:p>
        </w:tc>
        <w:tc>
          <w:tcPr>
            <w:tcW w:w="720" w:type="dxa"/>
            <w:vAlign w:val="bottom"/>
            <w:tcBorders>
              <w:bottom w:val="single" w:sz="8" w:color="auto"/>
            </w:tcBorders>
          </w:tcPr>
          <w:p>
            <w:pPr>
              <w:spacing w:after="0"/>
              <w:rPr>
                <w:sz w:val="20"/>
                <w:szCs w:val="20"/>
                <w:color w:val="auto"/>
              </w:rPr>
            </w:pPr>
          </w:p>
        </w:tc>
      </w:tr>
      <w:tr>
        <w:trPr>
          <w:trHeight w:val="223"/>
        </w:trPr>
        <w:tc>
          <w:tcPr>
            <w:tcW w:w="406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r>
      <w:tr>
        <w:trPr>
          <w:trHeight w:val="21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Contributions:</w:t>
            </w:r>
          </w:p>
        </w:tc>
        <w:tc>
          <w:tcPr>
            <w:tcW w:w="2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3740" w:type="dxa"/>
            <w:vAlign w:val="bottom"/>
            <w:gridSpan w:val="2"/>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9"/>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2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contributions</w:t>
            </w:r>
          </w:p>
        </w:tc>
        <w:tc>
          <w:tcPr>
            <w:tcW w:w="226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w:t>
            </w:r>
          </w:p>
        </w:tc>
        <w:tc>
          <w:tcPr>
            <w:tcW w:w="26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r>
      <w:tr>
        <w:trPr>
          <w:trHeight w:val="250"/>
        </w:trPr>
        <w:tc>
          <w:tcPr>
            <w:tcW w:w="40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 (loss):</w:t>
            </w:r>
          </w:p>
        </w:tc>
        <w:tc>
          <w:tcPr>
            <w:tcW w:w="2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income</w:t>
            </w:r>
          </w:p>
        </w:tc>
        <w:tc>
          <w:tcPr>
            <w:tcW w:w="2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2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(includes realized gains and losses)</w:t>
            </w:r>
          </w:p>
        </w:tc>
        <w:tc>
          <w:tcPr>
            <w:tcW w:w="2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29"/>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(loss)</w:t>
            </w:r>
          </w:p>
        </w:tc>
        <w:tc>
          <w:tcPr>
            <w:tcW w:w="226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4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Net investment income (loss)</w:t>
            </w:r>
          </w:p>
        </w:tc>
        <w:tc>
          <w:tcPr>
            <w:tcW w:w="22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61.5</w:t>
            </w:r>
          </w:p>
        </w:tc>
        <w:tc>
          <w:tcPr>
            <w:tcW w:w="2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78.0</w:t>
            </w:r>
          </w:p>
        </w:tc>
      </w:tr>
      <w:tr>
        <w:trPr>
          <w:trHeight w:val="250"/>
        </w:trPr>
        <w:tc>
          <w:tcPr>
            <w:tcW w:w="406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29"/>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22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50"/>
        </w:trPr>
        <w:tc>
          <w:tcPr>
            <w:tcW w:w="406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r>
      <w:tr>
        <w:trPr>
          <w:trHeight w:val="223"/>
        </w:trPr>
        <w:tc>
          <w:tcPr>
            <w:tcW w:w="4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additions</w:t>
            </w:r>
          </w:p>
        </w:tc>
        <w:tc>
          <w:tcPr>
            <w:tcW w:w="22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106.8</w:t>
            </w:r>
          </w:p>
        </w:tc>
        <w:tc>
          <w:tcPr>
            <w:tcW w:w="2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121.5</w:t>
            </w:r>
          </w:p>
        </w:tc>
      </w:tr>
      <w:tr>
        <w:trPr>
          <w:trHeight w:val="250"/>
        </w:trPr>
        <w:tc>
          <w:tcPr>
            <w:tcW w:w="406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2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Administrative expenses</w:t>
            </w:r>
          </w:p>
        </w:tc>
        <w:tc>
          <w:tcPr>
            <w:tcW w:w="2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4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22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deductions</w:t>
            </w:r>
          </w:p>
        </w:tc>
        <w:tc>
          <w:tcPr>
            <w:tcW w:w="226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w:t>
            </w:r>
          </w:p>
        </w:tc>
        <w:tc>
          <w:tcPr>
            <w:tcW w:w="26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83.1</w:t>
            </w:r>
          </w:p>
        </w:tc>
      </w:tr>
      <w:tr>
        <w:trPr>
          <w:trHeight w:val="250"/>
        </w:trPr>
        <w:tc>
          <w:tcPr>
            <w:tcW w:w="40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w:t>
            </w:r>
          </w:p>
        </w:tc>
        <w:tc>
          <w:tcPr>
            <w:tcW w:w="2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w:t>
            </w:r>
          </w:p>
        </w:tc>
      </w:tr>
      <w:tr>
        <w:trPr>
          <w:trHeight w:val="270"/>
        </w:trPr>
        <w:tc>
          <w:tcPr>
            <w:tcW w:w="406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2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2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w:t>
            </w:r>
          </w:p>
        </w:tc>
      </w:tr>
      <w:tr>
        <w:trPr>
          <w:trHeight w:val="270"/>
        </w:trPr>
        <w:tc>
          <w:tcPr>
            <w:tcW w:w="406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 of year</w:t>
            </w:r>
          </w:p>
        </w:tc>
        <w:tc>
          <w:tcPr>
            <w:tcW w:w="2260" w:type="dxa"/>
            <w:vAlign w:val="bottom"/>
          </w:tcPr>
          <w:p>
            <w:pPr>
              <w:spacing w:after="0"/>
              <w:rPr>
                <w:sz w:val="19"/>
                <w:szCs w:val="19"/>
                <w:color w:val="auto"/>
              </w:rPr>
            </w:pPr>
          </w:p>
        </w:tc>
        <w:tc>
          <w:tcPr>
            <w:tcW w:w="148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594.9</w:t>
            </w:r>
          </w:p>
        </w:tc>
        <w:tc>
          <w:tcPr>
            <w:tcW w:w="260" w:type="dxa"/>
            <w:vAlign w:val="bottom"/>
          </w:tcPr>
          <w:p>
            <w:pPr>
              <w:spacing w:after="0"/>
              <w:rPr>
                <w:sz w:val="19"/>
                <w:szCs w:val="19"/>
                <w:color w:val="auto"/>
              </w:rPr>
            </w:pPr>
          </w:p>
        </w:tc>
        <w:tc>
          <w:tcPr>
            <w:tcW w:w="148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560.7</w:t>
            </w:r>
          </w:p>
        </w:tc>
      </w:tr>
      <w:tr>
        <w:trPr>
          <w:trHeight w:val="21"/>
        </w:trPr>
        <w:tc>
          <w:tcPr>
            <w:tcW w:w="4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66"/>
        </w:trPr>
        <w:tc>
          <w:tcPr>
            <w:tcW w:w="4060" w:type="dxa"/>
            <w:vAlign w:val="bottom"/>
          </w:tcPr>
          <w:p>
            <w:pPr>
              <w:spacing w:after="0"/>
              <w:rPr>
                <w:sz w:val="24"/>
                <w:szCs w:val="24"/>
                <w:color w:val="auto"/>
              </w:rPr>
            </w:pPr>
          </w:p>
        </w:tc>
        <w:tc>
          <w:tcPr>
            <w:tcW w:w="374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See notes to financial statements.</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220"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LOUISIANA-PACIFIC 401(k) AND PROFIT SHARING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 OF AND FOR THE YEARS ENDED DECEMBER 31, 2025 AND 2024</w:t>
      </w:r>
    </w:p>
    <w:p>
      <w:pPr>
        <w:spacing w:after="0" w:line="20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DESCRIPTION OF PLAN</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following description of the Louisiana-Pacific ("LP") 401(k) and Profit Sharing Plan (the “Plan”) is provided for general information purposes only. Participants should refer to the Plan document for detailed information. All dollar amounts are shown in millions unless otherwise noted, except share amounts.</w:t>
      </w:r>
    </w:p>
    <w:p>
      <w:pPr>
        <w:spacing w:after="0" w:line="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General </w:t>
      </w:r>
      <w:r>
        <w:rPr>
          <w:rFonts w:ascii="Times New Roman" w:cs="Times New Roman" w:eastAsia="Times New Roman" w:hAnsi="Times New Roman"/>
          <w:sz w:val="20"/>
          <w:szCs w:val="20"/>
          <w:color w:val="auto"/>
        </w:rPr>
        <w:t>- The Plan was initially adopted in 2000 and amended and restated effective August 1, 2024. The Plan is a defined contribution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covering all U.S. salaried and hourly employees of Louisiana-Pacific Corporation (the “Company” or “LP”), except those members of a collective bargaining unit, certain temporary or leased employees, and nonresident aliens who receive no U.S. source income. The Plan is designed to comply with applicable provisions of the Internal Revenue Code (the “IRC”) and the Employee Retirement Income Security Act of 1974 ("ERISA") as amended. Any employee noted above may become a participant immediately upon hire. The Plan is administered by an administrative committee (the “Plan Administrator”) comprised of a minimum of three members appointed by LP.</w:t>
      </w:r>
    </w:p>
    <w:p>
      <w:pPr>
        <w:spacing w:after="0" w:line="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Contributions </w:t>
      </w:r>
      <w:r>
        <w:rPr>
          <w:rFonts w:ascii="Times New Roman" w:cs="Times New Roman" w:eastAsia="Times New Roman" w:hAnsi="Times New Roman"/>
          <w:sz w:val="20"/>
          <w:szCs w:val="20"/>
          <w:color w:val="auto"/>
        </w:rPr>
        <w:t>- Contributions to the Plan include (i) compensation reduction contributions authorized by participants, (ii) non-discretionary matching contributions made by LP, (iii) discretionary profit-sharing contributions made by LP, and (iv) participant rollovers from other qualified plans or conduit Individual Retirement Arrangements.</w:t>
      </w:r>
    </w:p>
    <w:p>
      <w:pPr>
        <w:spacing w:after="0" w:line="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Participants may elect to contribute a pre-tax and/or Roth percentage of their compensation to the Plan each year, subject to limitations, as defined in the Plan document and set by the IRC. Pre-tax contributions are excluded from the participant's taxable income for federal income tax purposes until received as a withdrawal or distribution from the Plan. The Plan includes an auto-enrollment provision whereby all newly eligible employees are automatically enrolled in the Plan unless they affirmatively elect not to participate in the Plan or elect a different percentage for their contribution. Automatically enrolled participants have their deferral rate set at 6% of eligible compensation and their contributions invested in an age-appropriate target fund until changed by the participant. Participants who have attained age 50 before the end of the Plan year are eligible to make catch-up contributions.</w:t>
      </w:r>
    </w:p>
    <w:p>
      <w:pPr>
        <w:spacing w:after="0" w:line="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LP matches contributions at 100% of the first 4% and 50% of the next 2% of eligible compensation deferred. LP can also make a discretionary profit sharing contribution. During the year ended December 31, 2025 and 2024, discretionary profit-sharing contributions were $6.2 million and $7.3 million, respectively. Participants may direct the investment of their contributions and the employer contributions into various investment options offered by the Plan. Participants must be employed on the last day of the Plan year to receive profit-sharing contributions.</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Participant Accounts </w:t>
      </w:r>
      <w:r>
        <w:rPr>
          <w:rFonts w:ascii="Times New Roman" w:cs="Times New Roman" w:eastAsia="Times New Roman" w:hAnsi="Times New Roman"/>
          <w:sz w:val="20"/>
          <w:szCs w:val="20"/>
          <w:color w:val="auto"/>
        </w:rPr>
        <w:t>- Individual accounts are maintained for each participant of the Plan. Each participant's account is credited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participant's contribution, the Company's non-discretionary matching contribution, and allocations of the Company's discretionary profit sharing contribution and Plan earnings. Allocations are based on participant earnings or account balances, as defined by the plan document. The benefit to which a participant is entitled is the benefit that can be provided from the participant's vested account.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Investments </w:t>
      </w:r>
      <w:r>
        <w:rPr>
          <w:rFonts w:ascii="Times New Roman" w:cs="Times New Roman" w:eastAsia="Times New Roman" w:hAnsi="Times New Roman"/>
          <w:sz w:val="20"/>
          <w:szCs w:val="20"/>
          <w:color w:val="auto"/>
        </w:rPr>
        <w:t>- Participants direct the investment of their contributions into various investment options offered by the Plan.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 xml:space="preserve">Vesting </w:t>
      </w:r>
      <w:r>
        <w:rPr>
          <w:rFonts w:ascii="Times New Roman" w:cs="Times New Roman" w:eastAsia="Times New Roman" w:hAnsi="Times New Roman"/>
          <w:sz w:val="20"/>
          <w:szCs w:val="20"/>
          <w:color w:val="auto"/>
        </w:rPr>
        <w:t>- Participants are immediately 100% vested in their own contributions and in employer matching contributions.</w:t>
      </w:r>
    </w:p>
    <w:p>
      <w:pPr>
        <w:spacing w:after="0" w:line="12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 participant shall become fully vested in profit sharing contributions to the Plan upon the first of the following events to occur while employed by LP:</w:t>
      </w:r>
    </w:p>
    <w:p>
      <w:pPr>
        <w:spacing w:after="0" w:line="6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Completion of three years of service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Death</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Attainment of age 65</w:t>
      </w:r>
    </w:p>
    <w:p>
      <w:pPr>
        <w:spacing w:after="0" w:line="12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Involuntary termination due to job elimination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Payment of Benefits </w:t>
      </w:r>
      <w:r>
        <w:rPr>
          <w:rFonts w:ascii="Times New Roman" w:cs="Times New Roman" w:eastAsia="Times New Roman" w:hAnsi="Times New Roman"/>
          <w:sz w:val="20"/>
          <w:szCs w:val="20"/>
          <w:color w:val="auto"/>
        </w:rPr>
        <w:t>- Participants become eligible upon the occurrence of any one of the following:</w:t>
      </w:r>
    </w:p>
    <w:p>
      <w:pPr>
        <w:spacing w:after="0" w:line="1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Normal retirement of the participant at age 65</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Death of the participant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Termination of employment</w:t>
      </w:r>
    </w:p>
    <w:p>
      <w:pPr>
        <w:spacing w:after="0" w:line="12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 59 1/2 (distribution restricted to pre-tax elective account and Roth elective account)</w:t>
      </w:r>
    </w:p>
    <w:p>
      <w:pPr>
        <w:spacing w:after="0" w:line="1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On termination of service, a participant may generally elect to receive either a lump-sum amount equal to the value of the participant's vested interest in his or her account or installment payments. If the participant has an account balance less than $5,000, installment payments or partial distributions are not permitted, and distribution to a participant or beneficiary will be made in a lump-sum or distributed to an IRA.</w:t>
      </w:r>
    </w:p>
    <w:p>
      <w:pPr>
        <w:spacing w:after="0" w:line="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Notes Receivable from Participants </w:t>
      </w:r>
      <w:r>
        <w:rPr>
          <w:rFonts w:ascii="Times New Roman" w:cs="Times New Roman" w:eastAsia="Times New Roman" w:hAnsi="Times New Roman"/>
          <w:sz w:val="20"/>
          <w:szCs w:val="20"/>
          <w:color w:val="auto"/>
        </w:rPr>
        <w:t>- Participants may borrow from their fund accounts up to a maximum of $50 thousand or 50% of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vested account balance, whichever is less, for a period of no more than four years. The loans are secured by the balance in the participant's account and bear interest at rates commensurate with the prime rate plus 1% at the time funds are borrowed as determined by the Plan Administrator. At December 31, 2025, interest rates ranged from 4.25% to 9.50%. Principal and interest are paid ratably through payroll deductions or as a lump-sum for the outstanding loan balance.</w:t>
      </w:r>
    </w:p>
    <w:p>
      <w:pPr>
        <w:spacing w:after="0" w:line="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Hardship Withdrawals </w:t>
      </w:r>
      <w:r>
        <w:rPr>
          <w:rFonts w:ascii="Times New Roman" w:cs="Times New Roman" w:eastAsia="Times New Roman" w:hAnsi="Times New Roman"/>
          <w:sz w:val="20"/>
          <w:szCs w:val="20"/>
          <w:color w:val="auto"/>
        </w:rPr>
        <w:t>- No amounts may be withdrawn from a salary deferral account before a participant terminates employment with LP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attains the age of 59 1/2, except by reason of financial hardship as outlined in the plan document. Participants may withdraw all or part of their pre-tax 401(k) contributions, Roth 401(k) contributions, or post-1988 income on 401(k) contributions.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Forfeited Accounts </w:t>
      </w:r>
      <w:r>
        <w:rPr>
          <w:rFonts w:ascii="Times New Roman" w:cs="Times New Roman" w:eastAsia="Times New Roman" w:hAnsi="Times New Roman"/>
          <w:sz w:val="20"/>
          <w:szCs w:val="20"/>
          <w:color w:val="auto"/>
        </w:rPr>
        <w:t>- When certain terminations of participation in the Plan occur, the non-vested portion of the participant's account,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defined by the Plan, represents a forfeiture. Forfeitures may be used to pay Plan expenses or be used to offset the amount LP would have otherwise contributed to the Plan. At December 31, 2025 and 2024, forfeited non-vested accounts totaled $0.4 million and $0.3 million, respectively. These forfeitures will be used to reduce future employer contributions and/or pay Plan administrative expenses. During the years ended December 31, 2025 and 2024, employer contributions were reduced by $0.3 million and $1.0 million from forfeited non-vested accounts, respectively.</w:t>
      </w:r>
    </w:p>
    <w:p>
      <w:pPr>
        <w:spacing w:after="0" w:line="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Administrative Expenses </w:t>
      </w:r>
      <w:r>
        <w:rPr>
          <w:rFonts w:ascii="Times New Roman" w:cs="Times New Roman" w:eastAsia="Times New Roman" w:hAnsi="Times New Roman"/>
          <w:sz w:val="20"/>
          <w:szCs w:val="20"/>
          <w:color w:val="auto"/>
        </w:rPr>
        <w:t>- Certain administrative expenses of the Plan are paid by the Plan as provided in the Plan document. Participants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more than one year of service are assessed a quarterly fee to offset Plan expenses. During the years ended December 31, 2025 and 2024, administrative expenses of $0.4 million were paid by participants. Investment income is reported net of management fees and operating expenses.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7" w:name="page8"/>
    <w:bookmarkEnd w:id="7"/>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SUMMARY OF SIGNIFICANT ACCOUNTING POLICIES</w:t>
      </w:r>
    </w:p>
    <w:p>
      <w:pPr>
        <w:spacing w:after="0" w:line="1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Basis of Accounting </w:t>
      </w:r>
      <w:r>
        <w:rPr>
          <w:rFonts w:ascii="Times New Roman" w:cs="Times New Roman" w:eastAsia="Times New Roman" w:hAnsi="Times New Roman"/>
          <w:sz w:val="20"/>
          <w:szCs w:val="20"/>
          <w:color w:val="auto"/>
        </w:rPr>
        <w:t>- The accompanying financial statements have been prepared on the accrual basis of accounting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accounting principles generally accepted in the United States of America (GAAP).</w:t>
      </w:r>
    </w:p>
    <w:p>
      <w:pPr>
        <w:spacing w:after="0" w:line="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Use of Estimates </w:t>
      </w:r>
      <w:r>
        <w:rPr>
          <w:rFonts w:ascii="Times New Roman" w:cs="Times New Roman" w:eastAsia="Times New Roman" w:hAnsi="Times New Roman"/>
          <w:sz w:val="20"/>
          <w:szCs w:val="20"/>
          <w:color w:val="auto"/>
        </w:rPr>
        <w:t>- The preparation of financial statements in conformity with GAAP requires management to make estimates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assumptions that affect the reported amounts of assets, liabilities, and changes therein and disclosure of contingent assets and liabilities. Actual results could differ from those estimates.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Risks and Uncertainties </w:t>
      </w:r>
      <w:r>
        <w:rPr>
          <w:rFonts w:ascii="Times New Roman" w:cs="Times New Roman" w:eastAsia="Times New Roman" w:hAnsi="Times New Roman"/>
          <w:sz w:val="20"/>
          <w:szCs w:val="20"/>
          <w:color w:val="auto"/>
        </w:rPr>
        <w:t>- The Plan utilizes various investment securities, including common stock, mutual funds, collective trust funds,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stable value fund. Investment securities, in general, are exposed to various risks, such as interest rate risk, credit risk, and overall market volatility. Due to the level of risk associated with certain investment securities, it is at least reasonably possible that changes in the values of investment securities will occur in the near term and that such change could materially affect the amounts reported in the financial statements.</w:t>
      </w:r>
    </w:p>
    <w:p>
      <w:pPr>
        <w:spacing w:after="0" w:line="7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Investment Valuation and Income Recognition </w:t>
      </w:r>
      <w:r>
        <w:rPr>
          <w:rFonts w:ascii="Times New Roman" w:cs="Times New Roman" w:eastAsia="Times New Roman" w:hAnsi="Times New Roman"/>
          <w:sz w:val="20"/>
          <w:szCs w:val="20"/>
          <w:color w:val="auto"/>
        </w:rPr>
        <w:t>- The Plan's investments are stated at fair value. The fair value of a financial instrument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price that would be received to sell an asset or paid to transfer a liability in an orderly transaction between market participants at the measurement date. The following is a description of the valuation methodologies used for assets measured at fair value:</w:t>
      </w:r>
    </w:p>
    <w:p>
      <w:pPr>
        <w:spacing w:after="0" w:line="5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Common Stock </w:t>
      </w:r>
      <w:r>
        <w:rPr>
          <w:rFonts w:ascii="Times New Roman" w:cs="Times New Roman" w:eastAsia="Times New Roman" w:hAnsi="Times New Roman"/>
          <w:sz w:val="20"/>
          <w:szCs w:val="20"/>
          <w:color w:val="auto"/>
        </w:rPr>
        <w:t>- LP's common stock is valued at the closing price reported on the New York Stock Exchange on the last business day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Plan year.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Mutual Funds </w:t>
      </w:r>
      <w:r>
        <w:rPr>
          <w:rFonts w:ascii="Times New Roman" w:cs="Times New Roman" w:eastAsia="Times New Roman" w:hAnsi="Times New Roman"/>
          <w:sz w:val="20"/>
          <w:szCs w:val="20"/>
          <w:color w:val="auto"/>
        </w:rPr>
        <w:t>- Shares of mutual funds held by the Plan at year-end are valued at current quoted market prices.</w:t>
      </w:r>
    </w:p>
    <w:p>
      <w:pPr>
        <w:spacing w:after="0" w:line="10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Collective Trust Funds </w:t>
      </w:r>
      <w:r>
        <w:rPr>
          <w:rFonts w:ascii="Times New Roman" w:cs="Times New Roman" w:eastAsia="Times New Roman" w:hAnsi="Times New Roman"/>
          <w:sz w:val="20"/>
          <w:szCs w:val="20"/>
          <w:color w:val="auto"/>
        </w:rPr>
        <w:t>- Collective trusts are valued at the underlying investments’ net asset value at the close of the day multiplied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number of shares in the fund.</w:t>
      </w:r>
    </w:p>
    <w:p>
      <w:pPr>
        <w:spacing w:after="0" w:line="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Stable Value Fund </w:t>
      </w:r>
      <w:r>
        <w:rPr>
          <w:rFonts w:ascii="Times New Roman" w:cs="Times New Roman" w:eastAsia="Times New Roman" w:hAnsi="Times New Roman"/>
          <w:sz w:val="20"/>
          <w:szCs w:val="20"/>
          <w:color w:val="auto"/>
        </w:rPr>
        <w:t>- The stable value fund valued using the Net Asset Value (NAV), as provided by the administrator of the fund. The NAV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used as a practical expedient to estimate fair value. The NAV is based on the fair value of the underlying investments held by the fund (including guaranteed investment contracts issued by insurance companies, synthetic wrap contracts, and cash and cash equivalents), less its liabilities, and then divided by the number of shares outstanding. This practical expedient is not used when it is determined to be probable that the fund will sell the investments for an amount different than the reported NAV. Trusts participating in the fund are subject to restriction on withdrawals from the fund. Withdrawals needed for benefit payments and loan advances of participating employee benefit plans are generally permitted daily. Withdrawals for other purposes require twelve-month or thirty-month advance notice to the fund.</w:t>
      </w:r>
    </w:p>
    <w:p>
      <w:pPr>
        <w:spacing w:after="0" w:line="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Purchases and sales of securities are recorded on a trade-date basis. Realized gains and losses from sales of investments are recorded on the average cost method. Interest income is recorded on the accrual basis. Dividends are recorded on the ex-dividend date. There were no changes in valuation methodologies during the years ended December 31, 2025 and 2024.</w:t>
      </w:r>
    </w:p>
    <w:p>
      <w:pPr>
        <w:spacing w:after="0" w:line="4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Notes Receivable from Participants </w:t>
      </w:r>
      <w:r>
        <w:rPr>
          <w:rFonts w:ascii="Times New Roman" w:cs="Times New Roman" w:eastAsia="Times New Roman" w:hAnsi="Times New Roman"/>
          <w:sz w:val="20"/>
          <w:szCs w:val="20"/>
          <w:color w:val="auto"/>
        </w:rPr>
        <w:t>- Notes receivable from participants are measured at their unpaid principal balance plus any accrued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but unpaid interest. Delinquent participant loans are recorded as distributions based upon the terms of the Plan document.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Payment of Benefits </w:t>
      </w:r>
      <w:r>
        <w:rPr>
          <w:rFonts w:ascii="Times New Roman" w:cs="Times New Roman" w:eastAsia="Times New Roman" w:hAnsi="Times New Roman"/>
          <w:sz w:val="20"/>
          <w:szCs w:val="20"/>
          <w:color w:val="auto"/>
        </w:rPr>
        <w:t>- Benefit payments are recorded when disbursed.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8" w:name="page9"/>
    <w:bookmarkEnd w:id="8"/>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FAIR VALUE MEASUREMENTS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Accounting Standards Codification (ASC) 820, </w:t>
      </w:r>
      <w:r>
        <w:rPr>
          <w:rFonts w:ascii="Times New Roman" w:cs="Times New Roman" w:eastAsia="Times New Roman" w:hAnsi="Times New Roman"/>
          <w:sz w:val="20"/>
          <w:szCs w:val="20"/>
          <w:i w:val="1"/>
          <w:iCs w:val="1"/>
          <w:color w:val="auto"/>
        </w:rPr>
        <w:t>Fair Value Measurements and Disclosures</w:t>
      </w:r>
      <w:r>
        <w:rPr>
          <w:rFonts w:ascii="Times New Roman" w:cs="Times New Roman" w:eastAsia="Times New Roman" w:hAnsi="Times New Roman"/>
          <w:sz w:val="20"/>
          <w:szCs w:val="20"/>
          <w:color w:val="auto"/>
        </w:rPr>
        <w:t>, provides a framework for measuring fair value. That framework provides a fair value hierarchy that prioritizes the inputs to valuation techniques used to measure fair value, as follows: Level 1, which refers to securities valued using unadjusted quoted prices from active markets for identical assets; Level 2, which refers to securities not traded on an active market but for which observable market inputs are readily available; and Level 3, which refers to securities valued based on significant unobservable inputs. Assets and liabilities are classified in their entirety based on the lowest level of input that is significant to the fair value measurement.</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Fair value calculations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7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table sets forth by level, within the fair value hierarchy, the Plan's assets at fair value as of December 31, 2025 (dollar amounts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27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Quoted Prices in Active Markets</w:t>
            </w:r>
          </w:p>
        </w:tc>
        <w:tc>
          <w:tcPr>
            <w:tcW w:w="27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Other Observable Inputs (Level</w:t>
            </w:r>
          </w:p>
        </w:tc>
        <w:tc>
          <w:tcPr>
            <w:tcW w:w="400" w:type="dxa"/>
            <w:vAlign w:val="bottom"/>
          </w:tcPr>
          <w:p>
            <w:pPr>
              <w:spacing w:after="0"/>
              <w:rPr>
                <w:sz w:val="17"/>
                <w:szCs w:val="17"/>
                <w:color w:val="auto"/>
              </w:rPr>
            </w:pPr>
          </w:p>
        </w:tc>
        <w:tc>
          <w:tcPr>
            <w:tcW w:w="13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Identical Assets (Level 1)</w:t>
            </w:r>
          </w:p>
        </w:tc>
        <w:tc>
          <w:tcPr>
            <w:tcW w:w="680" w:type="dxa"/>
            <w:vAlign w:val="bottom"/>
          </w:tcPr>
          <w:p>
            <w:pPr>
              <w:spacing w:after="0"/>
              <w:rPr>
                <w:sz w:val="21"/>
                <w:szCs w:val="21"/>
                <w:color w:val="auto"/>
              </w:rPr>
            </w:pPr>
          </w:p>
        </w:tc>
        <w:tc>
          <w:tcPr>
            <w:tcW w:w="198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 LP</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8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Collective trust funds</w:t>
            </w:r>
          </w:p>
        </w:tc>
        <w:tc>
          <w:tcPr>
            <w:tcW w:w="18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Stable value fund*</w:t>
            </w:r>
          </w:p>
        </w:tc>
        <w:tc>
          <w:tcPr>
            <w:tcW w:w="18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3"/>
        </w:trPr>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168.1</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375.6</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579.0</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The following table sets forth by level, within the fair value hierarchy, the Plan's assets at fair value as of December 31, 2024 (dollar amounts in millions).</w:t>
      </w:r>
    </w:p>
    <w:p>
      <w:pPr>
        <w:spacing w:after="0" w:line="70"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3820" w:type="dxa"/>
            <w:vAlign w:val="bottom"/>
          </w:tcPr>
          <w:p>
            <w:pPr>
              <w:spacing w:after="0"/>
              <w:rPr>
                <w:sz w:val="18"/>
                <w:szCs w:val="18"/>
                <w:color w:val="auto"/>
              </w:rPr>
            </w:pPr>
          </w:p>
        </w:tc>
        <w:tc>
          <w:tcPr>
            <w:tcW w:w="27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Quoted Prices in Active Markets</w:t>
            </w:r>
          </w:p>
        </w:tc>
        <w:tc>
          <w:tcPr>
            <w:tcW w:w="27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Other Observable Inputs (Level</w:t>
            </w:r>
          </w:p>
        </w:tc>
        <w:tc>
          <w:tcPr>
            <w:tcW w:w="400" w:type="dxa"/>
            <w:vAlign w:val="bottom"/>
          </w:tcPr>
          <w:p>
            <w:pPr>
              <w:spacing w:after="0"/>
              <w:rPr>
                <w:sz w:val="18"/>
                <w:szCs w:val="18"/>
                <w:color w:val="auto"/>
              </w:rPr>
            </w:pPr>
          </w:p>
        </w:tc>
        <w:tc>
          <w:tcPr>
            <w:tcW w:w="13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Identical Assets (Level 1)</w:t>
            </w:r>
          </w:p>
        </w:tc>
        <w:tc>
          <w:tcPr>
            <w:tcW w:w="680" w:type="dxa"/>
            <w:vAlign w:val="bottom"/>
          </w:tcPr>
          <w:p>
            <w:pPr>
              <w:spacing w:after="0"/>
              <w:rPr>
                <w:sz w:val="21"/>
                <w:szCs w:val="21"/>
                <w:color w:val="auto"/>
              </w:rPr>
            </w:pPr>
          </w:p>
        </w:tc>
        <w:tc>
          <w:tcPr>
            <w:tcW w:w="198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 LP</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8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Collective trust funds</w:t>
            </w:r>
          </w:p>
        </w:tc>
        <w:tc>
          <w:tcPr>
            <w:tcW w:w="18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Stable value fund*</w:t>
            </w:r>
          </w:p>
        </w:tc>
        <w:tc>
          <w:tcPr>
            <w:tcW w:w="18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3"/>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182.9</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326.8</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*The Stable Value Fund is measured at fair value in the tables above using the NAV per share (or its equivalent) practical expedient and has not been categorized in the fair value hierarchy. The fair value amounts presented in this table are intended to permit reconciliation of the fair value hierarchy table to the amounts presented in the 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9" w:name="page10"/>
    <w:bookmarkEnd w:id="9"/>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PLAN TERMINATION</w:t>
      </w:r>
    </w:p>
    <w:p>
      <w:pPr>
        <w:spacing w:after="0" w:line="1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Although it has not expressed any intention to do so, LP reserves the right to terminate the Plan at any time, subject to the provisions of ERISA. In the event of Plan termination, participants will become fully vested, and the interest of each participant in the Plan will be distributed to such participant or his or her beneficiary at the time prescribed by the Plan's terms and the IRC. Upon termination of the Plan, the Plan Administrator shall pay all liabilities and expenses of the Plan.</w:t>
      </w:r>
    </w:p>
    <w:p>
      <w:pPr>
        <w:spacing w:after="0" w:line="18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ADMINISTRATION OF PLAN ASSETS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As of December 31, 2025 and 2024, the assets of the Plan are managed by the T. Rowe Price Trust Company (T. Rowe Price), who invests cash received, dividends and interest income, and makes distributions to participants. T. Rowe Price also administers the receipt of principal and interest on the participant loans outstanding.</w:t>
      </w:r>
    </w:p>
    <w:p>
      <w:pPr>
        <w:spacing w:after="0" w:line="16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EXEMPT PARTY-IN-INTEREST TRANSACTIONS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Certain Plan investments are shares of LP common stock, collective trust funds, a stable value fund, and registered investment funds managed by T. Rowe Price. LP is the Plan sponsor and T. Rowe Price is the trustee and record keeper, as defined by the Plan. The Plan also permits notes receivable from participants. Therefore, these transactions qualify as exempt party-in-interest transactions.</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At December 31, 2025 and 2024, the Plan held 0.4 million shares of LP common stock, the sponsoring employer, with a fair value of $32.6 million and $45.6 million, respectively. During the years ended December 31, 2025 and 2024, there was dividend income from LP common stock of $0.5 million.</w:t>
      </w:r>
    </w:p>
    <w:p>
      <w:pPr>
        <w:spacing w:after="0" w:line="177"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FEDERAL INCOME TAX STATUS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Plan was amended on January 1, 2022, to adopt a prototype non-standardized Plan document sponsored by T. Rowe Price, who received an opinion letter from the IRS dated August 2020, which states that the prototype plan is qualified under the appropriate sections of the IRC. The Plan Administrator believes that the Plan is currently designed and being operated in compliance with the applicable requirements of the IRC. Therefore, the Plan Administrator believes the Plan continues to be qualified.</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Plan Administrator has analyzed the tax positions taken by the Plan and has concluded that there are no uncertain tax positions taken or expected to be taken that would require recognition of a liability or asset or disclosure in the financial statements as of December 31, 2025 and 2024. The Plan is subject to routine audits by taxing jurisdictions; however, there are currently no audits for any tax periods in progress.</w:t>
      </w:r>
    </w:p>
    <w:p>
      <w:pPr>
        <w:spacing w:after="0" w:line="157"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EVENTS</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Effective January 1, 2026, participants may elect to make after-tax contributions to the Plan of up to 15% of plan compensation. Total participant contributions, including pre-tax, Roth, and after-tax contributions, may not exceed 75% of plan compensation.</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Plan management has evaluated events and transactions that occurred between December 31, 2025, and the report date for possible recognition or disclosure in the financial statements. No additional subsequent events occurred that required either adjustment to, or disclosure in,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10" w:name="page11"/>
    <w:bookmarkEnd w:id="10"/>
    <w:p>
      <w:pPr>
        <w:ind w:left="3880"/>
        <w:spacing w:after="0"/>
        <w:rPr>
          <w:sz w:val="20"/>
          <w:szCs w:val="20"/>
          <w:color w:val="auto"/>
        </w:rPr>
      </w:pPr>
      <w:r>
        <w:rPr>
          <w:rFonts w:ascii="Times New Roman" w:cs="Times New Roman" w:eastAsia="Times New Roman" w:hAnsi="Times New Roman"/>
          <w:sz w:val="25"/>
          <w:szCs w:val="25"/>
          <w:b w:val="1"/>
          <w:bCs w:val="1"/>
          <w:color w:val="auto"/>
        </w:rPr>
        <w:t>SUPPLEMENTAL SCHEDULE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LOUISIANA-PACIFIC 401(k) AND PROFIT SHARING PLAN</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EMPLOYER IDENTIFICATION NUMBER: 93-0609074 PLAN NUMBER: 040</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FORM 5500, SCHEDULE H, PART IV, LINE 4i — SCHEDULE OF ASSETS</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(HELD AT END OF YEAR)</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Dollar amounts in millions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w:t>
            </w: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 Identity of Issue</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 Description of Investment</w:t>
            </w:r>
          </w:p>
        </w:tc>
        <w:tc>
          <w:tcPr>
            <w:tcW w:w="20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(d) Cost **</w:t>
            </w: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(e) Current Value</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spacing w:after="0"/>
              <w:rPr>
                <w:sz w:val="19"/>
                <w:szCs w:val="19"/>
                <w:color w:val="auto"/>
              </w:rPr>
            </w:pP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U.S. Treasury Money Fund</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Mutual Funds - Domestic Stocks</w:t>
            </w:r>
          </w:p>
        </w:tc>
        <w:tc>
          <w:tcPr>
            <w:tcW w:w="2040" w:type="dxa"/>
            <w:vAlign w:val="bottom"/>
            <w:shd w:val="clear" w:color="auto" w:fill="CCEEFF"/>
          </w:tcPr>
          <w:p>
            <w:pPr>
              <w:spacing w:after="0"/>
              <w:rPr>
                <w:sz w:val="19"/>
                <w:szCs w:val="19"/>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DFA U.S. Small Cap Institutional Fund</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Mutual Funds - Domestic Stocks</w:t>
            </w:r>
          </w:p>
        </w:tc>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 Rowe Price Mid-Cap Growth Fund</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Mutual Funds - Domestic Stocks</w:t>
            </w:r>
          </w:p>
        </w:tc>
        <w:tc>
          <w:tcPr>
            <w:tcW w:w="20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 Rowe Price Mid-Cap Value Fund</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Mutual Funds - Domestic Stocks</w:t>
            </w:r>
          </w:p>
        </w:tc>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spacing w:after="0"/>
              <w:rPr>
                <w:sz w:val="19"/>
                <w:szCs w:val="19"/>
                <w:color w:val="auto"/>
              </w:rPr>
            </w:pP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JPMorgan Large-Cap Growth R6 Fund</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Mutual Funds - Domestic Stocks</w:t>
            </w:r>
          </w:p>
        </w:tc>
        <w:tc>
          <w:tcPr>
            <w:tcW w:w="20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Vanguard Institutional Index</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Mutual Funds - Domestic Stocks</w:t>
            </w:r>
          </w:p>
        </w:tc>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spacing w:after="0"/>
              <w:rPr>
                <w:sz w:val="19"/>
                <w:szCs w:val="19"/>
                <w:color w:val="auto"/>
              </w:rPr>
            </w:pP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Vanguard Total Bond Index Adm</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Mutual Funds - Fixed Income</w:t>
            </w:r>
          </w:p>
        </w:tc>
        <w:tc>
          <w:tcPr>
            <w:tcW w:w="20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Met West Total Return Bond I</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Mutual Funds - Fixed Income</w:t>
            </w:r>
          </w:p>
        </w:tc>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spacing w:after="0"/>
              <w:rPr>
                <w:sz w:val="19"/>
                <w:szCs w:val="19"/>
                <w:color w:val="auto"/>
              </w:rPr>
            </w:pP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State Street Real Asset NL C</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Vanguard Ttl International Stock Index Inst</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Mutual Funds - International Stocks</w:t>
            </w:r>
          </w:p>
        </w:tc>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 Rowe Price Retirement 2005 Fund</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 Rowe Price Retirement 2010 Fund</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 Rowe Price Retirement 2015 Fund</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 Rowe Price Retirement 2020 Fund</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 Rowe Price Retirement 2025 Fund</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1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 Rowe Price Retirement 2030 Fund</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 Rowe Price Retirement 2035 Fund</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21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 Rowe Price Retirement 2040 Fund</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 Rowe Price Retirement 2045 Fund</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21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 Rowe Price Retirement 2050 Fund</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 Rowe Price Retirement 2055 Fund</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1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 Rowe Price Retirement 2060 Fund</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 Rowe Price Retirement 2065 Fund</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Vanguard Inflation-Protected Bond</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Mutual Funds - Fixed Income</w:t>
            </w:r>
          </w:p>
        </w:tc>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 Rowe Price Stable Value Fund</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Stable Value</w:t>
            </w:r>
          </w:p>
        </w:tc>
        <w:tc>
          <w:tcPr>
            <w:tcW w:w="20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0" w:type="dxa"/>
            <w:vAlign w:val="bottom"/>
          </w:tcPr>
          <w:p>
            <w:pPr>
              <w:spacing w:after="0"/>
              <w:rPr>
                <w:sz w:val="1"/>
                <w:szCs w:val="1"/>
                <w:color w:val="auto"/>
              </w:rPr>
            </w:pPr>
          </w:p>
        </w:tc>
      </w:tr>
      <w:tr>
        <w:trPr>
          <w:trHeight w:val="21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Louisiana-Pacific Corporation</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Common stock</w:t>
            </w:r>
          </w:p>
        </w:tc>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spacing w:after="0"/>
              <w:rPr>
                <w:sz w:val="19"/>
                <w:szCs w:val="19"/>
                <w:color w:val="auto"/>
              </w:rPr>
            </w:pP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Boston Partners Large Cap Value Equity</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MFS International Growth Fund</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65"/>
        </w:trPr>
        <w:tc>
          <w:tcPr>
            <w:tcW w:w="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Participant loans</w:t>
            </w:r>
          </w:p>
        </w:tc>
        <w:tc>
          <w:tcPr>
            <w:tcW w:w="5760" w:type="dxa"/>
            <w:vAlign w:val="bottom"/>
            <w:gridSpan w:val="2"/>
            <w:shd w:val="clear" w:color="auto" w:fill="CCEEFF"/>
          </w:tcPr>
          <w:p>
            <w:pPr>
              <w:ind w:left="540"/>
              <w:spacing w:after="0" w:line="165" w:lineRule="exact"/>
              <w:rPr>
                <w:sz w:val="20"/>
                <w:szCs w:val="20"/>
                <w:color w:val="auto"/>
              </w:rPr>
            </w:pPr>
            <w:r>
              <w:rPr>
                <w:rFonts w:ascii="Times New Roman" w:cs="Times New Roman" w:eastAsia="Times New Roman" w:hAnsi="Times New Roman"/>
                <w:sz w:val="16"/>
                <w:szCs w:val="16"/>
                <w:color w:val="auto"/>
              </w:rPr>
              <w:t>Notes receivable from participants (interest rates between 4.25% and 9.50%</w:t>
            </w:r>
          </w:p>
        </w:tc>
        <w:tc>
          <w:tcPr>
            <w:tcW w:w="116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3"/>
        </w:trPr>
        <w:tc>
          <w:tcPr>
            <w:tcW w:w="360" w:type="dxa"/>
            <w:vAlign w:val="bottom"/>
            <w:vMerge w:val="continue"/>
            <w:shd w:val="clear" w:color="auto" w:fill="CCEEFF"/>
          </w:tcPr>
          <w:p>
            <w:pPr>
              <w:spacing w:after="0"/>
              <w:rPr>
                <w:sz w:val="18"/>
                <w:szCs w:val="18"/>
                <w:color w:val="auto"/>
              </w:rPr>
            </w:pPr>
          </w:p>
        </w:tc>
        <w:tc>
          <w:tcPr>
            <w:tcW w:w="3540" w:type="dxa"/>
            <w:vAlign w:val="bottom"/>
            <w:vMerge w:val="continue"/>
            <w:shd w:val="clear" w:color="auto" w:fill="CCEEFF"/>
          </w:tcPr>
          <w:p>
            <w:pPr>
              <w:spacing w:after="0"/>
              <w:rPr>
                <w:sz w:val="18"/>
                <w:szCs w:val="18"/>
                <w:color w:val="auto"/>
              </w:rPr>
            </w:pP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maturing between 2026 and 2030)</w:t>
            </w:r>
          </w:p>
        </w:tc>
        <w:tc>
          <w:tcPr>
            <w:tcW w:w="20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9700"/>
        <w:spacing w:after="0"/>
        <w:tabs>
          <w:tab w:leader="none" w:pos="107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588.5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14605</wp:posOffset>
            </wp:positionV>
            <wp:extent cx="986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40005</wp:posOffset>
            </wp:positionV>
            <wp:extent cx="9861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*Party-in-interest</w:t>
      </w:r>
    </w:p>
    <w:p>
      <w:pPr>
        <w:spacing w:after="0" w:line="27" w:lineRule="exact"/>
        <w:rPr>
          <w:sz w:val="20"/>
          <w:szCs w:val="20"/>
          <w:color w:val="auto"/>
        </w:rPr>
      </w:pPr>
    </w:p>
    <w:p>
      <w:pPr>
        <w:ind w:left="240" w:hanging="232"/>
        <w:spacing w:after="0"/>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information is not required for participant-directed investments and, therefore, is not included.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6"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248285</wp:posOffset>
            </wp:positionV>
            <wp:extent cx="709803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180340"/>
                    </a:xfrm>
                    <a:prstGeom prst="rect">
                      <a:avLst/>
                    </a:prstGeom>
                    <a:noFill/>
                  </pic:spPr>
                </pic:pic>
              </a:graphicData>
            </a:graphic>
          </wp:anchor>
        </w:drawing>
      </w:r>
    </w:p>
    <w:p>
      <w:pPr>
        <w:spacing w:after="0" w:line="375" w:lineRule="exact"/>
        <w:rPr>
          <w:sz w:val="20"/>
          <w:szCs w:val="20"/>
          <w:color w:val="auto"/>
        </w:rPr>
      </w:pPr>
    </w:p>
    <w:p>
      <w:pPr>
        <w:ind w:left="380"/>
        <w:spacing w:after="0"/>
        <w:tabs>
          <w:tab w:leader="none" w:pos="106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19"/>
          <w:szCs w:val="19"/>
          <w:u w:val="single" w:color="auto"/>
          <w:color w:val="0000FF"/>
        </w:rPr>
        <w:t>Consent of LBMC,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5" w:right="1440" w:bottom="1440" w:gutter="0" w:footer="0" w:header="0"/>
        </w:sectPr>
      </w:pPr>
    </w:p>
    <w:bookmarkStart w:id="12" w:name="page13"/>
    <w:bookmarkEnd w:id="12"/>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9" w:lineRule="exact"/>
        <w:rPr>
          <w:sz w:val="20"/>
          <w:szCs w:val="20"/>
          <w:color w:val="auto"/>
        </w:rPr>
      </w:pPr>
    </w:p>
    <w:p>
      <w:pPr>
        <w:ind w:firstLine="445"/>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trustee (or other persons who administer the Plan) have duly caused this report to be signed on its behalf by the undersigned hereunto duly authorized.</w:t>
      </w:r>
    </w:p>
    <w:p>
      <w:pPr>
        <w:spacing w:after="0" w:line="32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LOUISIANA-PACIFIC 401(k) AND PROFIT SHARING PLAN</w:t>
      </w:r>
    </w:p>
    <w:p>
      <w:pPr>
        <w:spacing w:after="0" w:line="297" w:lineRule="exact"/>
        <w:rPr>
          <w:sz w:val="20"/>
          <w:szCs w:val="20"/>
          <w:color w:val="auto"/>
        </w:rPr>
      </w:pPr>
    </w:p>
    <w:p>
      <w:pPr>
        <w:ind w:left="5220"/>
        <w:spacing w:after="0"/>
        <w:tabs>
          <w:tab w:leader="none" w:pos="78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Leslie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31115</wp:posOffset>
            </wp:positionV>
            <wp:extent cx="33261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4"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20"/>
          <w:szCs w:val="20"/>
          <w:color w:val="auto"/>
        </w:rPr>
        <w:t>Leslie E. Davis</w:t>
      </w:r>
    </w:p>
    <w:p>
      <w:pPr>
        <w:spacing w:after="0" w:line="21"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20"/>
          <w:szCs w:val="20"/>
          <w:color w:val="auto"/>
        </w:rPr>
        <w:t>Vice President, Controller and</w:t>
      </w:r>
    </w:p>
    <w:p>
      <w:pPr>
        <w:ind w:left="7600"/>
        <w:spacing w:after="0"/>
        <w:rPr>
          <w:sz w:val="20"/>
          <w:szCs w:val="20"/>
          <w:color w:val="auto"/>
        </w:rPr>
      </w:pPr>
      <w:r>
        <w:rPr>
          <w:rFonts w:ascii="Times New Roman" w:cs="Times New Roman" w:eastAsia="Times New Roman" w:hAnsi="Times New Roman"/>
          <w:sz w:val="20"/>
          <w:szCs w:val="20"/>
          <w:color w:val="auto"/>
        </w:rPr>
        <w:t>Chief Accounting Officer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June 26, 2026</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40"/>
          </w:cols>
          <w:pgMar w:left="320" w:top="1440" w:right="5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Exhibit 23.1 Consent of Public Accountants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Statements (Nos. 333-156144, 333-153080, 333-110243, and 333-87775) on Form S-8 of our report dated June 26, 2026, appearing in the December 31, 2025 annual report on Form 11-K of the Louisiana-Pacific 401(k) and Profit Sharing Plan.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LBMC, PC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Brentwood, Tennessee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26, 2026</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7"/>
    </w:lvl>
  </w:abstractNum>
  <w:abstractNum w:abstractNumId="3">
    <w:nsid w:val="238E1F29"/>
    <w:multiLevelType w:val="hybridMultilevel"/>
    <w:lvl w:ilvl="0">
      <w:lvlJc w:val="left"/>
      <w:lvlText w:val="%1."/>
      <w:numFmt w:val="decimal"/>
      <w:start w:val="8"/>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2026-06-26T09:50:58Z</dcterms:created>
  <dcterms:modified xsi:type="dcterms:W3CDTF">2026-06-26T09:50:58Z</dcterms:modified>
</cp:coreProperties>
</file>